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start"/>
        <w:rPr/>
      </w:pPr>
      <w:r>
        <w:rPr/>
        <w:t>&lt;o&lt;onut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>
          <w:b/>
        </w:rPr>
        <w:t>Projekt:</w:t>
      </w:r>
      <w:r>
        <w:rPr/>
        <w:t xml:space="preserve"> CCN auf Arduino Uno / ATmega328P, 16 MHz</w:t>
        <w:br/>
      </w:r>
      <w:r>
        <w:rPr>
          <w:b/>
        </w:rPr>
        <w:t>Serielle Verbindung:</w:t>
      </w:r>
      <w:r>
        <w:rPr/>
        <w:t xml:space="preserve"> 9600 Baud, 8 Datenbits, keine Parität, 1 Stoppbit (8N1)</w:t>
        <w:br/>
      </w:r>
      <w:r>
        <w:rPr>
          <w:b/>
        </w:rPr>
        <w:t>Stand:</w:t>
      </w:r>
      <w:r>
        <w:rPr/>
        <w:t xml:space="preserve"> Dokumentation zur aktuellen PlatformIO-Demo</w:t>
      </w:r>
    </w:p>
    <w:p>
      <w:pPr>
        <w:pStyle w:val="Heading2"/>
        <w:numPr>
          <w:ilvl w:val="0"/>
          <w:numId w:val="0"/>
        </w:numPr>
        <w:bidi w:val="0"/>
        <w:spacing w:before="440" w:after="120"/>
        <w:ind w:hanging="0" w:start="0"/>
        <w:jc w:val="start"/>
        <w:rPr/>
      </w:pPr>
      <w:r>
        <w:rPr/>
        <w:t>Überblick und Start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Nach dem Einschalten konfiguriert </w:t>
      </w:r>
      <w:r>
        <w:rPr>
          <w:rStyle w:val="SourceText"/>
        </w:rPr>
        <w:t>main()</w:t>
      </w:r>
      <w:r>
        <w:rPr/>
        <w:t xml:space="preserve"> den LED-Pin und das serielle Modul. Danach initialisiert es die kleinen historischen Module nacheinander: BPCI, QUEI, MBXI, EVTI und TIMI. Anschließend startet </w:t>
      </w:r>
      <w:r>
        <w:rPr>
          <w:rStyle w:val="SourceText"/>
        </w:rPr>
        <w:t>ccn_init()</w:t>
      </w:r>
      <w:r>
        <w:rPr/>
        <w:t xml:space="preserve"> den aktiven Kernel und richtet Timer1 ein.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Danach legt </w:t>
      </w:r>
      <w:r>
        <w:rPr>
          <w:rStyle w:val="SourceText"/>
        </w:rPr>
        <w:t>main()</w:t>
      </w:r>
      <w:r>
        <w:rPr/>
        <w:t xml:space="preserve"> drei Tasks an: den Ausgabetask, den seriellen Eingabetask und den LED-Task. Der Ausgabetask hat Priorität 2; die beiden anderen haben Priorität 1. Es folgen Event, Mailbox und drei Timer: serielle Abfrage (periodisch, 8 ms), LED (periodisch, ungefähr 1 s) und der per Taste gestartete Einmal-Timer (3 s). Erst nach der Konfiguration wird der Scheduler gestartet.</w:t>
      </w:r>
    </w:p>
    <w:p>
      <w:pPr>
        <w:pStyle w:val="Heading2"/>
        <w:numPr>
          <w:ilvl w:val="0"/>
          <w:numId w:val="0"/>
        </w:numPr>
        <w:bidi w:val="0"/>
        <w:spacing w:before="440" w:after="120"/>
        <w:ind w:hanging="0" w:start="0"/>
        <w:jc w:val="start"/>
        <w:rPr/>
      </w:pPr>
      <w:r>
        <w:rPr/>
        <w:t>a) Scheduler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>Der Scheduler ist kooperativ: Er wählt einen bereiten Task aus und ruft dessen Funktion auf. Ein Task läuft, bis seine Funktion zurückkehrt. Er sollte deshalb kurz bleiben und nicht selbst auf UART-Eingaben, Timer oder andere Tasks warten. Wenn kein Task bereit ist, dreht die Hauptschleife weiter und verarbeitet neue Timer-Ticks.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>Die Auswahl bevorzugt den Task mit der höchsten numerischen Priorität. Bei gleicher Priorität wird die Suche nach jeder Ausführung hinter dem zuletzt ausgewählten Task fortgesetzt (Round-Robin). „Bereit“ ist ein einzelnes Flag: mehrere Aufweckungen während der Task schon bereit ist erzeugen keine zusätzlichen Task-Instanzen.</w:t>
      </w:r>
    </w:p>
    <w:p>
      <w:pPr>
        <w:pStyle w:val="Heading2section"/>
        <w:bidi w:val="0"/>
        <w:ind w:hanging="0" w:start="0"/>
        <w:jc w:val="start"/>
        <w:rPr/>
      </w:pPr>
      <w:r>
        <w:rPr/>
        <w:t>b) WakeUp-Task-System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>
          <w:rStyle w:val="SourceText"/>
        </w:rPr>
        <w:t>ccn_task_wake(task)</w:t>
      </w:r>
      <w:r>
        <w:rPr/>
        <w:t xml:space="preserve"> setzt das Bereit-Flag des angegebenen Tasks. Der Aufruf erzeugt keine neue Task-Instanz und führt den Task auch nicht sofort aus: Der Scheduler ruft ihn beim nächsten passenden Durchlauf auf. Ist der Task bereits bereit, bleibt es bei einem einzigen anstehenden Lauf.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Die serielle Taste </w:t>
      </w:r>
      <w:r>
        <w:rPr>
          <w:rStyle w:val="SourceText"/>
        </w:rPr>
        <w:t>w</w:t>
      </w:r>
      <w:r>
        <w:rPr/>
        <w:t xml:space="preserve"> setzt zusätzlich ein Kennzeichen für den Aufweckgrund und weckt den Ausgabetask direkt. Dieser meldet dann „Task direkt aufgeweckt“. Timer- und Event-Aufweckungen verwenden intern ebenfalls das Bereit-Flag; der Task liest anschließend den jeweiligen Grund ab.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</w:r>
    </w:p>
    <w:p>
      <w:pPr>
        <w:pStyle w:val="Heading2section"/>
        <w:bidi w:val="0"/>
        <w:ind w:hanging="0" w:start="0"/>
        <w:jc w:val="start"/>
        <w:rPr/>
      </w:pPr>
      <w:r>
        <w:rPr/>
        <w:t>c) Event-System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Ein Event ist ein einzelnes anstehendes Signal an genau einen verbundenen Task. </w:t>
      </w:r>
      <w:r>
        <w:rPr>
          <w:rStyle w:val="SourceText"/>
        </w:rPr>
        <w:t>ccn_event_send(event)</w:t>
      </w:r>
      <w:r>
        <w:rPr/>
        <w:t xml:space="preserve"> setzt das Pending-Flag und weckt den Empfänger. Der Task liest das Signal mit </w:t>
      </w:r>
      <w:r>
        <w:rPr>
          <w:rStyle w:val="SourceText"/>
        </w:rPr>
        <w:t>ccn_event_receive(event)</w:t>
      </w:r>
      <w:r>
        <w:rPr/>
        <w:t>; das Lesen löscht das Flag.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Events werden zusammengefasst: Wird dasselbe Event mehrfach gesendet, bevor der Empfänger es abholt, bleibt es ein anstehendes Event und zählt nicht die Anzahl der Sendungen. Die Demo-Taste </w:t>
      </w:r>
      <w:r>
        <w:rPr>
          <w:rStyle w:val="SourceText"/>
        </w:rPr>
        <w:t>e</w:t>
      </w:r>
      <w:r>
        <w:rPr/>
        <w:t xml:space="preserve"> löst dieses Event aus.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</w:r>
    </w:p>
    <w:p>
      <w:pPr>
        <w:pStyle w:val="Heading2section"/>
        <w:bidi w:val="0"/>
        <w:ind w:hanging="0" w:start="0"/>
        <w:jc w:val="start"/>
        <w:rPr/>
      </w:pPr>
      <w:r>
        <w:rPr/>
        <w:t>d) Mailbox-System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Eine Mailbox enthält eine FIFO-Warteschlange für Nachrichten und ist mit einem Empfänger-Task verbunden. Die aktuelle Demo-Mailbox kann vier Nachrichten halten. </w:t>
      </w:r>
      <w:r>
        <w:rPr>
          <w:rStyle w:val="SourceText"/>
        </w:rPr>
        <w:t>ccn_mailbox_send()</w:t>
      </w:r>
      <w:r>
        <w:rPr/>
        <w:t xml:space="preserve"> hängt eine Nachricht hinten an und weckt den Empfänger. Ist die Mailbox voll, liefert der Aufruf </w:t>
      </w:r>
      <w:r>
        <w:rPr>
          <w:rStyle w:val="SourceText"/>
        </w:rPr>
        <w:t>false</w:t>
      </w:r>
      <w:r>
        <w:rPr/>
        <w:t xml:space="preserve"> und die Nachricht wird nicht übernommen.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>
          <w:rStyle w:val="SourceText"/>
        </w:rPr>
        <w:t>ccn_mailbox_receive()</w:t>
      </w:r>
      <w:r>
        <w:rPr/>
        <w:t xml:space="preserve"> holt die älteste Nachricht ab. In der Demo enthält sie die seit dem Start vergangenen ganzen Sekunden. Die Ausgabe verwendet einen 32-Bit-Wert, damit der Zeitstempel nicht auf ein Byte begrenzt ist. Mehrere gespeicherte Nachrichten werden im Ausgabetask nacheinander geleert.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</w:r>
    </w:p>
    <w:p>
      <w:pPr>
        <w:pStyle w:val="Heading2section"/>
        <w:bidi w:val="0"/>
        <w:ind w:hanging="0" w:start="0"/>
        <w:jc w:val="start"/>
        <w:rPr/>
      </w:pPr>
      <w:r>
        <w:rPr/>
        <w:t>e) Timer-System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>Timer1 läuft im CTC-Modus mit Prescaler 64. Bei 16 MHz zählt er mit 250 kHz; der Compare-Wert 1999 erzeugt einen Interrupt alle 8 ms. Die Interrupt-Service- Routine bleibt kurz: Sie zählt nur den Tick hoch. In der Scheduler-Schleife werden die ausstehenden Ticks verarbeitet und die Software-Timer aktualisiert.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Timerverzögerungen werden in 8-ms-Ticks angegeben. Der Demo-Timer für </w:t>
      </w:r>
      <w:r>
        <w:rPr>
          <w:rStyle w:val="SourceText"/>
        </w:rPr>
        <w:t>t</w:t>
      </w:r>
      <w:r>
        <w:rPr/>
        <w:t xml:space="preserve"> ist einmalig und hat </w:t>
      </w:r>
      <w:r>
        <w:rPr>
          <w:rStyle w:val="SourceText"/>
        </w:rPr>
        <w:t>3000 / 8 = 375</w:t>
      </w:r>
      <w:r>
        <w:rPr/>
        <w:t xml:space="preserve"> Ticks. Bei Ablauf setzt der Kernel die Ablaufmarkierung und weckt den verbundenen Ausgabetask. Dieser erkennt den Grund mit </w:t>
      </w:r>
      <w:r>
        <w:rPr>
          <w:rStyle w:val="SourceText"/>
        </w:rPr>
        <w:t>ccn_timer_expired()</w:t>
      </w:r>
      <w:r>
        <w:rPr/>
        <w:t xml:space="preserve"> und gibt die 3-Sekunden-Meldung aus. Drückt man </w:t>
      </w:r>
      <w:r>
        <w:rPr>
          <w:rStyle w:val="SourceText"/>
        </w:rPr>
        <w:t>t</w:t>
      </w:r>
      <w:r>
        <w:rPr/>
        <w:t xml:space="preserve"> während des Laufes erneut, wird der Timer neu gestartet.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>Die LED und der serielle Eingabetask verwenden periodische Timer. Ihre Benachrichtigungen sind Flags, keine Zähler: Wird ein Task länger nicht ausgeführt, können mehrere periodische Abläufe zu einer ausstehenden Meldung zusammenfallen.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</w:r>
    </w:p>
    <w:p>
      <w:pPr>
        <w:pStyle w:val="Heading2section"/>
        <w:bidi w:val="0"/>
        <w:ind w:hanging="0" w:start="0"/>
        <w:jc w:val="start"/>
        <w:rPr/>
      </w:pPr>
      <w:r>
        <w:rPr/>
        <w:t>f) UML-Sequenzdiagramme</w:t>
      </w:r>
    </w:p>
    <w:p>
      <w:pPr>
        <w:pStyle w:val="Heading3"/>
        <w:numPr>
          <w:ilvl w:val="0"/>
          <w:numId w:val="0"/>
        </w:numPr>
        <w:bidi w:val="0"/>
        <w:spacing w:before="140" w:after="80"/>
        <w:ind w:hanging="0" w:start="0"/>
        <w:jc w:val="start"/>
        <w:rPr/>
      </w:pPr>
      <w:r>
        <w:rPr/>
        <w:t>EVTI: Event senden und empfangen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Das folgende Ablaufbild zeigt die historische </w:t>
      </w:r>
      <w:r>
        <w:rPr>
          <w:rStyle w:val="SourceText"/>
        </w:rPr>
        <w:t>EVTI_*</w:t>
      </w:r>
      <w:r>
        <w:rPr/>
        <w:t xml:space="preserve">-Schnittstelle: Der Aufrufer sendet ein zuvor erzeugtes und verbundenes Event. EVTI setzt dessen Pending-Flag und weckt den Empfänger über BPCI. Der Task liest das Event später mit </w:t>
      </w:r>
      <w:r>
        <w:rPr>
          <w:rStyle w:val="SourceText"/>
        </w:rPr>
        <w:t>EVTI_Receive()</w:t>
      </w:r>
      <w:r>
        <w:rPr/>
        <w:t xml:space="preserve">; diese Abfrage löscht das Pending-Flag. Hinweis: Die aktuelle serielle Demo verwendet stattdessen die neuere </w:t>
      </w:r>
      <w:r>
        <w:rPr>
          <w:rStyle w:val="SourceText"/>
        </w:rPr>
        <w:t>ccn_event_*</w:t>
      </w:r>
      <w:r>
        <w:rPr/>
        <w:t>-API. Das EVTI-Modul wird weiterhin initialisiert, aber nicht für das Demo-Event verwendet.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drawing>
          <wp:inline distT="0" distB="0" distL="0" distR="0">
            <wp:extent cx="5905500" cy="4010025"/>
            <wp:effectExtent l="0" t="0" r="0" b="0"/>
            <wp:docPr id="1" name="Image1" title="UML-Sequenzdiagramm: EVTI sendet ein Event, weckt den Task und dieser empfängt 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title="UML-Sequenzdiagramm: EVTI sendet ein Event, weckt den Task und dieser empfängt es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10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UML-Sequenz: </w:t>
      </w:r>
      <w:r>
        <w:rPr>
          <w:rStyle w:val="SourceText"/>
        </w:rPr>
        <w:t>EVTI_Send()</w:t>
      </w:r>
      <w:r>
        <w:rPr/>
        <w:t xml:space="preserve"> weckt den verbundenen Task; </w:t>
      </w:r>
      <w:r>
        <w:rPr>
          <w:rStyle w:val="SourceText"/>
        </w:rPr>
        <w:t>EVTI_Receive()</w:t>
      </w:r>
      <w:r>
        <w:rPr/>
        <w:t xml:space="preserve"> konsumiert das Pending-Flag. </w:t>
      </w:r>
    </w:p>
    <w:p>
      <w:pPr>
        <w:pStyle w:val="Heading3section"/>
        <w:bidi w:val="0"/>
        <w:ind w:hanging="0" w:start="0"/>
        <w:jc w:val="start"/>
        <w:rPr/>
      </w:pPr>
      <w:r>
        <w:rPr/>
        <w:t>Periodischer TIMI-Timer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Das zweite Ablaufbild zeigt den periodischen Timer der historischen </w:t>
      </w:r>
      <w:r>
        <w:rPr>
          <w:rStyle w:val="SourceText"/>
        </w:rPr>
        <w:t>TIMI_*</w:t>
      </w:r>
      <w:r>
        <w:rPr/>
        <w:t xml:space="preserve">-Schnittstelle. Die Anwendung erzeugt ihn mit dem Modus </w:t>
      </w:r>
      <w:r>
        <w:rPr>
          <w:rStyle w:val="SourceText"/>
        </w:rPr>
        <w:t>TIMI_PERIODIC</w:t>
      </w:r>
      <w:r>
        <w:rPr/>
        <w:t xml:space="preserve">, verbindet ihn mit einem Task und startet ihn. Die Timer-ISR sammelt Ticks; der BPCI-Scheduler ruft </w:t>
      </w:r>
      <w:r>
        <w:rPr>
          <w:rStyle w:val="SourceText"/>
        </w:rPr>
        <w:t>TIMI_TaskFunction()</w:t>
      </w:r>
      <w:r>
        <w:rPr/>
        <w:t xml:space="preserve"> zur Verarbeitung auf. Bei Ablauf reiht TIMI den periodischen Timer erneut ein und weckt den Task. Dieser konsumiert das Timerereignis mit </w:t>
      </w:r>
      <w:r>
        <w:rPr>
          <w:rStyle w:val="SourceText"/>
        </w:rPr>
        <w:t>TIMI_Event()</w:t>
      </w:r>
      <w:r>
        <w:rPr/>
        <w:t xml:space="preserve">. Hinweis: Die aktuelle Demo verwendet für ihre Timer stattdessen die neuere </w:t>
      </w:r>
      <w:r>
        <w:rPr>
          <w:rStyle w:val="SourceText"/>
        </w:rPr>
        <w:t>ccn_timer_*</w:t>
      </w:r>
      <w:r>
        <w:rPr/>
        <w:t>-API, die im vorherigen Abschnitt beschrieben ist.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drawing>
          <wp:inline distT="0" distB="0" distL="0" distR="0">
            <wp:extent cx="5905500" cy="4371975"/>
            <wp:effectExtent l="0" t="0" r="0" b="0"/>
            <wp:docPr id="2" name="Image2" title="UML-Sequenzdiagramm: Initialisierung und periodischer Ablauf eines TIMI-Tim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title="UML-Sequenzdiagramm: Initialisierung und periodischer Ablauf eines TIMI-Timers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7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UML-Sequenz: </w:t>
      </w:r>
      <w:r>
        <w:rPr>
          <w:rStyle w:val="SourceText"/>
        </w:rPr>
        <w:t>TIMI_PERIODIC</w:t>
      </w:r>
      <w:r>
        <w:rPr/>
        <w:t xml:space="preserve">-Timer anlegen, verbinden und starten; Ablauf prüfen mit </w:t>
      </w:r>
      <w:r>
        <w:rPr>
          <w:rStyle w:val="SourceText"/>
        </w:rPr>
        <w:t>TIMI_Event()</w:t>
      </w:r>
      <w:r>
        <w:rPr/>
        <w:t xml:space="preserve">. </w:t>
      </w:r>
    </w:p>
    <w:p>
      <w:pPr>
        <w:pStyle w:val="Heading2section"/>
        <w:bidi w:val="0"/>
        <w:ind w:hanging="0" w:start="0"/>
        <w:jc w:val="start"/>
        <w:rPr/>
      </w:pPr>
      <w:r>
        <w:rPr/>
        <w:t>Serielle Kommandos</w:t>
      </w:r>
    </w:p>
    <w:tbl>
      <w:tblPr>
        <w:tblW w:w="997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69"/>
        <w:gridCol w:w="5056"/>
        <w:gridCol w:w="4153"/>
      </w:tblGrid>
      <w:tr>
        <w:trPr/>
        <w:tc>
          <w:tcPr>
            <w:tcW w:w="7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Taste</w:t>
            </w:r>
          </w:p>
        </w:tc>
        <w:tc>
          <w:tcPr>
            <w:tcW w:w="505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Wirkung</w:t>
            </w:r>
          </w:p>
        </w:tc>
        <w:tc>
          <w:tcPr>
            <w:tcW w:w="41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Was der Ausgabetask meldet</w:t>
            </w:r>
          </w:p>
        </w:tc>
      </w:tr>
      <w:tr>
        <w:trPr/>
        <w:tc>
          <w:tcPr>
            <w:tcW w:w="769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ourceText"/>
              </w:rPr>
              <w:t>e</w:t>
            </w:r>
          </w:p>
        </w:tc>
        <w:tc>
          <w:tcPr>
            <w:tcW w:w="5056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Event senden; Empfänger wird bereit.</w:t>
            </w:r>
          </w:p>
        </w:tc>
        <w:tc>
          <w:tcPr>
            <w:tcW w:w="4153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„</w:t>
            </w:r>
            <w:r>
              <w:rPr/>
              <w:t>Event empfangen.“</w:t>
            </w:r>
          </w:p>
        </w:tc>
      </w:tr>
      <w:tr>
        <w:trPr/>
        <w:tc>
          <w:tcPr>
            <w:tcW w:w="769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ourceText"/>
              </w:rPr>
              <w:t>m</w:t>
            </w:r>
          </w:p>
        </w:tc>
        <w:tc>
          <w:tcPr>
            <w:tcW w:w="5056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Ganze Sekunden seit Start als Mailbox-Nachricht senden.</w:t>
            </w:r>
          </w:p>
        </w:tc>
        <w:tc>
          <w:tcPr>
            <w:tcW w:w="4153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Zeitstempel in Sekunden.</w:t>
            </w:r>
          </w:p>
        </w:tc>
      </w:tr>
      <w:tr>
        <w:trPr/>
        <w:tc>
          <w:tcPr>
            <w:tcW w:w="769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ourceText"/>
              </w:rPr>
              <w:t>w</w:t>
            </w:r>
          </w:p>
        </w:tc>
        <w:tc>
          <w:tcPr>
            <w:tcW w:w="5056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Ausgabetask direkt aufwecken.</w:t>
            </w:r>
          </w:p>
        </w:tc>
        <w:tc>
          <w:tcPr>
            <w:tcW w:w="4153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„</w:t>
            </w:r>
            <w:r>
              <w:rPr/>
              <w:t>Task direkt aufgeweckt.“</w:t>
            </w:r>
          </w:p>
        </w:tc>
      </w:tr>
      <w:tr>
        <w:trPr/>
        <w:tc>
          <w:tcPr>
            <w:tcW w:w="769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ourceText"/>
              </w:rPr>
              <w:t>t</w:t>
            </w:r>
          </w:p>
        </w:tc>
        <w:tc>
          <w:tcPr>
            <w:tcW w:w="5056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Einmaligen 3-Sekunden-Timer starten oder neu starten.</w:t>
            </w:r>
          </w:p>
        </w:tc>
        <w:tc>
          <w:tcPr>
            <w:tcW w:w="4153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Nach Ablauf: „3-Sekunden-Timer abgelaufen.“</w:t>
            </w:r>
          </w:p>
        </w:tc>
      </w:tr>
    </w:tbl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Die Großbuchstaben </w:t>
      </w:r>
      <w:r>
        <w:rPr>
          <w:rStyle w:val="SourceText"/>
        </w:rPr>
        <w:t>E</w:t>
      </w:r>
      <w:r>
        <w:rPr/>
        <w:t xml:space="preserve">, </w:t>
      </w:r>
      <w:r>
        <w:rPr>
          <w:rStyle w:val="SourceText"/>
        </w:rPr>
        <w:t>M</w:t>
      </w:r>
      <w:r>
        <w:rPr/>
        <w:t xml:space="preserve">, </w:t>
      </w:r>
      <w:r>
        <w:rPr>
          <w:rStyle w:val="SourceText"/>
        </w:rPr>
        <w:t>W</w:t>
      </w:r>
      <w:r>
        <w:rPr/>
        <w:t xml:space="preserve"> und </w:t>
      </w:r>
      <w:r>
        <w:rPr>
          <w:rStyle w:val="SourceText"/>
        </w:rPr>
        <w:t>T</w:t>
      </w:r>
      <w:r>
        <w:rPr/>
        <w:t xml:space="preserve"> werden ebenfalls akzeptiert. Neue Zeile oder Wagenrücklauf werden ignoriert. Unbekannte Zeichen werden verworfen.</w:t>
      </w:r>
    </w:p>
    <w:p>
      <w:pPr>
        <w:pStyle w:val="Heading2section"/>
        <w:bidi w:val="0"/>
        <w:ind w:hanging="0" w:start="0"/>
        <w:jc w:val="start"/>
        <w:rPr/>
      </w:pPr>
      <w:r>
        <w:rPr/>
        <w:t>Anhang A – printf und serielle Ausgabe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>
          <w:rStyle w:val="SourceText"/>
        </w:rPr>
        <w:t>printf</w:t>
      </w:r>
      <w:r>
        <w:rPr/>
        <w:t xml:space="preserve"> stammt aus avr-libc und ist in </w:t>
      </w:r>
      <w:r>
        <w:rPr>
          <w:rStyle w:val="SourceText"/>
        </w:rPr>
        <w:t>&lt;stdio.h&gt;</w:t>
      </w:r>
      <w:r>
        <w:rPr/>
        <w:t xml:space="preserve"> deklariert. Das Modul </w:t>
      </w:r>
      <w:r>
        <w:rPr>
          <w:rStyle w:val="SourceText"/>
        </w:rPr>
        <w:t>SIOI</w:t>
      </w:r>
      <w:r>
        <w:rPr/>
        <w:t xml:space="preserve"> implementiert nicht die Formatierung selbst: </w:t>
      </w:r>
      <w:r>
        <w:rPr>
          <w:rStyle w:val="SourceText"/>
        </w:rPr>
        <w:t>SIOI_Init()</w:t>
      </w:r>
      <w:r>
        <w:rPr/>
        <w:t xml:space="preserve"> konfiguriert UART0 auf 9600 Baud und verbindet </w:t>
      </w:r>
      <w:r>
        <w:rPr>
          <w:rStyle w:val="SourceText"/>
        </w:rPr>
        <w:t>stdout</w:t>
      </w:r>
      <w:r>
        <w:rPr/>
        <w:t xml:space="preserve"> mit einer avr-libc-</w:t>
      </w:r>
      <w:r>
        <w:rPr>
          <w:rStyle w:val="SourceText"/>
        </w:rPr>
        <w:t>FILE</w:t>
      </w:r>
      <w:r>
        <w:rPr/>
        <w:t>-Ausgabefunktion. Diese Callback-Funktion wartet, bis UART0 das nächste Zeichen senden kann, und schreibt es in das UART-Datenregister.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>Beispiele aus dem Programm:</w:t>
      </w:r>
    </w:p>
    <w:p>
      <w:pPr>
        <w:pStyle w:val="PreformattedText"/>
        <w:bidi w:val="0"/>
        <w:spacing w:before="0" w:after="0"/>
        <w:jc w:val="start"/>
        <w:rPr/>
      </w:pPr>
      <w:r>
        <w:rPr/>
        <w:t>printf("Event empfangen.\n");</w:t>
      </w:r>
    </w:p>
    <w:p>
      <w:pPr>
        <w:pStyle w:val="PreformattedText"/>
        <w:bidi w:val="0"/>
        <w:spacing w:before="0" w:after="0"/>
        <w:jc w:val="start"/>
        <w:rPr/>
      </w:pPr>
      <w:r>
        <w:rPr/>
        <w:t>printf("Mailbox-Nachricht: %lu Sekunden seit Start.\n",</w:t>
      </w:r>
    </w:p>
    <w:p>
      <w:pPr>
        <w:pStyle w:val="PreformattedText"/>
        <w:bidi w:val="0"/>
        <w:spacing w:before="0" w:after="283"/>
        <w:jc w:val="start"/>
        <w:rPr/>
      </w:pPr>
      <w:r>
        <w:rPr/>
        <w:t xml:space="preserve">       </w:t>
      </w:r>
      <w:r>
        <w:rPr/>
        <w:t>(unsigned long)timestamp);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>
          <w:rStyle w:val="SourceText"/>
        </w:rPr>
        <w:t>%lu</w:t>
      </w:r>
      <w:r>
        <w:rPr/>
        <w:t xml:space="preserve"> passt zum als </w:t>
      </w:r>
      <w:r>
        <w:rPr>
          <w:rStyle w:val="SourceText"/>
        </w:rPr>
        <w:t>unsigned long</w:t>
      </w:r>
      <w:r>
        <w:rPr/>
        <w:t xml:space="preserve"> übergebenen 32-Bit-Sekundenwert auf dem AVR. Das Modul wandelt </w:t>
      </w:r>
      <w:r>
        <w:rPr>
          <w:rStyle w:val="SourceText"/>
        </w:rPr>
        <w:t>\n</w:t>
      </w:r>
      <w:r>
        <w:rPr/>
        <w:t xml:space="preserve"> für das Terminal in CR/LF um. Da diese Ausgabe synchron erfolgt, sollen Tasks nur kurze Meldungen senden.</w:t>
      </w:r>
    </w:p>
    <w:p>
      <w:pPr>
        <w:pStyle w:val="Heading2"/>
        <w:numPr>
          <w:ilvl w:val="0"/>
          <w:numId w:val="0"/>
        </w:numPr>
        <w:bidi w:val="0"/>
        <w:spacing w:before="440" w:after="120"/>
        <w:ind w:hanging="0" w:start="0"/>
        <w:jc w:val="start"/>
        <w:rPr/>
      </w:pPr>
      <w:r>
        <w:rPr/>
        <w:t>Anhang B – Receive- und Abfragefunktionen</w:t>
      </w:r>
    </w:p>
    <w:tbl>
      <w:tblPr>
        <w:tblW w:w="997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24"/>
        <w:gridCol w:w="3907"/>
        <w:gridCol w:w="3247"/>
      </w:tblGrid>
      <w:tr>
        <w:trPr/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Funktion</w:t>
            </w:r>
          </w:p>
        </w:tc>
        <w:tc>
          <w:tcPr>
            <w:tcW w:w="390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Ergebnis und Nebenwirkung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Verwendung in der Demo</w:t>
            </w:r>
          </w:p>
        </w:tc>
      </w:tr>
      <w:tr>
        <w:trPr/>
        <w:tc>
          <w:tcPr>
            <w:tcW w:w="2824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ourceText"/>
              </w:rPr>
              <w:t>SIOI_ReadChar()</w:t>
            </w:r>
          </w:p>
        </w:tc>
        <w:tc>
          <w:tcPr>
            <w:tcW w:w="3907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Liefert ein Zeichen (0–255) oder </w:t>
            </w:r>
            <w:r>
              <w:rPr>
                <w:rStyle w:val="SourceText"/>
              </w:rPr>
              <w:t>-1</w:t>
            </w:r>
            <w:r>
              <w:rPr/>
              <w:t>, wenn der RX-Ringpuffer leer ist. Ein geliefertes Zeichen wird aus dem Puffer entfernt.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Der serielle Task liest alle verfügbaren Zeichen und interpretiert Kommandos.</w:t>
            </w:r>
          </w:p>
        </w:tc>
      </w:tr>
      <w:tr>
        <w:trPr/>
        <w:tc>
          <w:tcPr>
            <w:tcW w:w="2824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ourceText"/>
              </w:rPr>
              <w:t>ccn_event_receive(event)</w:t>
            </w:r>
          </w:p>
        </w:tc>
        <w:tc>
          <w:tcPr>
            <w:tcW w:w="3907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Liefert </w:t>
            </w:r>
            <w:r>
              <w:rPr>
                <w:rStyle w:val="SourceText"/>
              </w:rPr>
              <w:t>true</w:t>
            </w:r>
            <w:r>
              <w:rPr/>
              <w:t xml:space="preserve">, wenn ein Event anstand, und löscht dann dessen Pending-Flag. Sonst </w:t>
            </w:r>
            <w:r>
              <w:rPr>
                <w:rStyle w:val="SourceText"/>
              </w:rPr>
              <w:t>false</w:t>
            </w:r>
            <w:r>
              <w:rPr/>
              <w:t>.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Der Ausgabetask konsumiert das Event </w:t>
            </w:r>
            <w:r>
              <w:rPr>
                <w:rStyle w:val="SourceText"/>
              </w:rPr>
              <w:t>e</w:t>
            </w:r>
            <w:r>
              <w:rPr/>
              <w:t>.</w:t>
            </w:r>
          </w:p>
        </w:tc>
      </w:tr>
      <w:tr>
        <w:trPr/>
        <w:tc>
          <w:tcPr>
            <w:tcW w:w="2824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ourceText"/>
              </w:rPr>
              <w:t>ccn_mailbox_receive(mailbox, &amp;message)</w:t>
            </w:r>
          </w:p>
        </w:tc>
        <w:tc>
          <w:tcPr>
            <w:tcW w:w="3907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Bei Erfolg wird die älteste FIFO-Nachricht in </w:t>
            </w:r>
            <w:r>
              <w:rPr>
                <w:rStyle w:val="SourceText"/>
              </w:rPr>
              <w:t>message</w:t>
            </w:r>
            <w:r>
              <w:rPr/>
              <w:t xml:space="preserve"> geschrieben und aus der Mailbox entfernt; andernfalls </w:t>
            </w:r>
            <w:r>
              <w:rPr>
                <w:rStyle w:val="SourceText"/>
              </w:rPr>
              <w:t>false</w:t>
            </w:r>
            <w:r>
              <w:rPr/>
              <w:t>.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Der Ausgabetask leert die Mailbox vollständig.</w:t>
            </w:r>
          </w:p>
        </w:tc>
      </w:tr>
      <w:tr>
        <w:trPr/>
        <w:tc>
          <w:tcPr>
            <w:tcW w:w="2824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ourceText"/>
              </w:rPr>
              <w:t>ccn_timer_expired(timer)</w:t>
            </w:r>
          </w:p>
        </w:tc>
        <w:tc>
          <w:tcPr>
            <w:tcW w:w="3907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Liefert </w:t>
            </w:r>
            <w:r>
              <w:rPr>
                <w:rStyle w:val="SourceText"/>
              </w:rPr>
              <w:t>true</w:t>
            </w:r>
            <w:r>
              <w:rPr/>
              <w:t>, wenn der Timer seit der letzten Abfrage abgelaufen ist, und konsumiert dieses Ablauf-Flag.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Der Ausgabetask erkennt den 3-Sekunden-Timer.</w:t>
            </w:r>
          </w:p>
        </w:tc>
      </w:tr>
      <w:tr>
        <w:trPr/>
        <w:tc>
          <w:tcPr>
            <w:tcW w:w="2824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ourceText"/>
              </w:rPr>
              <w:t>ccn_mailbox_count(mailbox)</w:t>
            </w:r>
          </w:p>
        </w:tc>
        <w:tc>
          <w:tcPr>
            <w:tcW w:w="3907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Liefert die aktuell gespeicherte Anzahl der Nachrichten; ungültige ID ergibt 0.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Kann zum Prüfen des Mailbox-Füllstands verwendet werden.</w:t>
            </w:r>
          </w:p>
        </w:tc>
      </w:tr>
    </w:tbl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Wichtig: Das serielle Empfangs-Interrupt sammelt Bytes in einem Ringpuffer. Die Kommandos werden erst später im kooperativen Task verarbeitet; die Interrupt-Service-Routine führt weder </w:t>
      </w:r>
      <w:r>
        <w:rPr>
          <w:rStyle w:val="SourceText"/>
        </w:rPr>
        <w:t>printf</w:t>
      </w:r>
      <w:r>
        <w:rPr/>
        <w:t xml:space="preserve"> noch Scheduler-Logik aus.</w:t>
      </w:r>
    </w:p>
    <w:p>
      <w:pPr>
        <w:pStyle w:val="BodyTextsmall"/>
        <w:bidi w:val="0"/>
        <w:spacing w:before="100" w:after="160"/>
        <w:jc w:val="start"/>
        <w:rPr/>
      </w:pPr>
      <w:r>
        <w:rPr/>
        <w:t xml:space="preserve">Projektdateien: </w:t>
      </w:r>
      <w:r>
        <w:rPr>
          <w:rStyle w:val="SourceText"/>
        </w:rPr>
        <w:t>src/main.c</w:t>
      </w:r>
      <w:r>
        <w:rPr/>
        <w:t xml:space="preserve">, </w:t>
      </w:r>
      <w:r>
        <w:rPr>
          <w:rStyle w:val="SourceText"/>
        </w:rPr>
        <w:t>coconut/ccn.c</w:t>
      </w:r>
      <w:r>
        <w:rPr/>
        <w:t xml:space="preserve">, </w:t>
      </w:r>
      <w:r>
        <w:rPr>
          <w:rStyle w:val="SourceText"/>
        </w:rPr>
        <w:t>coconut/timer_avr.c</w:t>
      </w:r>
      <w:r>
        <w:rPr/>
        <w:t xml:space="preserve">, </w:t>
      </w:r>
      <w:r>
        <w:rPr>
          <w:rStyle w:val="SourceText"/>
        </w:rPr>
        <w:t>coconut/sioi.c</w:t>
      </w:r>
      <w:r>
        <w:rPr/>
        <w:t xml:space="preserve">, </w:t>
      </w:r>
      <w:r>
        <w:rPr>
          <w:rStyle w:val="SourceText"/>
        </w:rPr>
        <w:t>include/ccn.h</w:t>
      </w:r>
      <w:r>
        <w:rPr/>
        <w:t xml:space="preserve">, </w:t>
      </w:r>
      <w:r>
        <w:rPr>
          <w:rStyle w:val="SourceText"/>
        </w:rPr>
        <w:t>include/sioi_if.h</w:t>
      </w:r>
      <w:r>
        <w:rPr/>
        <w:t xml:space="preserve"> sowie die editierbaren UML-Quellen </w:t>
      </w:r>
      <w:r>
        <w:rPr>
          <w:rStyle w:val="SourceText"/>
        </w:rPr>
        <w:t>docs/uml/evti-sequence.svg</w:t>
      </w:r>
      <w:r>
        <w:rPr/>
        <w:t xml:space="preserve"> und </w:t>
      </w:r>
      <w:r>
        <w:rPr>
          <w:rStyle w:val="SourceText"/>
        </w:rPr>
        <w:t>docs/uml/periodic-timer-sequence.svg</w:t>
      </w:r>
      <w:r>
        <w:rPr/>
        <w:t>.</w:t>
      </w:r>
    </w:p>
    <w:sectPr>
      <w:type w:val="nextPage"/>
      <w:pgSz w:w="11906" w:h="16838"/>
      <w:pgMar w:left="964" w:right="964" w:gutter="0" w:header="0" w:top="1020" w:footer="0" w:bottom="1020"/>
      <w:pgNumType w:fmt="decimal"/>
      <w:formProt w:val="false"/>
      <w:textDirection w:val="lrTb"/>
      <w:docGrid w:type="default" w:linePitch="600" w:charSpace="3870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altName w:val="Arial"/>
    <w:charset w:val="01" w:characterSet="utf-8"/>
    <w:family w:val="roman"/>
    <w:pitch w:val="variable"/>
  </w:font>
  <w:font w:name="Consolas">
    <w:altName w:val="Liberation Mono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lineRule="auto" w:line="312" w:before="0" w:after="0"/>
      <w:jc w:val="start"/>
    </w:pPr>
    <w:rPr>
      <w:rFonts w:ascii="Calibri;Arial;sans-serif" w:hAnsi="Calibri;Arial;sans-serif" w:eastAsia="Calibri;Arial;sans-serif" w:cs="Calibri;Arial;sans-serif"/>
      <w:color w:val="202A35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174A6E"/>
      <w:sz w:val="50"/>
      <w:szCs w:val="50"/>
    </w:rPr>
  </w:style>
  <w:style w:type="paragraph" w:styleId="Heading2">
    <w:name w:val="heading 2"/>
    <w:basedOn w:val="Heading"/>
    <w:next w:val="BodyText"/>
    <w:qFormat/>
    <w:pPr>
      <w:pBdr>
        <w:bottom w:val="single" w:sz="2" w:space="4" w:color="8AAABC"/>
      </w:pBdr>
      <w:spacing w:before="440" w:after="120"/>
      <w:outlineLvl w:val="1"/>
    </w:pPr>
    <w:rPr>
      <w:rFonts w:ascii="Liberation Serif" w:hAnsi="Liberation Serif" w:eastAsia="Noto Serif CJK SC" w:cs="Noto Sans Devanagari"/>
      <w:b/>
      <w:bCs/>
      <w:color w:val="174A6E"/>
      <w:sz w:val="34"/>
      <w:szCs w:val="34"/>
    </w:rPr>
  </w:style>
  <w:style w:type="paragraph" w:styleId="Heading3">
    <w:name w:val="heading 3"/>
    <w:basedOn w:val="Heading"/>
    <w:next w:val="BodyText"/>
    <w:qFormat/>
    <w:pPr>
      <w:spacing w:before="140" w:after="80"/>
      <w:outlineLvl w:val="2"/>
    </w:pPr>
    <w:rPr>
      <w:rFonts w:ascii="Liberation Serif" w:hAnsi="Liberation Serif" w:eastAsia="Noto Serif CJK SC" w:cs="Noto Sans Devanagari"/>
      <w:b/>
      <w:bCs/>
      <w:color w:val="276783"/>
      <w:sz w:val="24"/>
      <w:szCs w:val="24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user">
    <w:name w:val="Endnote Characters (user)"/>
    <w:qFormat/>
    <w:rPr/>
  </w:style>
  <w:style w:type="character" w:styleId="FootnoteCharactersuser">
    <w:name w:val="Footnote Characters (user)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Liberation Mono;monospace" w:hAnsi="Consolas;Liberation Mono;monospace" w:eastAsia="Consolas;Liberation Mono;monospace" w:cs="Consolas;Liberation Mono;monospace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before="100" w:after="160"/>
      <w:ind w:start="100" w:end="10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start"/>
    </w:pPr>
    <w:rPr/>
  </w:style>
  <w:style w:type="paragraph" w:styleId="PreformattedText">
    <w:name w:val="Preformatted Text"/>
    <w:basedOn w:val="Normal"/>
    <w:qFormat/>
    <w:pPr>
      <w:pBdr>
        <w:top w:val="single" w:sz="2" w:space="8" w:color="B8C9D1"/>
        <w:left w:val="single" w:sz="2" w:space="8" w:color="B8C9D1"/>
        <w:bottom w:val="single" w:sz="2" w:space="8" w:color="B8C9D1"/>
        <w:right w:val="single" w:sz="2" w:space="8" w:color="B8C9D1"/>
      </w:pBdr>
      <w:spacing w:before="0" w:after="0"/>
    </w:pPr>
    <w:rPr>
      <w:rFonts w:ascii="Consolas;Liberation Mono;monospace" w:hAnsi="Consolas;Liberation Mono;monospace" w:eastAsia="Consolas;Liberation Mono;monospace" w:cs="Consolas;Liberation Mono;monospace"/>
      <w:sz w:val="18"/>
      <w:szCs w:val="18"/>
    </w:rPr>
  </w:style>
  <w:style w:type="paragraph" w:styleId="BodyTextsubtitle">
    <w:name w:val="Body Text.subtitle"/>
    <w:basedOn w:val="BodyText"/>
    <w:qFormat/>
    <w:pPr/>
    <w:rPr>
      <w:color w:val="536B78"/>
      <w:sz w:val="26"/>
      <w:szCs w:val="26"/>
    </w:rPr>
  </w:style>
  <w:style w:type="paragraph" w:styleId="Heading2section">
    <w:name w:val="Heading 2.section"/>
    <w:basedOn w:val="Heading2"/>
    <w:qFormat/>
    <w:pPr>
      <w:pageBreakBefore/>
    </w:pPr>
    <w:rPr/>
  </w:style>
  <w:style w:type="paragraph" w:styleId="Heading3section">
    <w:name w:val="Heading 3.section"/>
    <w:basedOn w:val="Heading3"/>
    <w:qFormat/>
    <w:pPr>
      <w:pageBreakBefore/>
    </w:pPr>
    <w:rPr/>
  </w:style>
  <w:style w:type="paragraph" w:styleId="TableHeading">
    <w:name w:val="Table Heading"/>
    <w:basedOn w:val="TableContents"/>
    <w:qFormat/>
    <w:pPr>
      <w:suppressLineNumbers/>
      <w:jc w:val="start"/>
    </w:pPr>
    <w:rPr>
      <w:b/>
      <w:bCs/>
      <w:color w:val="174A6E"/>
    </w:rPr>
  </w:style>
  <w:style w:type="paragraph" w:styleId="BodyTextsmall">
    <w:name w:val="Body Text.small"/>
    <w:basedOn w:val="BodyText"/>
    <w:qFormat/>
    <w:pPr/>
    <w:rPr>
      <w:color w:val="52616B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LibreOffice/25.8.4.2$Linux_X86_64 LibreOffice_project/580$Build-2</Application>
  <AppVersion>15.0000</AppVersion>
  <Pages>10</Pages>
  <Words>1076</Words>
  <Characters>7026</Characters>
  <CharactersWithSpaces>8041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2026-10-26T17:23:31Z</dcterms:modified>
  <cp:revision>1</cp:revision>
  <dc:subject/>
  <dc:title>&lt;o&lt;onut – Scheduler und Module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