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introduction-to-newtons-laws-of-motion"/>
    <w:p>
      <w:pPr>
        <w:pStyle w:val="Heading1"/>
      </w:pPr>
      <w:r>
        <w:t xml:space="preserve">Introduction to Newton’s Laws of Motion</w:t>
      </w:r>
    </w:p>
    <w:p>
      <w:pPr>
        <w:pStyle w:val="FirstParagraph"/>
      </w:pPr>
      <w:r>
        <w:t xml:space="preserve">Physics is the study of matter, energy, and the interactions between them. In this lesson, we’ll explore</w:t>
      </w:r>
      <w:r>
        <w:t xml:space="preserve"> </w:t>
      </w:r>
      <w:r>
        <w:rPr>
          <w:b/>
          <w:bCs/>
        </w:rPr>
        <w:t xml:space="preserve">Newton’s Laws of Motion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newtons-first-law">
        <w:r>
          <w:rPr>
            <w:rStyle w:val="Hyperlink"/>
          </w:rPr>
          <w:t xml:space="preserve">Newton’s First Law</w:t>
        </w:r>
      </w:hyperlink>
    </w:p>
    <w:p>
      <w:pPr>
        <w:pStyle w:val="Compact"/>
        <w:numPr>
          <w:ilvl w:val="0"/>
          <w:numId w:val="1001"/>
        </w:numPr>
      </w:pPr>
      <w:hyperlink w:anchor="newtons-second-law">
        <w:r>
          <w:rPr>
            <w:rStyle w:val="Hyperlink"/>
          </w:rPr>
          <w:t xml:space="preserve">Newton’s Second Law</w:t>
        </w:r>
      </w:hyperlink>
    </w:p>
    <w:p>
      <w:pPr>
        <w:pStyle w:val="Compact"/>
        <w:numPr>
          <w:ilvl w:val="0"/>
          <w:numId w:val="1001"/>
        </w:numPr>
      </w:pPr>
      <w:hyperlink w:anchor="newtons-third-law">
        <w:r>
          <w:rPr>
            <w:rStyle w:val="Hyperlink"/>
          </w:rPr>
          <w:t xml:space="preserve">Newton’s Third Law</w:t>
        </w:r>
      </w:hyperlink>
    </w:p>
    <w:p>
      <w:pPr>
        <w:pStyle w:val="Compact"/>
        <w:numPr>
          <w:ilvl w:val="0"/>
          <w:numId w:val="1001"/>
        </w:numPr>
      </w:pPr>
      <w:hyperlink w:anchor="sample-problems">
        <w:r>
          <w:rPr>
            <w:rStyle w:val="Hyperlink"/>
          </w:rPr>
          <w:t xml:space="preserve">Sample Problems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newtons-first-law"/>
    <w:p>
      <w:pPr>
        <w:pStyle w:val="Heading2"/>
      </w:pPr>
      <w:r>
        <w:t xml:space="preserve">Newton’s First Law</w:t>
      </w:r>
    </w:p>
    <w:p>
      <w:pPr>
        <w:pStyle w:val="BlockText"/>
      </w:pPr>
      <w:r>
        <w:t xml:space="preserve">An object at rest stays at rest and an object in motion stays in motion unless acted upon by an external force.</w:t>
      </w:r>
    </w:p>
    <w:p>
      <w:pPr>
        <w:pStyle w:val="Compact"/>
        <w:numPr>
          <w:ilvl w:val="0"/>
          <w:numId w:val="1002"/>
        </w:numPr>
      </w:pPr>
      <w:r>
        <w:t xml:space="preserve">Also known as the</w:t>
      </w:r>
      <w:r>
        <w:t xml:space="preserve"> </w:t>
      </w:r>
      <w:r>
        <w:rPr>
          <w:b/>
          <w:bCs/>
        </w:rPr>
        <w:t xml:space="preserve">Law of Inertia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Example: A book on a table remains at rest unless pushed.</w:t>
      </w:r>
    </w:p>
    <w:p>
      <w:r>
        <w:pict>
          <v:rect style="width:0;height:1.5pt" o:hralign="center" o:hrstd="t" o:hr="t"/>
        </w:pict>
      </w:r>
    </w:p>
    <w:bookmarkEnd w:id="10"/>
    <w:bookmarkStart w:id="11" w:name="newtons-second-law"/>
    <w:p>
      <w:pPr>
        <w:pStyle w:val="Heading2"/>
      </w:pPr>
      <w:r>
        <w:t xml:space="preserve">Newton’s Second Law</w:t>
      </w:r>
    </w:p>
    <w:p>
      <w:pPr>
        <w:pStyle w:val="FirstParagraph"/>
      </w:pPr>
      <w:r>
        <w:t xml:space="preserve">Newton’s Second Law relates force, mass, and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⋅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Force (Newtons)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 (kg)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Acceleration (</w:t>
      </w:r>
      <m:oMath>
        <m:r>
          <m:t>m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Example Calculation: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2025-07-18T00:52:59Z</dcterms:created>
  <dcterms:modified xsi:type="dcterms:W3CDTF">2025-07-18T00:52:59Z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