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66.png" ContentType="image/png"/>
  <Override PartName="/word/media/rId75.png" ContentType="image/png"/>
  <Override PartName="/word/media/rId87.png" ContentType="image/png"/>
  <Override PartName="/word/media/rId148.png" ContentType="image/png"/>
  <Override PartName="/word/media/rId62.png" ContentType="image/png"/>
  <Override PartName="/word/media/rId142.png" ContentType="image/png"/>
  <Override PartName="/word/media/rId172.png" ContentType="image/png"/>
  <Override PartName="/word/media/rId126.png" ContentType="image/png"/>
  <Override PartName="/word/media/rId25.png" ContentType="image/png"/>
  <Override PartName="/word/media/rId69.png" ContentType="image/png"/>
  <Override PartName="/word/media/rId35.png" ContentType="image/png"/>
  <Override PartName="/word/media/rId45.png" ContentType="image/png"/>
  <Override PartName="/word/media/rId81.png" ContentType="image/png"/>
  <Override PartName="/word/media/rId133.png" ContentType="image/png"/>
  <Override PartName="/word/media/rId72.png" ContentType="image/png"/>
  <Override PartName="/word/media/rId129.png" ContentType="image/png"/>
  <Override PartName="/word/media/rId151.png" ContentType="image/png"/>
  <Override PartName="/word/media/rId28.png" ContentType="image/png"/>
  <Override PartName="/word/media/rId105.png" ContentType="image/png"/>
  <Override PartName="/word/media/rId108.png" ContentType="image/png"/>
  <Override PartName="/word/media/rId90.png" ContentType="image/png"/>
  <Override PartName="/word/media/rId40.png" ContentType="image/png"/>
  <Override PartName="/word/media/rId78.png" ContentType="image/png"/>
  <Override PartName="/word/media/rId145.png" ContentType="image/png"/>
  <Override PartName="/word/media/rId175.png" ContentType="image/png"/>
  <Override PartName="/word/media/rId102.png" ContentType="image/png"/>
  <Override PartName="/word/media/rId84.png" ContentType="image/png"/>
  <Override PartName="/word/media/rId99.png" ContentType="image/png"/>
  <Override PartName="/word/media/rId111.png" ContentType="image/png"/>
  <Override PartName="/word/media/rId93.png" ContentType="image/png"/>
  <Override PartName="/word/media/rId169.png" ContentType="image/png"/>
  <Override PartName="/word/media/rId166.png" ContentType="image/png"/>
  <Override PartName="/word/media/rId136.png" ContentType="image/png"/>
  <Override PartName="/word/media/rId163.png" ContentType="image/png"/>
  <Override PartName="/word/media/rId50.png" ContentType="image/png"/>
  <Override PartName="/word/media/rId120.png" ContentType="image/png"/>
  <Override PartName="/word/media/rId154.png" ContentType="image/png"/>
  <Override PartName="/word/media/rId160.png" ContentType="image/png"/>
  <Override PartName="/word/media/rId117.png" ContentType="image/png"/>
  <Override PartName="/word/media/rId178.png" ContentType="image/png"/>
  <Override PartName="/word/media/rId96.png" ContentType="image/png"/>
  <Override PartName="/word/media/rId123.png" ContentType="image/png"/>
  <Override PartName="/word/media/rId114.png" ContentType="image/png"/>
  <Override PartName="/word/media/rId157.png" ContentType="image/png"/>
  <Override PartName="/word/media/rId139.png" ContentType="image/png"/>
  <Override PartName="/word/media/rId32.png" ContentType="image/png"/>
  <Override PartName="/word/media/rId59.png" ContentType="image/png"/>
  <Override PartName="/word/media/rId54.png" ContentType="image/png"/>
  <Override PartName="/word/media/image2.jpeg" ContentType="image/jpeg"/>
  <Override PartName="/word/media/image3.jpeg" ContentType="image/jpeg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re"/>
      </w:pPr>
      <w:r>
        <w:t xml:space="preserve">Bilan mensuel ONDE</w:t>
      </w:r>
      <w:r>
        <w:br/>
      </w:r>
      <w:r>
        <w:t xml:space="preserve">Observatoire national des étiages</w:t>
      </w:r>
      <w:r>
        <w:br/>
      </w:r>
      <w:r>
        <w:t xml:space="preserve">Département 57</w:t>
      </w:r>
    </w:p>
    <w:p>
      <w:pPr>
        <w:pStyle w:val="Author"/>
      </w:pPr>
      <w:r>
        <w:t xml:space="preserve">OFB, DR Grand Est</w:t>
      </w:r>
    </w:p>
    <w:p>
      <w:pPr>
        <w:pStyle w:val="Date"/>
      </w:pPr>
      <w:r>
        <w:t xml:space="preserve">Campagne usuelle de juillet 2026</w:t>
      </w:r>
      <w:r>
        <w:br/>
      </w:r>
      <w:r>
        <w:t xml:space="preserve">rapport créé le 27 juillet 2026</w:t>
      </w:r>
    </w:p>
    <w:p>
      <w:r>
        <w:br w:type="page"/>
      </w:r>
    </w:p>
    <w:bookmarkStart w:id="23" w:name="Xc2e6a64d1ab83c48f66cf78e730f9f5d0f35d39"/>
    <w:p>
      <w:pPr>
        <w:pStyle w:val="Titre1"/>
      </w:pPr>
      <w:r>
        <w:t xml:space="preserve">Rappels réseau ONDE : informations générales pour le déroulement des campagnes d’acquisition de données</w:t>
      </w:r>
    </w:p>
    <w:p>
      <w:pPr>
        <w:pStyle w:val="FirstParagraph"/>
      </w:pPr>
      <w:r>
        <w:t xml:space="preserve">Les stations d’observations du réseau ONDE sont majoritairement positionnées en tête de bassin pour apporter de l’information sur les situations hydrographiques non couvertes par d’autres dispositifs existants (banque</w:t>
      </w:r>
      <w:r>
        <w:t xml:space="preserve"> </w:t>
      </w:r>
      <w:hyperlink r:id="rId20">
        <w:r>
          <w:rPr>
            <w:rStyle w:val="Lienhypertexte"/>
          </w:rPr>
          <w:t xml:space="preserve">HYDRO</w:t>
        </w:r>
      </w:hyperlink>
      <w:r>
        <w:t xml:space="preserve"> </w:t>
      </w:r>
      <w:r>
        <w:t xml:space="preserve">et</w:t>
      </w:r>
      <w:r>
        <w:t xml:space="preserve"> </w:t>
      </w:r>
      <w:hyperlink r:id="rId21">
        <w:r>
          <w:rPr>
            <w:rStyle w:val="Lienhypertexte"/>
          </w:rPr>
          <w:t xml:space="preserve">ADES</w:t>
        </w:r>
      </w:hyperlink>
      <w:r>
        <w:t xml:space="preserve"> </w:t>
      </w:r>
      <w:r>
        <w:t xml:space="preserve">par exemple). Environ 30 stations compose le réseau de chaque département.</w:t>
      </w:r>
    </w:p>
    <w:p>
      <w:pPr>
        <w:pStyle w:val="Corpsdetexte"/>
      </w:pPr>
      <w:r>
        <w:t xml:space="preserve">Le réseau ONDE s’organise selon deux types de suivis :</w:t>
      </w:r>
      <w:r>
        <w:t xml:space="preserve"> </w:t>
      </w:r>
      <w:r>
        <w:rPr>
          <w:b/>
          <w:bCs/>
        </w:rPr>
        <w:t xml:space="preserve">(i) un suivi usuel</w:t>
      </w:r>
      <w:r>
        <w:t xml:space="preserve"> </w:t>
      </w:r>
      <w:r>
        <w:t xml:space="preserve">(au milieu de chaque dernière décade du mois, le 25 ± 2 jours, entre fin mai et fin septembre), et</w:t>
      </w:r>
      <w:r>
        <w:t xml:space="preserve"> </w:t>
      </w:r>
      <w:r>
        <w:rPr>
          <w:b/>
          <w:bCs/>
        </w:rPr>
        <w:t xml:space="preserve">(ii) un suivi complémentaire</w:t>
      </w:r>
      <w:r>
        <w:t xml:space="preserve"> </w:t>
      </w:r>
      <w:r>
        <w:t xml:space="preserve">(déclenché selon la situation locale, jugée potentiellement sensible, à l’initiative des acteurs locaux).</w:t>
      </w:r>
    </w:p>
    <w:p>
      <w:pPr>
        <w:pStyle w:val="Corpsdetexte"/>
      </w:pPr>
      <w:r>
        <w:t xml:space="preserve">Sur le terrain, la situation d’écoulement des cours d’eau est appréciée visuellement selon</w:t>
      </w:r>
      <w:r>
        <w:t xml:space="preserve"> </w:t>
      </w:r>
      <w:r>
        <w:rPr>
          <w:b/>
          <w:bCs/>
        </w:rPr>
        <w:t xml:space="preserve">plusieurs modalités</w:t>
      </w:r>
      <w:r>
        <w:t xml:space="preserve"> </w:t>
      </w:r>
      <w:r>
        <w:t xml:space="preserve">d’observation avec la</w:t>
      </w:r>
      <w:r>
        <w:t xml:space="preserve"> </w:t>
      </w:r>
      <w:r>
        <w:rPr>
          <w:b/>
          <w:bCs/>
        </w:rPr>
        <w:t xml:space="preserve">typologie nationale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rStyle w:val="Ecoulementstyle"/>
          <w:b/>
          <w:bCs/>
        </w:rPr>
        <w:t xml:space="preserve">Ecoulement visible</w:t>
      </w:r>
      <w:r>
        <w:t xml:space="preserve">: correspond à une station présentant un écoulement continu – écoulement permanent et visible à l’œil nu.</w:t>
      </w:r>
    </w:p>
    <w:p>
      <w:pPr>
        <w:pStyle w:val="Compact"/>
        <w:numPr>
          <w:ilvl w:val="0"/>
          <w:numId w:val="1001"/>
        </w:numPr>
      </w:pPr>
      <w:r>
        <w:rPr>
          <w:rStyle w:val="Ecoulementnonvisiblestyle"/>
          <w:b/>
          <w:bCs/>
        </w:rPr>
        <w:t xml:space="preserve">Ecoulement non visible</w:t>
      </w:r>
      <w:r>
        <w:rPr>
          <w:b/>
          <w:bCs/>
        </w:rPr>
        <w:t xml:space="preserve"> </w:t>
      </w:r>
      <w:r>
        <w:t xml:space="preserve">: correspond à une station sur laquelle le lit mineur présente toujours de l’eau mais le débit est nul.</w:t>
      </w:r>
    </w:p>
    <w:p>
      <w:pPr>
        <w:pStyle w:val="Compact"/>
        <w:numPr>
          <w:ilvl w:val="0"/>
          <w:numId w:val="1001"/>
        </w:numPr>
      </w:pPr>
      <w:r>
        <w:rPr>
          <w:rStyle w:val="Assecstyle"/>
          <w:b/>
          <w:bCs/>
        </w:rPr>
        <w:t xml:space="preserve">Assec</w:t>
      </w:r>
      <w:r>
        <w:t xml:space="preserve">: correspond à une station à sec, où l’eau est totalement évaporée ou infiltrée sur plus de 50% de la station.</w:t>
      </w:r>
    </w:p>
    <w:p>
      <w:pPr>
        <w:pStyle w:val="FirstParagraph"/>
      </w:pPr>
      <w:r>
        <w:t xml:space="preserve">Une autre modalité -</w:t>
      </w:r>
      <w:r>
        <w:t xml:space="preserve"> </w:t>
      </w:r>
      <w:r>
        <w:rPr>
          <w:rStyle w:val="Ecoulvisiblefaible"/>
          <w:b/>
          <w:bCs/>
        </w:rPr>
        <w:t xml:space="preserve">Ecoulement visible faible</w:t>
      </w:r>
      <w:r>
        <w:t xml:space="preserve"> </w:t>
      </w:r>
      <w:r>
        <w:t xml:space="preserve">- est parfois utilisée sur le terrain (distinction avec la modalité</w:t>
      </w:r>
      <w:r>
        <w:t xml:space="preserve"> </w:t>
      </w:r>
      <w:r>
        <w:rPr>
          <w:rStyle w:val="Ecoulementstyle"/>
          <w:b/>
          <w:bCs/>
        </w:rPr>
        <w:t xml:space="preserve">Ecoulement visible acceptable</w:t>
      </w:r>
      <w:r>
        <w:t xml:space="preserve">). Elle apparaît dans la</w:t>
      </w:r>
      <w:r>
        <w:t xml:space="preserve"> </w:t>
      </w:r>
      <w:r>
        <w:rPr>
          <w:b/>
          <w:bCs/>
        </w:rPr>
        <w:t xml:space="preserve">typologie départementale</w:t>
      </w:r>
      <w:r>
        <w:t xml:space="preserve"> </w:t>
      </w:r>
      <w:r>
        <w:t xml:space="preserve">; et correspond à une station sur laquelle il y a de l’eau et un courant visible, mais le débit faible ne garantit pas un fonctionnement biologique.</w:t>
      </w:r>
    </w:p>
    <w:p>
      <w:pPr>
        <w:pStyle w:val="Corpsdetexte"/>
      </w:pPr>
      <w:r>
        <w:t xml:space="preserve">A noter que la modalité</w:t>
      </w:r>
      <w:r>
        <w:t xml:space="preserve"> </w:t>
      </w:r>
      <w:r>
        <w:rPr>
          <w:b/>
          <w:bCs/>
        </w:rPr>
        <w:t xml:space="preserve">observation impossible</w:t>
      </w:r>
      <w:r>
        <w:t xml:space="preserve"> </w:t>
      </w:r>
      <w:r>
        <w:t xml:space="preserve">peut également être renseignée, dès lors que l’observation n’a pu être réalisée correctement en raison de conditions exceptionnelles (problèmes d’accessibilité, modification des conditions environnementales de la station, etc …).</w:t>
      </w:r>
    </w:p>
    <w:p>
      <w:pPr>
        <w:pStyle w:val="Corpsdetexte"/>
      </w:pPr>
      <w:r>
        <w:t xml:space="preserve">Pour plus d’informations :</w:t>
      </w:r>
      <w:r>
        <w:t xml:space="preserve"> </w:t>
      </w:r>
      <w:hyperlink r:id="rId22">
        <w:r>
          <w:rPr>
            <w:rStyle w:val="Lienhypertexte"/>
          </w:rPr>
          <w:t xml:space="preserve">Lien réseau ONDE (https://www.eaufrance.fr/observatoire-national-des-etiages)</w:t>
        </w:r>
      </w:hyperlink>
      <w:r>
        <w:t xml:space="preserve">.</w:t>
      </w:r>
    </w:p>
    <w:bookmarkEnd w:id="23"/>
    <w:bookmarkStart w:id="24" w:name="Xf740bb4fdc326975ef87ec96679c849e8746a66"/>
    <w:p>
      <w:pPr>
        <w:pStyle w:val="Titre1"/>
      </w:pPr>
      <w:r>
        <w:t xml:space="preserve">Nombre de stations ONDE dans le département 57</w:t>
      </w:r>
    </w:p>
    <w:p>
      <w:pPr>
        <w:pStyle w:val="FirstParagraph"/>
      </w:pPr>
      <w:r>
        <w:t xml:space="preserve">Actuellement, le</w:t>
      </w:r>
      <w:r>
        <w:t xml:space="preserve"> </w:t>
      </w:r>
      <w:r>
        <w:rPr>
          <w:b/>
          <w:bCs/>
        </w:rPr>
        <w:t xml:space="preserve">département 57</w:t>
      </w:r>
      <w:r>
        <w:t xml:space="preserve"> </w:t>
      </w:r>
      <w:r>
        <w:t xml:space="preserve">est couvert par</w:t>
      </w:r>
      <w:r>
        <w:t xml:space="preserve"> </w:t>
      </w:r>
      <w:r>
        <w:rPr>
          <w:b/>
          <w:bCs/>
        </w:rPr>
        <w:t xml:space="preserve">40 stations</w:t>
      </w:r>
      <w:r>
        <w:t xml:space="preserve"> </w:t>
      </w:r>
      <w:r>
        <w:t xml:space="preserve">d’observations.</w:t>
      </w:r>
    </w:p>
    <w:p>
      <w:pPr>
        <w:pStyle w:val="Corpsdetexte"/>
      </w:pPr>
      <w:r>
        <w:t xml:space="preserve">Pour le département, les dernières campagnes 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usuelles</w:t>
      </w:r>
      <w:r>
        <w:t xml:space="preserve"> </w:t>
      </w:r>
      <w:r>
        <w:t xml:space="preserve">ont été réalisées le :</w:t>
      </w:r>
      <w:r>
        <w:t xml:space="preserve"> </w:t>
      </w:r>
      <w:r>
        <w:rPr>
          <w:i/>
          <w:iCs/>
        </w:rPr>
        <w:t xml:space="preserve">23/07/2026</w:t>
      </w:r>
      <w:r>
        <w:t xml:space="preserve"> </w:t>
      </w:r>
      <w:r>
        <w:t xml:space="preserve">;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complémentaires</w:t>
      </w:r>
      <w:r>
        <w:t xml:space="preserve"> </w:t>
      </w:r>
      <w:r>
        <w:t xml:space="preserve">ont été réalisées le :</w:t>
      </w:r>
      <w:r>
        <w:t xml:space="preserve"> </w:t>
      </w:r>
      <w:r>
        <w:rPr>
          <w:i/>
          <w:iCs/>
        </w:rPr>
        <w:t xml:space="preserve">24/04/2023</w:t>
      </w:r>
      <w:r>
        <w:t xml:space="preserve">.</w:t>
      </w:r>
    </w:p>
    <w:bookmarkEnd w:id="24"/>
    <w:bookmarkStart w:id="39" w:name="X1b45982f269cbd5e401c1ee30add6bdb3e3a8b3"/>
    <w:p>
      <w:pPr>
        <w:pStyle w:val="Titre1"/>
      </w:pPr>
      <w:r>
        <w:t xml:space="preserve">Situation à l’échelle départementale pour le mois en cours</w:t>
      </w:r>
    </w:p>
    <w:p>
      <w:pPr>
        <w:pStyle w:val="FirstParagraph"/>
      </w:pPr>
      <w:r>
        <w:t xml:space="preserve">Les cartes ci-dessous présentent les situations observées sur les stations du</w:t>
      </w:r>
      <w:r>
        <w:t xml:space="preserve"> </w:t>
      </w:r>
      <w:r>
        <w:rPr>
          <w:b/>
          <w:bCs/>
        </w:rPr>
        <w:t xml:space="preserve">département 57</w:t>
      </w:r>
      <w:r>
        <w:t xml:space="preserve"> </w:t>
      </w:r>
      <w:r>
        <w:t xml:space="preserve">pour la campagne</w:t>
      </w:r>
      <w:r>
        <w:t xml:space="preserve"> </w:t>
      </w:r>
      <w:r>
        <w:rPr>
          <w:b/>
          <w:bCs/>
        </w:rPr>
        <w:t xml:space="preserve">usuelle du mois de juillet 2026</w:t>
      </w:r>
      <w:r>
        <w:t xml:space="preserve">.</w:t>
      </w:r>
    </w:p>
    <w:bookmarkStart w:id="31" w:name="typologie-nationale"/>
    <w:p>
      <w:pPr>
        <w:pStyle w:val="Titre3"/>
      </w:pPr>
      <w:r>
        <w:t xml:space="preserve">Typologie nationale</w:t>
      </w:r>
    </w:p>
    <w:p>
      <w:pPr>
        <w:pStyle w:val="FirstParagraph"/>
      </w:pPr>
      <w:r>
        <w:t xml:space="preserve">Les modalités d’écoulement de la</w:t>
      </w:r>
      <w:r>
        <w:t xml:space="preserve"> </w:t>
      </w:r>
      <w:r>
        <w:rPr>
          <w:b/>
          <w:bCs/>
        </w:rPr>
        <w:t xml:space="preserve">typologie nationale</w:t>
      </w:r>
      <w:r>
        <w:t xml:space="preserve"> </w:t>
      </w:r>
      <w:r>
        <w:t xml:space="preserve">peuvent prendre les valeurs suivantes:</w:t>
      </w:r>
      <w:r>
        <w:t xml:space="preserve"> </w:t>
      </w:r>
      <w:r>
        <w:rPr>
          <w:rStyle w:val="Ecoulementstyle"/>
          <w:i/>
          <w:iCs/>
        </w:rPr>
        <w:t xml:space="preserve">écoulement visible</w:t>
      </w:r>
      <w:r>
        <w:t xml:space="preserve">,</w:t>
      </w:r>
      <w:r>
        <w:t xml:space="preserve"> </w:t>
      </w:r>
      <w:r>
        <w:rPr>
          <w:rStyle w:val="Ecoulementnonvisiblestyle"/>
          <w:i/>
          <w:iCs/>
        </w:rPr>
        <w:t xml:space="preserve">écoulement non visible</w:t>
      </w:r>
      <w:r>
        <w:t xml:space="preserve">,</w:t>
      </w:r>
      <w:r>
        <w:t xml:space="preserve"> </w:t>
      </w:r>
      <w:r>
        <w:rPr>
          <w:rStyle w:val="Assecstyle"/>
          <w:i/>
          <w:iCs/>
        </w:rPr>
        <w:t xml:space="preserve">assec</w:t>
      </w:r>
      <w:r>
        <w:t xml:space="preserve">, ou</w:t>
      </w:r>
      <w:r>
        <w:t xml:space="preserve"> </w:t>
      </w:r>
      <w:r>
        <w:rPr>
          <w:i/>
          <w:iCs/>
        </w:rPr>
        <w:t xml:space="preserve">observation impossible</w:t>
      </w:r>
      <w:r>
        <w:t xml:space="preserve">.</w:t>
      </w:r>
    </w:p>
    <w:p>
      <w:pPr>
        <w:pStyle w:val="Corpsdetexte"/>
      </w:pPr>
      <w:r>
        <w:drawing>
          <wp:inline>
            <wp:extent cx="5042961" cy="3862498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7_files/2e328972f3dc9d8566c73d7d31f725bf08626629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2961" cy="38624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rpsdetexte"/>
      </w:pPr>
      <w:r>
        <w:drawing>
          <wp:inline>
            <wp:extent cx="5046020" cy="2935866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7_files/6228aaf3cd3e1014f85a04dba2dd591aa6d9fcfd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020" cy="2935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31"/>
    <w:bookmarkStart w:id="38" w:name="typologie-départementale"/>
    <w:p>
      <w:pPr>
        <w:pStyle w:val="Titre3"/>
      </w:pPr>
      <w:r>
        <w:t xml:space="preserve">Typologie départementale</w:t>
      </w:r>
    </w:p>
    <w:p>
      <w:pPr>
        <w:pStyle w:val="FirstParagraph"/>
      </w:pPr>
      <w:r>
        <w:t xml:space="preserve">Les modalités d’écoulement de la</w:t>
      </w:r>
      <w:r>
        <w:t xml:space="preserve"> </w:t>
      </w:r>
      <w:r>
        <w:rPr>
          <w:b/>
          <w:bCs/>
        </w:rPr>
        <w:t xml:space="preserve">typologie départementale</w:t>
      </w:r>
      <w:r>
        <w:t xml:space="preserve"> </w:t>
      </w:r>
      <w:r>
        <w:t xml:space="preserve">correspondent à :</w:t>
      </w:r>
      <w:r>
        <w:t xml:space="preserve"> </w:t>
      </w:r>
      <w:r>
        <w:rPr>
          <w:rStyle w:val="Ecoulementstyle"/>
          <w:i/>
          <w:iCs/>
        </w:rPr>
        <w:t xml:space="preserve">écoulement visible acceptable</w:t>
      </w:r>
      <w:r>
        <w:t xml:space="preserve">,</w:t>
      </w:r>
      <w:r>
        <w:t xml:space="preserve"> </w:t>
      </w:r>
      <w:r>
        <w:rPr>
          <w:rStyle w:val="Ecoulvisiblefaible"/>
          <w:i/>
          <w:iCs/>
        </w:rPr>
        <w:t xml:space="preserve">écoulement visible faible</w:t>
      </w:r>
      <w:r>
        <w:t xml:space="preserve">,</w:t>
      </w:r>
      <w:r>
        <w:t xml:space="preserve"> </w:t>
      </w:r>
      <w:r>
        <w:rPr>
          <w:rStyle w:val="Ecoulementnonvisiblestyle"/>
          <w:i/>
          <w:iCs/>
        </w:rPr>
        <w:t xml:space="preserve">écoulement non visible</w:t>
      </w:r>
      <w:r>
        <w:t xml:space="preserve">,</w:t>
      </w:r>
      <w:r>
        <w:t xml:space="preserve"> </w:t>
      </w:r>
      <w:r>
        <w:rPr>
          <w:rStyle w:val="Assecstyle"/>
          <w:i/>
          <w:iCs/>
        </w:rPr>
        <w:t xml:space="preserve">assec</w:t>
      </w:r>
      <w:r>
        <w:t xml:space="preserve">, ou</w:t>
      </w:r>
      <w:r>
        <w:t xml:space="preserve"> </w:t>
      </w:r>
      <w:r>
        <w:rPr>
          <w:i/>
          <w:iCs/>
        </w:rPr>
        <w:t xml:space="preserve">observation impossible</w:t>
      </w:r>
      <w:r>
        <w:t xml:space="preserve">.</w:t>
      </w:r>
    </w:p>
    <w:p>
      <w:pPr>
        <w:pStyle w:val="Corpsdetexte"/>
      </w:pPr>
      <w:r>
        <w:drawing>
          <wp:inline>
            <wp:extent cx="4581174" cy="3486341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7_files/fd55f830986e4005c339f7dffca52fa5af70096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174" cy="3486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rpsdetexte"/>
      </w:pPr>
      <w:r>
        <w:drawing>
          <wp:inline>
            <wp:extent cx="5046020" cy="2935866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7_files/332ad57b2831337c9f208d4f3aa4e32137f8150c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020" cy="2935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38"/>
    <w:bookmarkEnd w:id="39"/>
    <w:bookmarkStart w:id="44" w:name="X9c1161fcb21dd8a1c9bedcc3963983e96218783"/>
    <w:p>
      <w:pPr>
        <w:pStyle w:val="Titre1"/>
      </w:pPr>
      <w:r>
        <w:t xml:space="preserve">Bilan des écoulements pour les autres départements de la région</w:t>
      </w:r>
    </w:p>
    <w:bookmarkStart w:id="43" w:name="typologie-nationale-1"/>
    <w:p>
      <w:pPr>
        <w:pStyle w:val="Titre2"/>
      </w:pPr>
      <w:r>
        <w:t xml:space="preserve">Typologie nationale</w:t>
      </w:r>
    </w:p>
    <w:p>
      <w:pPr>
        <w:pStyle w:val="FirstParagraph"/>
      </w:pPr>
      <w:r>
        <w:drawing>
          <wp:inline>
            <wp:extent cx="6400800" cy="4073236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7_files/7b4b8570eccd77d8d03b3929240f07e51d638c46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073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rpsdetexte"/>
      </w:pPr>
      <w:r>
        <w:rPr>
          <w:i/>
          <w:iCs/>
        </w:rPr>
        <w:t xml:space="preserve">Remarque : En fonction de la date d’édition du rapport, il est possible que tout les départements n’apparaissent pas.</w:t>
      </w:r>
    </w:p>
    <w:bookmarkEnd w:id="43"/>
    <w:bookmarkEnd w:id="44"/>
    <w:bookmarkStart w:id="184" w:name="Xaa04832716ecc36f9fcad5de9abbfbddb2c1015"/>
    <w:p>
      <w:pPr>
        <w:pStyle w:val="Titre1"/>
      </w:pPr>
      <w:r>
        <w:t xml:space="preserve">Analyse pluriannuelle à l’échelle départementale</w:t>
      </w:r>
    </w:p>
    <w:bookmarkStart w:id="49" w:name="indices-onde"/>
    <w:p>
      <w:pPr>
        <w:pStyle w:val="Titre2"/>
      </w:pPr>
      <w:r>
        <w:t xml:space="preserve">Indices ONDE</w:t>
      </w:r>
    </w:p>
    <w:p>
      <w:pPr>
        <w:pStyle w:val="FirstParagraph"/>
      </w:pPr>
      <w:r>
        <w:t xml:space="preserve">Pour chaque campagne usuelle, un indice ONDE peut être calculé selon la formule suivante :</w:t>
      </w:r>
    </w:p>
    <w:p>
      <w:pPr>
        <w:pStyle w:val="Corpsdetexte"/>
      </w:pPr>
      <m:oMathPara>
        <m:oMathParaPr>
          <m:jc m:val="center"/>
        </m:oMathParaPr>
        <m:oMath>
          <m:r>
            <m:rPr>
              <m:nor/>
              <m:sty m:val="p"/>
            </m:rPr>
            <m:t>Indice ONDE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10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  <m:r>
                    <m:t>1</m:t>
                  </m:r>
                </m:e>
              </m:d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avec 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</w:t>
      </w:r>
      <w:r>
        <w:t xml:space="preserve"> </w:t>
      </w:r>
      <w:r>
        <w:t xml:space="preserve">: nombre total de stations 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N1</w:t>
      </w:r>
      <w:r>
        <w:t xml:space="preserve"> </w:t>
      </w:r>
      <w:r>
        <w:t xml:space="preserve">: écoulement continu 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N2</w:t>
      </w:r>
      <w:r>
        <w:t xml:space="preserve"> </w:t>
      </w:r>
      <w:r>
        <w:t xml:space="preserve">: écoulement interrompu.</w:t>
      </w:r>
    </w:p>
    <w:p>
      <w:pPr>
        <w:pStyle w:val="FirstParagraph"/>
      </w:pPr>
      <w:r>
        <w:t xml:space="preserve">⚠</w:t>
      </w:r>
      <w:r>
        <w:t xml:space="preserve"> </w:t>
      </w:r>
      <w:r>
        <w:rPr>
          <w:i/>
          <w:iCs/>
        </w:rPr>
        <w:t xml:space="preserve">Les indices ONDE des campagnes complémentaires calculés ci-dessous sont présentés à titre indicatif. Seules les campagnes usuelles permettent le calcul de cet indice. Ici, ils ont été calculés pour les complémentaires dès lors qu’un nombre suffisant de stations le permettait.</w:t>
      </w:r>
    </w:p>
    <w:bookmarkStart w:id="48" w:name="X8f5f7d2339c15063d3fde87217f29e2bf757cc3"/>
    <w:p>
      <w:pPr>
        <w:pStyle w:val="Titre4"/>
      </w:pPr>
      <w:r>
        <w:t xml:space="preserve">Historique de variation de l’indice ONDE (par mois et campagnes)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rHeight w:val="360" w:hRule="auto"/>
          <w:tblHeader/>
        </w:trPr>
        header 1
        <w:tc>
          <w:tcPr>
            <w:vMerge w:val="restart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Années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02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04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05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06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07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08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09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</w:tr>
      <w:tr>
        <w:trPr>
          <w:trHeight w:val="360" w:hRule="auto"/>
          <w:tblHeader/>
        </w:trPr>
        header 2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usue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usue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usue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usue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usue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9.5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8.1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9.8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9.4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</w:tbl>
    <w:p>
      <w:pPr>
        <w:pStyle w:val="FirstParagraph"/>
      </w:pPr>
      <w:r>
        <w:drawing>
          <wp:inline>
            <wp:extent cx="6400800" cy="4073236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7_files/3e9ef1300f93c3b51ae829ebd41265edc094012a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073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48"/>
    <w:bookmarkEnd w:id="49"/>
    <w:bookmarkStart w:id="53" w:name="historique-des-types-découlement"/>
    <w:p>
      <w:pPr>
        <w:pStyle w:val="Titre2"/>
      </w:pPr>
      <w:r>
        <w:t xml:space="preserve">Historique des types d’écoulement</w:t>
      </w:r>
    </w:p>
    <w:p>
      <w:pPr>
        <w:pStyle w:val="FirstParagraph"/>
      </w:pPr>
      <w:r>
        <w:t xml:space="preserve">Les pourcentages de chaque type d’écoulement selon la typologie départementale sont présentés ci-dessous par années, mois et campagnes (usuelles</w:t>
      </w:r>
      <w:r>
        <w:t xml:space="preserve"> </w:t>
      </w:r>
      <w:r>
        <w:rPr>
          <w:i/>
          <w:iCs/>
        </w:rPr>
        <w:t xml:space="preserve">usue</w:t>
      </w:r>
      <w:r>
        <w:t xml:space="preserve"> </w:t>
      </w:r>
      <w:r>
        <w:t xml:space="preserve">et complémentaires</w:t>
      </w:r>
      <w:r>
        <w:t xml:space="preserve"> </w:t>
      </w:r>
      <w:r>
        <w:rPr>
          <w:i/>
          <w:iCs/>
        </w:rPr>
        <w:t xml:space="preserve">comp</w:t>
      </w:r>
      <w:r>
        <w:t xml:space="preserve">).</w:t>
      </w:r>
    </w:p>
    <w:p>
      <w:pPr>
        <w:pStyle w:val="Corpsdetexte"/>
      </w:pPr>
      <w:r>
        <w:drawing>
          <wp:inline>
            <wp:extent cx="6400800" cy="4073236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7_files/b90b39b087805cd40aef29692d00a6bdabc54092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073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53"/>
    <w:bookmarkStart w:id="57" w:name="historique-des-assecs"/>
    <w:p>
      <w:pPr>
        <w:pStyle w:val="Titre2"/>
      </w:pPr>
      <w:r>
        <w:t xml:space="preserve">Historique des assecs</w:t>
      </w:r>
    </w:p>
    <w:p>
      <w:pPr>
        <w:pStyle w:val="FirstParagraph"/>
      </w:pPr>
      <w:r>
        <w:t xml:space="preserve">L’historique des assecs peut être appréhender avec les 3 graphiques suivants :</w:t>
      </w:r>
    </w:p>
    <w:p>
      <w:pPr>
        <w:numPr>
          <w:ilvl w:val="0"/>
          <w:numId w:val="1004"/>
        </w:numPr>
      </w:pPr>
      <w:r>
        <w:t xml:space="preserve">Le graphique</w:t>
      </w:r>
      <w:r>
        <w:t xml:space="preserve"> </w:t>
      </w:r>
      <w:r>
        <w:rPr>
          <w:b/>
          <w:bCs/>
        </w:rPr>
        <w:t xml:space="preserve">a)</w:t>
      </w:r>
      <w:r>
        <w:t xml:space="preserve"> </w:t>
      </w:r>
      <w:r>
        <w:t xml:space="preserve">permet de visualiser simultanément la fréquence des assecs sur la période estivale (de mai à septembre inclus) en fonction des années. Le pourcentage de</w:t>
      </w:r>
      <w:r>
        <w:t xml:space="preserve"> </w:t>
      </w:r>
      <w:r>
        <w:rPr>
          <w:i/>
          <w:iCs/>
        </w:rPr>
        <w:t xml:space="preserve">stations d’observation en assec</w:t>
      </w:r>
      <w:r>
        <w:t xml:space="preserve"> </w:t>
      </w:r>
      <w:r>
        <w:t xml:space="preserve">est calculé par le rapport entre le nombre de stations ayant la</w:t>
      </w:r>
      <w:r>
        <w:t xml:space="preserve"> </w:t>
      </w:r>
      <w:r>
        <w:rPr>
          <w:rStyle w:val="Assecstyle"/>
          <w:i/>
          <w:iCs/>
        </w:rPr>
        <w:t xml:space="preserve">modalité assec</w:t>
      </w:r>
      <w:r>
        <w:t xml:space="preserve"> </w:t>
      </w:r>
      <w:r>
        <w:t xml:space="preserve">et le nombre de stations observées dans le mois.</w:t>
      </w:r>
    </w:p>
    <w:p>
      <w:pPr>
        <w:numPr>
          <w:ilvl w:val="0"/>
          <w:numId w:val="1004"/>
        </w:numPr>
      </w:pPr>
      <w:r>
        <w:t xml:space="preserve">Le graphique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permet de visualiser la moyenne annuelle des stations en assecs (c.a.d les variations interannuelles).</w:t>
      </w:r>
    </w:p>
    <w:p>
      <w:pPr>
        <w:numPr>
          <w:ilvl w:val="0"/>
          <w:numId w:val="1004"/>
        </w:numPr>
      </w:pPr>
      <w:r>
        <w:t xml:space="preserve">Le graphique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illustre la durée des assecs pour les stations du département sur la période estivale (de mai à septembre inclus). La durée des assecs pour une station est calculée selon le nombre de mois consécutifs où des observations avec la</w:t>
      </w:r>
      <w:r>
        <w:t xml:space="preserve"> </w:t>
      </w:r>
      <w:r>
        <w:rPr>
          <w:rStyle w:val="Assecstyle"/>
          <w:i/>
          <w:iCs/>
        </w:rPr>
        <w:t xml:space="preserve">modalité assec</w:t>
      </w:r>
      <w:r>
        <w:t xml:space="preserve"> </w:t>
      </w:r>
      <w:r>
        <w:t xml:space="preserve">est rapportée. La plus grande séquence d’observation en assec est gardée pour le calcul de la durée (rq.</w:t>
      </w:r>
      <w:r>
        <w:t xml:space="preserve"> </w:t>
      </w:r>
      <w:r>
        <w:rPr>
          <w:i/>
          <w:iCs/>
        </w:rPr>
        <w:t xml:space="preserve">entre observations successives, l’écoulement peut revenir visible</w:t>
      </w:r>
      <w:r>
        <w:t xml:space="preserve">). Ainsi, les durées en assec peuvent aller de 0 mois (c.à.d. des écoulements toujours visibles et consécutivement observés sur la période estivale) à 5 mois (c.à.d. des assecs toujours observés sur la période estivale). Le pourcentage représenté par chaque classe de durée est calculé pour chaque année d’observation.</w:t>
      </w:r>
    </w:p>
    <w:p>
      <w:pPr>
        <w:pStyle w:val="FirstParagraph"/>
      </w:pPr>
      <w:r>
        <w:drawing>
          <wp:inline>
            <wp:extent cx="5963478" cy="7339665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7_files/ff6d6787c5819c6c80ed8e4a25e73d6edfc46316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478" cy="7339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57"/>
    <w:bookmarkStart w:id="182" w:name="Xf51e10f25be40a3382ed322e1d237ba87f9e21c"/>
    <w:p>
      <w:pPr>
        <w:pStyle w:val="Titre2"/>
      </w:pPr>
      <w:r>
        <w:t xml:space="preserve">Historique des observations par stations regroupées par Zones d’alerte Propluvia</w:t>
      </w:r>
    </w:p>
    <w:p>
      <w:pPr>
        <w:pStyle w:val="FirstParagraph"/>
      </w:pPr>
      <w:r>
        <w:t xml:space="preserve">Ci-dessous les stations ONDE du département sont réparties selon les</w:t>
      </w:r>
      <w:r>
        <w:t xml:space="preserve"> </w:t>
      </w:r>
      <w:r>
        <w:rPr>
          <w:b/>
          <w:bCs/>
        </w:rPr>
        <w:t xml:space="preserve">zones d’alerte Propluvia</w:t>
      </w:r>
      <w:r>
        <w:t xml:space="preserve"> </w:t>
      </w:r>
      <w:r>
        <w:t xml:space="preserve">auxquelles elles appartiennent (noms issus des</w:t>
      </w:r>
      <w:r>
        <w:t xml:space="preserve"> </w:t>
      </w:r>
      <w:hyperlink r:id="rId58">
        <w:r>
          <w:rPr>
            <w:rStyle w:val="Lienhypertexte"/>
          </w:rPr>
          <w:t xml:space="preserve">données Propluvia</w:t>
        </w:r>
      </w:hyperlink>
      <w:r>
        <w:t xml:space="preserve">). Pour chaque station, l’historique retrace les observations des campagnes usuelles et complémentaires avec la</w:t>
      </w:r>
      <w:r>
        <w:t xml:space="preserve"> </w:t>
      </w:r>
      <w:r>
        <w:rPr>
          <w:b/>
          <w:bCs/>
        </w:rPr>
        <w:t xml:space="preserve">typologie départementale</w:t>
      </w:r>
      <w:r>
        <w:t xml:space="preserve"> </w:t>
      </w:r>
      <w:r>
        <w:t xml:space="preserve">définie précédemment.</w:t>
      </w:r>
    </w:p>
    <w:bookmarkStart w:id="65" w:name="X73946ad42c0d62eb3ca9026b781f56cded2aac0"/>
    <w:p>
      <w:pPr>
        <w:pStyle w:val="Titre3"/>
      </w:pPr>
      <w:r>
        <w:t xml:space="preserve">Zones d’alerte: Lauter, Sauer, Moder et Zorn partie du département 57</w:t>
      </w:r>
    </w:p>
    <w:p>
      <w:pPr>
        <w:pStyle w:val="FirstParagraph"/>
      </w:pPr>
      <w:r>
        <w:drawing>
          <wp:inline>
            <wp:extent cx="6400800" cy="3017520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7_files/fd5617336661d08a01762f7652f19afb68f64a7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7_files/1c3b1ca38718b0158d2a25fced22ae31ae259f6b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5"/>
    <w:bookmarkStart w:id="132" w:name="X80488e999f9b5c99743e50715d0d519fec49341"/>
    <w:p>
      <w:pPr>
        <w:pStyle w:val="Titre3"/>
      </w:pPr>
      <w:r>
        <w:t xml:space="preserve">Zones d’alerte: Moselle aval, Orne, Nied et Seille partie du département 57</w:t>
      </w:r>
    </w:p>
    <w:p>
      <w:pPr>
        <w:pStyle w:val="FirstParagraph"/>
      </w:pPr>
      <w:r>
        <w:drawing>
          <wp:inline>
            <wp:extent cx="6400800" cy="3017520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7_files/05f093088e779f25a3332784a7c57af5ba851e24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7_files/2ede06c2336a09a4275ffa1e1b7abd7d23e7c482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7_files/49054e11cc06f7184ae604776b7e996ce1d5f451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7_files/0783080f4024de5246219abefc761a9d4d3d7aa4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79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7_files/7b7e29ace3fbaa3d1516d895353460ab62e3f772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82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7_files/41ecd29a4260c087d9951f2fa8d8522110bd0c60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85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7_files/98e5f9aa5d02de5ef25c0da940c1b5342fad4f5f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88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7_files/0f50141006dd6f879b776991eed9fb5df7d4e227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91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7_files/7745f1d49620ff4ee97e78535152ed5c9bdaddb4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94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7_files/a4799ed5bd66696163248aa63b4436fdea103af4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97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7_files/e533d950337b41b68cb0c951d4267e09a069e249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00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7_files/9bcacb5664952f80567b2f3e77b6e95dd9108c19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03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7_files/9284c431dbcd8412ce4232575aca3e28b18a1287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0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7_files/6630b79a739068735fba4a60091ce738ea9fec76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09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7_files/73ea381b48f59626b846b4cacb62961c39f2368b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12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7_files/a1c69f319d90cd3271d489a482db3e4302869843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15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7_files/ed1d91a997c2c13669ba177e391bc1fe9ab8ec97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18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7_files/da656937fd715a9232ad3ecc17f395761efc1b15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21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7_files/b97947e18d0a99d26553c8b6968aef499df71541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24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7_files/e6b1aa90ba8b514fa42eca0e4be9a53869f3d399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27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7_files/2b18c5fc681785b0550c4d6241225c4786a4877c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30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7_files/4af2a4e3c4b0aa4749a8d14c13b92ebb6d213899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2"/>
    <w:bookmarkStart w:id="181" w:name="X3631ac812ac72b644657561e7ef338af8a03615"/>
    <w:p>
      <w:pPr>
        <w:pStyle w:val="Titre3"/>
      </w:pPr>
      <w:r>
        <w:t xml:space="preserve">Zones d’alerte: Sarre partie du département 57</w:t>
      </w:r>
    </w:p>
    <w:p>
      <w:pPr>
        <w:pStyle w:val="FirstParagraph"/>
      </w:pPr>
      <w:r>
        <w:drawing>
          <wp:inline>
            <wp:extent cx="6400800" cy="3017520"/>
            <wp:effectExtent b="0" l="0" r="0" t="0"/>
            <wp:docPr descr="" title="" id="134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7_files/4854aa2cccec57a646ea53d1cf5852483fa303d1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37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7_files/b15ada86de4986c10b74a5f8c2e046abbc86a8e6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40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7_files/f2b8428b9cc9bc5ab3c73697b2ec499037daaefa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43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7_files/25c837c537b08768f1a5eef22ee2a1642ddf6756.pn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4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7_files/7e86d46b9e06bbeee4224df0572189d5ce53edaa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49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7_files/1456d283e18a7948ddddccaff5f1831b53a1d19b.png" id="150" name="Picture"/>
                    <pic:cNvPicPr>
                      <a:picLocks noChangeArrowheads="1"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52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7_files/5c057d8b8380c1ec6c26d866d4d5ed401491287e.png" id="153" name="Picture"/>
                    <pic:cNvPicPr>
                      <a:picLocks noChangeArrowheads="1"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55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7_files/c97ba42641c41ddebe24c4b245a26e567a59b309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58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7_files/f269c8fd7e427deaed9ed5456ca2e3b50aa66a51.pn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61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7_files/da1ebe6f493550403206ff0897e2ac2e34ed8b05.png" id="162" name="Picture"/>
                    <pic:cNvPicPr>
                      <a:picLocks noChangeArrowheads="1"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64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7_files/b3572e93cdba8d237b9f781ef76e4959e20d9ac6.png" id="165" name="Picture"/>
                    <pic:cNvPicPr>
                      <a:picLocks noChangeArrowheads="1"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67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7_files/b0980dfa568d25ea4f0d82cff2f47ed51d9ad369.png" id="168" name="Picture"/>
                    <pic:cNvPicPr>
                      <a:picLocks noChangeArrowheads="1"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70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7_files/acd57cdfe40cbec994cdbcd056dfa3820c12cb86.png" id="171" name="Picture"/>
                    <pic:cNvPicPr>
                      <a:picLocks noChangeArrowheads="1"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73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7_files/2751b49f212814d9b4aea2d523d72fd647402166.png" id="174" name="Picture"/>
                    <pic:cNvPicPr>
                      <a:picLocks noChangeArrowheads="1"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7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7_files/8f9e694d8fb296fd6d7ca2b4cd62849ccfd0eca4.png" id="177" name="Picture"/>
                    <pic:cNvPicPr>
                      <a:picLocks noChangeArrowheads="1"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79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7_files/e06c95803c168e3f27bf8a096a044ea9fdf1c63d.png" id="180" name="Picture"/>
                    <pic:cNvPicPr>
                      <a:picLocks noChangeArrowheads="1" noChangeAspect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181"/>
    <w:bookmarkEnd w:id="182"/>
    <w:bookmarkStart w:id="183" w:name="commentaires-spécifiques"/>
    <w:p>
      <w:pPr>
        <w:pStyle w:val="Titre2"/>
      </w:pPr>
      <w:r>
        <w:t xml:space="preserve">Commentaires spécifiques</w:t>
      </w:r>
    </w:p>
    <w:p>
      <w:pPr>
        <w:pStyle w:val="Style1"/>
      </w:pPr>
      <w:r>
        <w:t xml:space="preserve">Ajouter les éventuels commentaires ici</w:t>
      </w:r>
    </w:p>
    <w:bookmarkEnd w:id="183"/>
    <w:bookmarkEnd w:id="184"/>
    <w:sectPr w:rsidR="00C13901" w:rsidSect="00E916D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418" w:footer="567" w:gutter="0" w:header="1247" w:left="1077" w:right="1077" w:top="1985"/>
      <w:pgNumType w:start="1"/>
      <w:cols w:space="720"/>
      <w:titlePg/>
      <w:docGrid w:linePitch="29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rianne">
    <w:altName w:val="Calibri"/>
    <w:panose1 w:val="02000000000000000000"/>
    <w:charset w:val="00"/>
    <w:family w:val="modern"/>
    <w:notTrueType/>
    <w:pitch w:val="variable"/>
    <w:sig w:usb0="0000000F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sz w:val="18"/>
        <w:szCs w:val="18"/>
      </w:rPr>
      <w:id w:val="177190061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  <w:szCs w:val="18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935B7D" w:rsidRPr="00237F4F" w:rsidRDefault="00CF10E1">
            <w:pPr>
              <w:pStyle w:val="Pieddepage"/>
              <w:jc w:val="right"/>
              <w:rPr>
                <w:sz w:val="18"/>
                <w:szCs w:val="18"/>
              </w:rPr>
            </w:pPr>
            <w:r w:rsidRPr="00237F4F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58240" behindDoc="1" locked="0" layoutInCell="0" allowOverlap="1" wp14:anchorId="025E2639" wp14:editId="70ED0570">
                  <wp:simplePos x="0" y="0"/>
                  <wp:positionH relativeFrom="page">
                    <wp:posOffset>4281170</wp:posOffset>
                  </wp:positionH>
                  <wp:positionV relativeFrom="page">
                    <wp:posOffset>6287770</wp:posOffset>
                  </wp:positionV>
                  <wp:extent cx="3482765" cy="3761105"/>
                  <wp:effectExtent l="0" t="0" r="3810" b="0"/>
                  <wp:wrapNone/>
                  <wp:docPr id="5" name="Image 5" descr="bas CP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bas CP"/>
                          <pic:cNvPicPr>
                            <a:picLocks/>
                          </pic:cNvPicPr>
                        </pic:nvPicPr>
                        <pic:blipFill rotWithShape="1"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234"/>
                          <a:stretch/>
                        </pic:blipFill>
                        <pic:spPr bwMode="auto">
                          <a:xfrm>
                            <a:off x="0" y="0"/>
                            <a:ext cx="3482765" cy="3761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37F4F">
              <w:rPr>
                <w:sz w:val="18"/>
                <w:szCs w:val="18"/>
                <w:lang w:val="fr-FR"/>
              </w:rPr>
              <w:t xml:space="preserve"> </w:t>
            </w:r>
            <w:r w:rsidRPr="00237F4F">
              <w:rPr>
                <w:b/>
                <w:bCs/>
                <w:sz w:val="18"/>
                <w:szCs w:val="18"/>
              </w:rPr>
              <w:fldChar w:fldCharType="begin"/>
            </w:r>
            <w:r w:rsidRPr="00237F4F">
              <w:rPr>
                <w:b/>
                <w:bCs/>
                <w:sz w:val="18"/>
                <w:szCs w:val="18"/>
              </w:rPr>
              <w:instrText>PAGE</w:instrText>
            </w:r>
            <w:r w:rsidRPr="00237F4F">
              <w:rPr>
                <w:b/>
                <w:bCs/>
                <w:sz w:val="18"/>
                <w:szCs w:val="18"/>
              </w:rPr>
              <w:fldChar w:fldCharType="separate"/>
            </w:r>
            <w:r w:rsidRPr="00237F4F">
              <w:rPr>
                <w:b/>
                <w:bCs/>
                <w:sz w:val="18"/>
                <w:szCs w:val="18"/>
                <w:lang w:val="fr-FR"/>
              </w:rPr>
              <w:t>2</w:t>
            </w:r>
            <w:r w:rsidRPr="00237F4F">
              <w:rPr>
                <w:b/>
                <w:bCs/>
                <w:sz w:val="18"/>
                <w:szCs w:val="18"/>
              </w:rPr>
              <w:fldChar w:fldCharType="end"/>
            </w:r>
            <w:r w:rsidRPr="00237F4F">
              <w:rPr>
                <w:sz w:val="18"/>
                <w:szCs w:val="18"/>
                <w:lang w:val="fr-FR"/>
              </w:rPr>
              <w:t xml:space="preserve"> / </w:t>
            </w:r>
            <w:r w:rsidRPr="00237F4F">
              <w:rPr>
                <w:b/>
                <w:bCs/>
                <w:sz w:val="18"/>
                <w:szCs w:val="18"/>
              </w:rPr>
              <w:fldChar w:fldCharType="begin"/>
            </w:r>
            <w:r w:rsidRPr="00237F4F">
              <w:rPr>
                <w:b/>
                <w:bCs/>
                <w:sz w:val="18"/>
                <w:szCs w:val="18"/>
              </w:rPr>
              <w:instrText>NUMPAGES</w:instrText>
            </w:r>
            <w:r w:rsidRPr="00237F4F">
              <w:rPr>
                <w:b/>
                <w:bCs/>
                <w:sz w:val="18"/>
                <w:szCs w:val="18"/>
              </w:rPr>
              <w:fldChar w:fldCharType="separate"/>
            </w:r>
            <w:r w:rsidRPr="00237F4F">
              <w:rPr>
                <w:b/>
                <w:bCs/>
                <w:sz w:val="18"/>
                <w:szCs w:val="18"/>
                <w:lang w:val="fr-FR"/>
              </w:rPr>
              <w:t>2</w:t>
            </w:r>
            <w:r w:rsidRPr="00237F4F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:rsidR="00935B7D" w:rsidRDefault="001B6C57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35B7D" w:rsidRDefault="001B6C57">
    <w:pPr>
      <w:pStyle w:val="Pieddepage"/>
      <w:jc w:val="right"/>
    </w:pPr>
    <w:r>
      <w:rPr>
        <w:noProof/>
        <w:sz w:val="18"/>
        <w:szCs w:val="18"/>
      </w:rPr>
      <w:pict w14:anchorId="29A189A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9877890" o:spid="_x0000_s3074" type="#_x0000_t75" alt="bas rapport" style="position:absolute;left:0;text-align:left;margin-left:-.5pt;margin-top:323.55pt;width:510.05pt;height:311.6pt;z-index:-251657216;mso-wrap-edited:f;mso-width-percent:0;mso-height-percent:0;mso-position-horizontal-relative:margin;mso-position-vertical-relative:margin;mso-width-percent:0;mso-height-percent:0" o:allowincell="f">
          <v:imagedata r:id="rId1" o:title="bas rapport"/>
          <w10:wrap anchorx="margin" anchory="margin"/>
        </v:shape>
      </w:pict>
    </w:r>
  </w:p>
  <w:p w:rsidR="00935B7D" w:rsidRDefault="001B6C57">
    <w:pPr>
      <w:pStyle w:val="Pieddepag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35B7D" w:rsidRDefault="00CF10E1">
    <w:pPr>
      <w:pStyle w:val="En-tte"/>
    </w:pPr>
    <w:r>
      <w:rPr>
        <w:noProof/>
      </w:rPr>
      <w:drawing>
        <wp:anchor distT="0" distB="0" distL="114300" distR="114300" simplePos="0" relativeHeight="251657216" behindDoc="1" locked="0" layoutInCell="1" allowOverlap="1" wp14:anchorId="30527306" wp14:editId="66136F31">
          <wp:simplePos x="0" y="0"/>
          <wp:positionH relativeFrom="page">
            <wp:posOffset>118745</wp:posOffset>
          </wp:positionH>
          <wp:positionV relativeFrom="page">
            <wp:posOffset>20108</wp:posOffset>
          </wp:positionV>
          <wp:extent cx="7562850" cy="979170"/>
          <wp:effectExtent l="0" t="0" r="0" b="0"/>
          <wp:wrapNone/>
          <wp:docPr id="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Logos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5264"/>
                  <a:stretch/>
                </pic:blipFill>
                <pic:spPr bwMode="auto">
                  <a:xfrm>
                    <a:off x="0" y="0"/>
                    <a:ext cx="7562850" cy="9791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35B7D" w:rsidRDefault="00CF10E1">
    <w:pPr>
      <w:pStyle w:val="En-tte"/>
    </w:pPr>
    <w:r>
      <w:rPr>
        <w:noProof/>
      </w:rPr>
      <w:drawing>
        <wp:anchor distT="0" distB="0" distL="114300" distR="114300" simplePos="0" relativeHeight="251656192" behindDoc="1" locked="0" layoutInCell="1" allowOverlap="1" wp14:anchorId="44CCAC21" wp14:editId="7AF44833">
          <wp:simplePos x="0" y="0"/>
          <wp:positionH relativeFrom="margin">
            <wp:align>center</wp:align>
          </wp:positionH>
          <wp:positionV relativeFrom="topMargin">
            <wp:posOffset>101600</wp:posOffset>
          </wp:positionV>
          <wp:extent cx="7562850" cy="979170"/>
          <wp:effectExtent l="0" t="0" r="0" b="0"/>
          <wp:wrapNone/>
          <wp:docPr id="6" name="Imag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Logos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5264"/>
                  <a:stretch/>
                </pic:blipFill>
                <pic:spPr bwMode="auto">
                  <a:xfrm>
                    <a:off x="0" y="0"/>
                    <a:ext cx="7562850" cy="9791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p14">
  <w:abstractNum w15:restartNumberingAfterBreak="0" w:abstractNumId="0">
    <w:nsid w:val="0000A990"/>
    <w:multiLevelType w:val="multilevel"/>
    <w:tmpl w:val="BB484594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BAB07648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3CC0541E"/>
    <w:multiLevelType w:val="hybridMultilevel"/>
    <w:tmpl w:val="738C5D08"/>
    <w:lvl w:ilvl="0" w:tplc="EF9CCA5C">
      <w:start w:val="1"/>
      <w:numFmt w:val="decimal"/>
      <w:lvlText w:val="%1."/>
      <w:lvlJc w:val="left"/>
      <w:pPr>
        <w:ind w:hanging="360" w:left="720"/>
      </w:pPr>
    </w:lvl>
    <w:lvl w:ilvl="1" w:tplc="6B726D34">
      <w:start w:val="1"/>
      <w:numFmt w:val="lowerLetter"/>
      <w:pStyle w:val="Titre2"/>
      <w:lvlText w:val="%2."/>
      <w:lvlJc w:val="left"/>
      <w:pPr>
        <w:ind w:hanging="360" w:left="1440"/>
      </w:pPr>
    </w:lvl>
    <w:lvl w:ilvl="2" w:tentative="1" w:tplc="040C001B">
      <w:start w:val="1"/>
      <w:numFmt w:val="lowerRoman"/>
      <w:lvlText w:val="%3."/>
      <w:lvlJc w:val="right"/>
      <w:pPr>
        <w:ind w:hanging="180" w:left="2160"/>
      </w:pPr>
    </w:lvl>
    <w:lvl w:ilvl="3" w:tentative="1" w:tplc="040C000F">
      <w:start w:val="1"/>
      <w:numFmt w:val="decimal"/>
      <w:lvlText w:val="%4."/>
      <w:lvlJc w:val="left"/>
      <w:pPr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">
    <w:nsid w:val="3F415782"/>
    <w:multiLevelType w:val="hybridMultilevel"/>
    <w:tmpl w:val="54166716"/>
    <w:lvl w:ilvl="0" w:tplc="55621FB0">
      <w:start w:val="1"/>
      <w:numFmt w:val="decimal"/>
      <w:pStyle w:val="Titre1"/>
      <w:lvlText w:val="%1."/>
      <w:lvlJc w:val="left"/>
      <w:pPr>
        <w:ind w:hanging="360" w:left="360"/>
      </w:pPr>
    </w:lvl>
    <w:lvl w:ilvl="1" w:tentative="1" w:tplc="040C0019">
      <w:start w:val="1"/>
      <w:numFmt w:val="lowerLetter"/>
      <w:lvlText w:val="%2."/>
      <w:lvlJc w:val="left"/>
      <w:pPr>
        <w:ind w:hanging="360" w:left="1080"/>
      </w:pPr>
    </w:lvl>
    <w:lvl w:ilvl="2" w:tentative="1" w:tplc="040C001B">
      <w:start w:val="1"/>
      <w:numFmt w:val="lowerRoman"/>
      <w:lvlText w:val="%3."/>
      <w:lvlJc w:val="right"/>
      <w:pPr>
        <w:ind w:hanging="180" w:left="1800"/>
      </w:pPr>
    </w:lvl>
    <w:lvl w:ilvl="3" w:tentative="1" w:tplc="040C000F">
      <w:start w:val="1"/>
      <w:numFmt w:val="decimal"/>
      <w:lvlText w:val="%4."/>
      <w:lvlJc w:val="left"/>
      <w:pPr>
        <w:ind w:hanging="360" w:left="2520"/>
      </w:pPr>
    </w:lvl>
    <w:lvl w:ilvl="4" w:tentative="1" w:tplc="040C0019">
      <w:start w:val="1"/>
      <w:numFmt w:val="lowerLetter"/>
      <w:lvlText w:val="%5."/>
      <w:lvlJc w:val="left"/>
      <w:pPr>
        <w:ind w:hanging="360" w:left="3240"/>
      </w:pPr>
    </w:lvl>
    <w:lvl w:ilvl="5" w:tentative="1" w:tplc="040C001B">
      <w:start w:val="1"/>
      <w:numFmt w:val="lowerRoman"/>
      <w:lvlText w:val="%6."/>
      <w:lvlJc w:val="right"/>
      <w:pPr>
        <w:ind w:hanging="180" w:left="3960"/>
      </w:pPr>
    </w:lvl>
    <w:lvl w:ilvl="6" w:tentative="1" w:tplc="040C000F">
      <w:start w:val="1"/>
      <w:numFmt w:val="decimal"/>
      <w:lvlText w:val="%7."/>
      <w:lvlJc w:val="left"/>
      <w:pPr>
        <w:ind w:hanging="360" w:left="4680"/>
      </w:pPr>
    </w:lvl>
    <w:lvl w:ilvl="7" w:tentative="1" w:tplc="040C0019">
      <w:start w:val="1"/>
      <w:numFmt w:val="lowerLetter"/>
      <w:lvlText w:val="%8."/>
      <w:lvlJc w:val="left"/>
      <w:pPr>
        <w:ind w:hanging="360" w:left="5400"/>
      </w:pPr>
    </w:lvl>
    <w:lvl w:ilvl="8" w:tentative="1" w:tplc="040C001B">
      <w:start w:val="1"/>
      <w:numFmt w:val="lowerRoman"/>
      <w:lvlText w:val="%9."/>
      <w:lvlJc w:val="right"/>
      <w:pPr>
        <w:ind w:hanging="180" w:left="6120"/>
      </w:pPr>
    </w:lvl>
  </w:abstractNum>
  <w:abstractNum w15:restartNumberingAfterBreak="0" w:abstractNumId="4">
    <w:nsid w:val="55600147"/>
    <w:multiLevelType w:val="hybridMultilevel"/>
    <w:tmpl w:val="43742E2C"/>
    <w:lvl w:ilvl="0" w:tplc="C6EA93CE">
      <w:start w:val="1"/>
      <w:numFmt w:val="lowerLetter"/>
      <w:lvlText w:val="%1."/>
      <w:lvlJc w:val="left"/>
      <w:pPr>
        <w:ind w:hanging="360" w:left="720"/>
      </w:pPr>
    </w:lvl>
    <w:lvl w:ilvl="1" w:tentative="1" w:tplc="040C0019">
      <w:start w:val="1"/>
      <w:numFmt w:val="lowerLetter"/>
      <w:lvlText w:val="%2."/>
      <w:lvlJc w:val="left"/>
      <w:pPr>
        <w:ind w:hanging="360" w:left="1440"/>
      </w:pPr>
    </w:lvl>
    <w:lvl w:ilvl="2" w:tentative="1" w:tplc="040C001B">
      <w:start w:val="1"/>
      <w:numFmt w:val="lowerRoman"/>
      <w:lvlText w:val="%3."/>
      <w:lvlJc w:val="right"/>
      <w:pPr>
        <w:ind w:hanging="180" w:left="2160"/>
      </w:pPr>
    </w:lvl>
    <w:lvl w:ilvl="3" w:tentative="1" w:tplc="040C000F">
      <w:start w:val="1"/>
      <w:numFmt w:val="decimal"/>
      <w:lvlText w:val="%4."/>
      <w:lvlJc w:val="left"/>
      <w:pPr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5">
    <w:nsid w:val="6B0A1D33"/>
    <w:multiLevelType w:val="hybridMultilevel"/>
    <w:tmpl w:val="AFA03A5C"/>
    <w:lvl w:ilvl="0" w:tplc="EFA4237C">
      <w:start w:val="1"/>
      <w:numFmt w:val="upperRoman"/>
      <w:lvlText w:val="%1."/>
      <w:lvlJc w:val="right"/>
      <w:pPr>
        <w:ind w:hanging="360" w:left="720"/>
      </w:pPr>
    </w:lvl>
    <w:lvl w:ilvl="1" w:tentative="1" w:tplc="040C0019">
      <w:start w:val="1"/>
      <w:numFmt w:val="lowerLetter"/>
      <w:lvlText w:val="%2."/>
      <w:lvlJc w:val="left"/>
      <w:pPr>
        <w:ind w:hanging="360" w:left="1440"/>
      </w:pPr>
    </w:lvl>
    <w:lvl w:ilvl="2" w:tentative="1" w:tplc="040C001B">
      <w:start w:val="1"/>
      <w:numFmt w:val="lowerRoman"/>
      <w:lvlText w:val="%3."/>
      <w:lvlJc w:val="right"/>
      <w:pPr>
        <w:ind w:hanging="180" w:left="2160"/>
      </w:pPr>
    </w:lvl>
    <w:lvl w:ilvl="3" w:tentative="1" w:tplc="040C000F">
      <w:start w:val="1"/>
      <w:numFmt w:val="decimal"/>
      <w:lvlText w:val="%4."/>
      <w:lvlJc w:val="left"/>
      <w:pPr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2"/>
  </w:num>
  <w:num w:numId="5">
    <w:abstractNumId w:val="4"/>
  </w:num>
  <w:num w:numId="6">
    <w:abstractNumId w:val="5"/>
  </w:num>
  <w:num w:numId="7">
    <w:abstractNumId w:val="3"/>
  </w:num>
  <w:num w:numId="8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3075" v:ext="edit"/>
    <o:shapelayout v:ext="edit">
      <o:idmap data="2,3" v:ext="edit"/>
    </o:shapelayout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1B6C57"/>
    <w:rsid w:val="003673A4"/>
    <w:rsid w:val="003713B4"/>
    <w:rsid w:val="004466CF"/>
    <w:rsid w:val="004E29B3"/>
    <w:rsid w:val="00533EBD"/>
    <w:rsid w:val="00553EB0"/>
    <w:rsid w:val="00590D07"/>
    <w:rsid w:val="006E2840"/>
    <w:rsid w:val="00784D58"/>
    <w:rsid w:val="007B3B2A"/>
    <w:rsid w:val="00863CB8"/>
    <w:rsid w:val="008D6863"/>
    <w:rsid w:val="00A56365"/>
    <w:rsid w:val="00A817F7"/>
    <w:rsid w:val="00B415B5"/>
    <w:rsid w:val="00B86B75"/>
    <w:rsid w:val="00BC48D5"/>
    <w:rsid w:val="00BD2F57"/>
    <w:rsid w:val="00C13901"/>
    <w:rsid w:val="00C36279"/>
    <w:rsid w:val="00C425AA"/>
    <w:rsid w:val="00CF10E1"/>
    <w:rsid w:val="00DC292A"/>
    <w:rsid w:val="00E315A3"/>
    <w:rsid w:val="00E916D6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3075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5" w:defLockedState="0" w:defQFormat="0" w:defSemiHidden="0" w:defUIPriority="0" w:defUnhideWhenUsed="0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default="1" w:styleId="Normal" w:type="paragraph">
    <w:name w:val="Normal"/>
    <w:qFormat/>
    <w:rsid w:val="00935B7D"/>
    <w:pPr>
      <w:jc w:val="both"/>
    </w:pPr>
    <w:rPr>
      <w:rFonts w:ascii="Marianne" w:hAnsi="Marianne"/>
      <w:sz w:val="22"/>
    </w:rPr>
  </w:style>
  <w:style w:styleId="Titre1" w:type="paragraph">
    <w:name w:val="heading 1"/>
    <w:next w:val="Titre2"/>
    <w:uiPriority w:val="9"/>
    <w:qFormat/>
    <w:rsid w:val="00863CB8"/>
    <w:pPr>
      <w:keepNext/>
      <w:keepLines/>
      <w:numPr>
        <w:numId w:val="7"/>
      </w:numPr>
      <w:spacing w:after="120" w:before="240"/>
      <w:ind w:hanging="357" w:left="357"/>
      <w:outlineLvl w:val="0"/>
    </w:pPr>
    <w:rPr>
      <w:rFonts w:ascii="Marianne" w:cstheme="majorBidi" w:eastAsiaTheme="majorEastAsia" w:hAnsi="Marianne"/>
      <w:b/>
      <w:color w:val="345A8A"/>
      <w:szCs w:val="32"/>
    </w:rPr>
  </w:style>
  <w:style w:styleId="Titre2" w:type="paragraph">
    <w:name w:val="heading 2"/>
    <w:basedOn w:val="Normal"/>
    <w:next w:val="Corpsdetexte"/>
    <w:uiPriority w:val="9"/>
    <w:unhideWhenUsed/>
    <w:qFormat/>
    <w:rsid w:val="004A661D"/>
    <w:pPr>
      <w:keepNext/>
      <w:keepLines/>
      <w:numPr>
        <w:ilvl w:val="1"/>
        <w:numId w:val="4"/>
      </w:numPr>
      <w:spacing w:after="120" w:before="200"/>
      <w:ind w:left="567"/>
      <w:outlineLvl w:val="1"/>
    </w:pPr>
    <w:rPr>
      <w:rFonts w:cstheme="majorBidi" w:eastAsiaTheme="majorEastAsia"/>
      <w:b/>
      <w:bCs/>
      <w:color w:themeColor="accent1" w:val="4F81BD"/>
      <w:szCs w:val="28"/>
    </w:rPr>
  </w:style>
  <w:style w:styleId="Titre3" w:type="paragraph">
    <w:name w:val="heading 3"/>
    <w:basedOn w:val="Normal"/>
    <w:next w:val="Corpsdetexte"/>
    <w:uiPriority w:val="9"/>
    <w:unhideWhenUsed/>
    <w:qFormat/>
    <w:rsid w:val="00DD507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i/>
      <w:color w:themeColor="accent1" w:val="4F81BD"/>
    </w:rPr>
  </w:style>
  <w:style w:styleId="Titre4" w:type="paragraph">
    <w:name w:val="heading 4"/>
    <w:basedOn w:val="Normal"/>
    <w:next w:val="Corpsdetexte"/>
    <w:uiPriority w:val="9"/>
    <w:unhideWhenUsed/>
    <w:qFormat/>
    <w:rsid w:val="006E2840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</w:rPr>
  </w:style>
  <w:style w:styleId="Titre5" w:type="paragraph">
    <w:name w:val="heading 5"/>
    <w:basedOn w:val="Normal"/>
    <w:next w:val="Corpsdetexte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</w:rPr>
  </w:style>
  <w:style w:styleId="Titre6" w:type="paragraph">
    <w:name w:val="heading 6"/>
    <w:basedOn w:val="Normal"/>
    <w:next w:val="Corpsdetexte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</w:rPr>
  </w:style>
  <w:style w:styleId="Titre7" w:type="paragraph">
    <w:name w:val="heading 7"/>
    <w:basedOn w:val="Normal"/>
    <w:next w:val="Corpsdetexte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</w:rPr>
  </w:style>
  <w:style w:styleId="Titre8" w:type="paragraph">
    <w:name w:val="heading 8"/>
    <w:basedOn w:val="Normal"/>
    <w:next w:val="Corpsdetexte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</w:rPr>
  </w:style>
  <w:style w:styleId="Titre9" w:type="paragraph">
    <w:name w:val="heading 9"/>
    <w:basedOn w:val="Normal"/>
    <w:next w:val="Corpsdetexte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Corpsdetexte" w:type="paragraph">
    <w:name w:val="Body Text"/>
    <w:basedOn w:val="Normal"/>
    <w:link w:val="CorpsdetexteCar"/>
    <w:qFormat/>
    <w:rsid w:val="009844E8"/>
    <w:pPr>
      <w:spacing w:after="180" w:before="180"/>
    </w:pPr>
    <w:rPr>
      <w:sz w:val="21"/>
    </w:rPr>
  </w:style>
  <w:style w:customStyle="1" w:styleId="FirstParagraph" w:type="paragraph">
    <w:name w:val="First Paragraph"/>
    <w:basedOn w:val="Corpsdetexte"/>
    <w:next w:val="Corpsdetexte"/>
    <w:qFormat/>
    <w:rsid w:val="009844E8"/>
  </w:style>
  <w:style w:customStyle="1" w:styleId="Compact" w:type="paragraph">
    <w:name w:val="Compact"/>
    <w:basedOn w:val="Corpsdetexte"/>
    <w:qFormat/>
    <w:pPr>
      <w:spacing w:after="36" w:before="36"/>
    </w:pPr>
  </w:style>
  <w:style w:styleId="Titre" w:type="paragraph">
    <w:name w:val="Title"/>
    <w:basedOn w:val="Normal"/>
    <w:next w:val="Corpsdetexte"/>
    <w:link w:val="TitreCar"/>
    <w:qFormat/>
    <w:rsid w:val="004466CF"/>
    <w:pPr>
      <w:keepNext/>
      <w:keepLines/>
      <w:spacing w:after="240" w:before="4080"/>
      <w:jc w:val="right"/>
    </w:pPr>
    <w:rPr>
      <w:rFonts w:cstheme="majorBidi" w:eastAsiaTheme="majorEastAsia"/>
      <w:b/>
      <w:bCs/>
      <w:color w:themeColor="accent1" w:themeShade="B5" w:val="345A8A"/>
      <w:sz w:val="40"/>
      <w:szCs w:val="48"/>
    </w:rPr>
  </w:style>
  <w:style w:styleId="Sous-titre" w:type="paragraph">
    <w:name w:val="Subtitle"/>
    <w:basedOn w:val="Titre"/>
    <w:next w:val="Corpsdetexte"/>
    <w:qFormat/>
    <w:rPr>
      <w:sz w:val="30"/>
      <w:szCs w:val="30"/>
    </w:rPr>
  </w:style>
  <w:style w:customStyle="1" w:styleId="Author" w:type="paragraph">
    <w:name w:val="Author"/>
    <w:next w:val="Corpsdetexte"/>
    <w:qFormat/>
    <w:rsid w:val="00863CB8"/>
    <w:pPr>
      <w:keepNext/>
      <w:keepLines/>
      <w:jc w:val="right"/>
    </w:pPr>
    <w:rPr>
      <w:rFonts w:ascii="Marianne" w:hAnsi="Marianne"/>
      <w:color w:val="345A8A"/>
      <w:sz w:val="28"/>
    </w:rPr>
  </w:style>
  <w:style w:styleId="Date" w:type="paragraph">
    <w:name w:val="Date"/>
    <w:next w:val="Corpsdetexte"/>
    <w:qFormat/>
    <w:rsid w:val="00863CB8"/>
    <w:pPr>
      <w:keepNext/>
      <w:keepLines/>
      <w:jc w:val="right"/>
    </w:pPr>
    <w:rPr>
      <w:rFonts w:ascii="Marianne" w:hAnsi="Marianne"/>
      <w:color w:val="345A8A"/>
    </w:rPr>
  </w:style>
  <w:style w:customStyle="1" w:styleId="Abstract" w:type="paragraph">
    <w:name w:val="Abstract"/>
    <w:basedOn w:val="Normal"/>
    <w:next w:val="Corpsdetexte"/>
    <w:qFormat/>
    <w:pPr>
      <w:keepNext/>
      <w:keepLines/>
      <w:spacing w:after="300" w:before="300"/>
    </w:pPr>
    <w:rPr>
      <w:sz w:val="20"/>
      <w:szCs w:val="20"/>
    </w:rPr>
  </w:style>
  <w:style w:styleId="Bibliographie" w:type="paragraph">
    <w:name w:val="Bibliography"/>
    <w:basedOn w:val="Normal"/>
    <w:qFormat/>
  </w:style>
  <w:style w:styleId="Normalcentr" w:type="paragraph">
    <w:name w:val="Block Text"/>
    <w:basedOn w:val="Corpsdetexte"/>
    <w:next w:val="Corpsdetexte"/>
    <w:uiPriority w:val="9"/>
    <w:unhideWhenUsed/>
    <w:qFormat/>
    <w:rsid w:val="00935B7D"/>
    <w:pPr>
      <w:spacing w:after="100" w:before="100"/>
      <w:ind w:left="480" w:right="480"/>
    </w:pPr>
    <w:rPr>
      <w:sz w:val="20"/>
    </w:rPr>
  </w:style>
  <w:style w:styleId="Notedebasdepage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Lgende" w:type="paragraph">
    <w:name w:val="caption"/>
    <w:basedOn w:val="Normal"/>
    <w:link w:val="LgendeCar"/>
    <w:pPr>
      <w:spacing w:after="120"/>
    </w:pPr>
    <w:rPr>
      <w:i/>
    </w:rPr>
  </w:style>
  <w:style w:customStyle="1" w:styleId="TableCaption" w:type="paragraph">
    <w:name w:val="Table Caption"/>
    <w:basedOn w:val="Lgende"/>
    <w:pPr>
      <w:keepNext/>
    </w:pPr>
  </w:style>
  <w:style w:customStyle="1" w:styleId="ImageCaption" w:type="paragraph">
    <w:name w:val="Image Caption"/>
    <w:basedOn w:val="Lgende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LgendeCar" w:type="character">
    <w:name w:val="Légende Car"/>
    <w:basedOn w:val="Policepardfaut"/>
    <w:link w:val="Lgende"/>
  </w:style>
  <w:style w:customStyle="1" w:styleId="VerbatimChar" w:type="character">
    <w:name w:val="Verbatim Char"/>
    <w:basedOn w:val="LgendeCar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LgendeCar"/>
  </w:style>
  <w:style w:styleId="Appelnotedebasdep" w:type="character">
    <w:name w:val="footnote reference"/>
    <w:basedOn w:val="LgendeCar"/>
    <w:rPr>
      <w:vertAlign w:val="superscript"/>
    </w:rPr>
  </w:style>
  <w:style w:styleId="Lienhypertexte" w:type="character">
    <w:name w:val="Hyperlink"/>
    <w:basedOn w:val="LgendeCar"/>
    <w:rPr>
      <w:color w:themeColor="accent1" w:val="4F81BD"/>
    </w:rPr>
  </w:style>
  <w:style w:styleId="En-ttedetabledesmatires" w:type="paragraph">
    <w:name w:val="TOC Heading"/>
    <w:basedOn w:val="Titre1"/>
    <w:next w:val="Corpsdetexte"/>
    <w:uiPriority w:val="39"/>
    <w:unhideWhenUsed/>
    <w:qFormat/>
    <w:pPr>
      <w:spacing w:line="259" w:lineRule="auto"/>
      <w:outlineLvl w:val="9"/>
    </w:pPr>
    <w:rPr>
      <w:b w:val="0"/>
      <w:bCs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shd w:color="auto" w:fill="F8F8F8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DataTypeTok" w:type="character">
    <w:name w:val="DataTypeTok"/>
    <w:basedOn w:val="VerbatimChar"/>
    <w:rPr>
      <w:rFonts w:ascii="Consolas" w:hAnsi="Consolas"/>
      <w:color w:val="204A87"/>
      <w:sz w:val="22"/>
      <w:shd w:color="auto" w:fill="F8F8F8" w:val="clear"/>
    </w:rPr>
  </w:style>
  <w:style w:customStyle="1" w:styleId="DecValTok" w:type="character">
    <w:name w:val="DecVal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BaseNTok" w:type="character">
    <w:name w:val="BaseN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FloatTok" w:type="character">
    <w:name w:val="Float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ConstantTok" w:type="character">
    <w:name w:val="Constant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CharTok" w:type="character">
    <w:name w:val="Char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CharTok" w:type="character">
    <w:name w:val="SpecialChar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StringTok" w:type="character">
    <w:name w:val="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VerbatimStringTok" w:type="character">
    <w:name w:val="Verbatim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StringTok" w:type="character">
    <w:name w:val="Special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ImportTok" w:type="character">
    <w:name w:val="ImportTok"/>
    <w:basedOn w:val="VerbatimChar"/>
    <w:rPr>
      <w:rFonts w:ascii="Consolas" w:hAnsi="Consolas"/>
      <w:sz w:val="22"/>
      <w:shd w:color="auto" w:fill="F8F8F8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DocumentationTok" w:type="character">
    <w:name w:val="Documen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OtherTok" w:type="character">
    <w:name w:val="OtherTok"/>
    <w:basedOn w:val="VerbatimChar"/>
    <w:rPr>
      <w:rFonts w:ascii="Consolas" w:hAnsi="Consolas"/>
      <w:color w:val="8F5902"/>
      <w:sz w:val="22"/>
      <w:shd w:color="auto" w:fill="F8F8F8" w:val="clear"/>
    </w:rPr>
  </w:style>
  <w:style w:customStyle="1" w:styleId="FunctionTok" w:type="character">
    <w:name w:val="Function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VariableTok" w:type="character">
    <w:name w:val="Variable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OperatorTok" w:type="character">
    <w:name w:val="OperatorTok"/>
    <w:basedOn w:val="VerbatimChar"/>
    <w:rPr>
      <w:rFonts w:ascii="Consolas" w:hAnsi="Consolas"/>
      <w:b/>
      <w:color w:val="CE5C00"/>
      <w:sz w:val="22"/>
      <w:shd w:color="auto" w:fill="F8F8F8" w:val="clear"/>
    </w:rPr>
  </w:style>
  <w:style w:customStyle="1" w:styleId="BuiltInTok" w:type="character">
    <w:name w:val="BuiltInTok"/>
    <w:basedOn w:val="VerbatimChar"/>
    <w:rPr>
      <w:rFonts w:ascii="Consolas" w:hAnsi="Consolas"/>
      <w:sz w:val="22"/>
      <w:shd w:color="auto" w:fill="F8F8F8" w:val="clear"/>
    </w:rPr>
  </w:style>
  <w:style w:customStyle="1" w:styleId="ExtensionTok" w:type="character">
    <w:name w:val="ExtensionTok"/>
    <w:basedOn w:val="VerbatimChar"/>
    <w:rPr>
      <w:rFonts w:ascii="Consolas" w:hAnsi="Consolas"/>
      <w:sz w:val="22"/>
      <w:shd w:color="auto" w:fill="F8F8F8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AttributeTok" w:type="character">
    <w:name w:val="AttributeTok"/>
    <w:basedOn w:val="VerbatimChar"/>
    <w:rPr>
      <w:rFonts w:ascii="Consolas" w:hAnsi="Consolas"/>
      <w:color w:val="C4A000"/>
      <w:sz w:val="22"/>
      <w:shd w:color="auto" w:fill="F8F8F8" w:val="clear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  <w:shd w:color="auto" w:fill="F8F8F8" w:val="clear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lertTok" w:type="character">
    <w:name w:val="AlertTok"/>
    <w:basedOn w:val="VerbatimChar"/>
    <w:rPr>
      <w:rFonts w:ascii="Consolas" w:hAnsi="Consolas"/>
      <w:color w:val="EF2929"/>
      <w:sz w:val="22"/>
      <w:shd w:color="auto" w:fill="F8F8F8" w:val="clear"/>
    </w:rPr>
  </w:style>
  <w:style w:customStyle="1" w:styleId="ErrorTok" w:type="character">
    <w:name w:val="ErrorTok"/>
    <w:basedOn w:val="VerbatimChar"/>
    <w:rPr>
      <w:rFonts w:ascii="Consolas" w:hAnsi="Consolas"/>
      <w:b/>
      <w:color w:val="A40000"/>
      <w:sz w:val="22"/>
      <w:shd w:color="auto" w:fill="F8F8F8" w:val="clear"/>
    </w:rPr>
  </w:style>
  <w:style w:customStyle="1" w:styleId="NormalTok" w:type="character">
    <w:name w:val="NormalTok"/>
    <w:basedOn w:val="VerbatimChar"/>
    <w:rPr>
      <w:rFonts w:ascii="Consolas" w:hAnsi="Consolas"/>
      <w:sz w:val="22"/>
      <w:shd w:color="auto" w:fill="F8F8F8" w:val="clear"/>
    </w:rPr>
  </w:style>
  <w:style w:styleId="En-tte" w:type="paragraph">
    <w:name w:val="header"/>
    <w:basedOn w:val="Normal"/>
    <w:link w:val="En-tteCar"/>
    <w:uiPriority w:val="99"/>
    <w:unhideWhenUsed/>
    <w:rsid w:val="00935B7D"/>
    <w:pPr>
      <w:tabs>
        <w:tab w:pos="4536" w:val="center"/>
        <w:tab w:pos="9072" w:val="right"/>
      </w:tabs>
      <w:spacing w:after="0"/>
    </w:pPr>
  </w:style>
  <w:style w:customStyle="1" w:styleId="En-tteCar" w:type="character">
    <w:name w:val="En-tête Car"/>
    <w:basedOn w:val="Policepardfaut"/>
    <w:link w:val="En-tte"/>
    <w:uiPriority w:val="99"/>
    <w:rsid w:val="00935B7D"/>
    <w:rPr>
      <w:rFonts w:ascii="Marianne" w:hAnsi="Marianne"/>
      <w:sz w:val="22"/>
    </w:rPr>
  </w:style>
  <w:style w:styleId="Pieddepage" w:type="paragraph">
    <w:name w:val="footer"/>
    <w:basedOn w:val="Normal"/>
    <w:link w:val="PieddepageCar"/>
    <w:uiPriority w:val="99"/>
    <w:unhideWhenUsed/>
    <w:rsid w:val="00935B7D"/>
    <w:pPr>
      <w:tabs>
        <w:tab w:pos="4536" w:val="center"/>
        <w:tab w:pos="9072" w:val="right"/>
      </w:tabs>
      <w:spacing w:after="0"/>
    </w:pPr>
  </w:style>
  <w:style w:customStyle="1" w:styleId="PieddepageCar" w:type="character">
    <w:name w:val="Pied de page Car"/>
    <w:basedOn w:val="Policepardfaut"/>
    <w:link w:val="Pieddepage"/>
    <w:uiPriority w:val="99"/>
    <w:rsid w:val="00935B7D"/>
    <w:rPr>
      <w:rFonts w:ascii="Marianne" w:hAnsi="Marianne"/>
      <w:sz w:val="22"/>
    </w:rPr>
  </w:style>
  <w:style w:customStyle="1" w:styleId="Style1" w:type="paragraph">
    <w:name w:val="Style1"/>
    <w:basedOn w:val="Titre"/>
    <w:link w:val="Style1Car"/>
    <w:qFormat/>
    <w:rsid w:val="00ED29D4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jc w:val="both"/>
    </w:pPr>
    <w:rPr>
      <w:color w:val="auto"/>
      <w:sz w:val="24"/>
    </w:rPr>
  </w:style>
  <w:style w:customStyle="1" w:styleId="TitreCar" w:type="character">
    <w:name w:val="Titre Car"/>
    <w:basedOn w:val="Policepardfaut"/>
    <w:link w:val="Titre"/>
    <w:rsid w:val="004466CF"/>
    <w:rPr>
      <w:rFonts w:ascii="Marianne" w:cstheme="majorBidi" w:eastAsiaTheme="majorEastAsia" w:hAnsi="Marianne"/>
      <w:b/>
      <w:bCs/>
      <w:color w:themeColor="accent1" w:themeShade="B5" w:val="345A8A"/>
      <w:sz w:val="40"/>
      <w:szCs w:val="48"/>
    </w:rPr>
  </w:style>
  <w:style w:customStyle="1" w:styleId="Style1Car" w:type="character">
    <w:name w:val="Style1 Car"/>
    <w:basedOn w:val="TitreCar"/>
    <w:link w:val="Style1"/>
    <w:rsid w:val="00ED29D4"/>
    <w:rPr>
      <w:rFonts w:ascii="Marianne" w:cstheme="majorBidi" w:eastAsiaTheme="majorEastAsia" w:hAnsi="Marianne"/>
      <w:b/>
      <w:bCs/>
      <w:color w:themeColor="accent1" w:themeShade="B5" w:val="345A8A"/>
      <w:sz w:val="36"/>
      <w:szCs w:val="36"/>
    </w:rPr>
  </w:style>
  <w:style w:customStyle="1" w:styleId="Ecoulvisible" w:type="paragraph">
    <w:name w:val="Ecoul_visible"/>
    <w:basedOn w:val="FirstParagraph"/>
    <w:next w:val="FirstParagraph"/>
    <w:link w:val="EcoulvisibleCar"/>
    <w:rsid w:val="0091468E"/>
    <w:rPr>
      <w:color w:val="FE9929"/>
    </w:rPr>
  </w:style>
  <w:style w:customStyle="1" w:styleId="Assec" w:type="paragraph">
    <w:name w:val="Assec"/>
    <w:basedOn w:val="FirstParagraph"/>
    <w:next w:val="FirstParagraph"/>
    <w:link w:val="AssecCar"/>
    <w:rsid w:val="0091468E"/>
    <w:rPr>
      <w:color w:val="D73027"/>
    </w:rPr>
  </w:style>
  <w:style w:customStyle="1" w:styleId="CorpsdetexteCar" w:type="character">
    <w:name w:val="Corps de texte Car"/>
    <w:basedOn w:val="Policepardfaut"/>
    <w:link w:val="Corpsdetexte"/>
    <w:rsid w:val="0091468E"/>
    <w:rPr>
      <w:rFonts w:ascii="Marianne" w:hAnsi="Marianne"/>
      <w:sz w:val="21"/>
    </w:rPr>
  </w:style>
  <w:style w:customStyle="1" w:styleId="EcoulvisibleCar" w:type="character">
    <w:name w:val="Ecoul_visible Car"/>
    <w:basedOn w:val="CorpsdetexteCar"/>
    <w:link w:val="Ecoulvisible"/>
    <w:rsid w:val="00F63752"/>
    <w:rPr>
      <w:rFonts w:ascii="Marianne" w:hAnsi="Marianne"/>
      <w:color w:val="FE9929"/>
      <w:sz w:val="21"/>
    </w:rPr>
  </w:style>
  <w:style w:customStyle="1" w:styleId="Ecoulement" w:type="paragraph">
    <w:name w:val="Ecoulement"/>
    <w:basedOn w:val="FirstParagraph"/>
    <w:next w:val="FirstParagraph"/>
    <w:link w:val="EcoulementCar"/>
    <w:rsid w:val="0091468E"/>
    <w:rPr>
      <w:color w:val="4575B4"/>
    </w:rPr>
  </w:style>
  <w:style w:customStyle="1" w:styleId="AssecCar" w:type="character">
    <w:name w:val="Assec Car"/>
    <w:basedOn w:val="CorpsdetexteCar"/>
    <w:link w:val="Assec"/>
    <w:rsid w:val="00F63752"/>
    <w:rPr>
      <w:rFonts w:ascii="Marianne" w:hAnsi="Marianne"/>
      <w:color w:val="D73027"/>
      <w:sz w:val="21"/>
    </w:rPr>
  </w:style>
  <w:style w:customStyle="1" w:styleId="EcoulementCar" w:type="character">
    <w:name w:val="Ecoulement Car"/>
    <w:basedOn w:val="CorpsdetexteCar"/>
    <w:link w:val="Ecoulement"/>
    <w:rsid w:val="00F63752"/>
    <w:rPr>
      <w:rFonts w:ascii="Marianne" w:hAnsi="Marianne"/>
      <w:color w:val="4575B4"/>
      <w:sz w:val="21"/>
    </w:rPr>
  </w:style>
  <w:style w:customStyle="1" w:styleId="Assecstyle" w:type="character">
    <w:name w:val="Assec_style"/>
    <w:basedOn w:val="Policepardfaut"/>
    <w:uiPriority w:val="1"/>
    <w:qFormat/>
    <w:rsid w:val="00F11324"/>
    <w:rPr>
      <w:rFonts w:ascii="Marianne" w:hAnsi="Marianne"/>
      <w:color w:val="D73027"/>
      <w:sz w:val="21"/>
    </w:rPr>
  </w:style>
  <w:style w:customStyle="1" w:styleId="Ecoulementstyle" w:type="character">
    <w:name w:val="Ecoulement_style"/>
    <w:basedOn w:val="AssecCar"/>
    <w:uiPriority w:val="1"/>
    <w:qFormat/>
    <w:rsid w:val="001C4031"/>
    <w:rPr>
      <w:rFonts w:ascii="Marianne" w:hAnsi="Marianne"/>
      <w:color w:val="4575B4"/>
      <w:sz w:val="21"/>
    </w:rPr>
  </w:style>
  <w:style w:customStyle="1" w:styleId="Ecoulementnonvisiblestyle" w:type="character">
    <w:name w:val="Ecoulement_nonvisible_style"/>
    <w:basedOn w:val="Ecoulementstyle"/>
    <w:uiPriority w:val="1"/>
    <w:qFormat/>
    <w:rsid w:val="001C4031"/>
    <w:rPr>
      <w:rFonts w:ascii="Marianne" w:hAnsi="Marianne"/>
      <w:color w:val="FE8F29"/>
      <w:sz w:val="21"/>
    </w:rPr>
  </w:style>
  <w:style w:customStyle="1" w:styleId="Ecoulvisiblefaiblestyle" w:type="paragraph">
    <w:name w:val="Ecoul_visible_faible_style"/>
    <w:basedOn w:val="Corpsdetexte"/>
    <w:next w:val="FirstParagraph"/>
    <w:link w:val="EcoulvisiblefaiblestyleCar"/>
    <w:rsid w:val="007B3B2A"/>
  </w:style>
  <w:style w:customStyle="1" w:styleId="EcoulvisiblefaiblestyleCar" w:type="character">
    <w:name w:val="Ecoul_visible_faible_style Car"/>
    <w:basedOn w:val="CorpsdetexteCar"/>
    <w:link w:val="Ecoulvisiblefaiblestyle"/>
    <w:rsid w:val="007B3B2A"/>
    <w:rPr>
      <w:rFonts w:ascii="Marianne" w:hAnsi="Marianne"/>
      <w:sz w:val="21"/>
    </w:rPr>
  </w:style>
  <w:style w:customStyle="1" w:styleId="Ecoulvisiblefaible" w:type="character">
    <w:name w:val="Ecoul_visible_faible"/>
    <w:basedOn w:val="Policepardfaut"/>
    <w:uiPriority w:val="1"/>
    <w:qFormat/>
    <w:rsid w:val="007B3B2A"/>
    <w:rPr>
      <w:rFonts w:ascii="Marianne" w:hAnsi="Marianne"/>
      <w:color w:val="BDD7D5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2.xml" Type="http://schemas.openxmlformats.org/officeDocument/2006/relationships/header" /><Relationship Id="rId11" Target="footer1.xml" Type="http://schemas.openxmlformats.org/officeDocument/2006/relationships/footer" /><Relationship Id="rId12" Target="footer2.xml" Type="http://schemas.openxmlformats.org/officeDocument/2006/relationships/footer" /><Relationship Type="http://schemas.openxmlformats.org/officeDocument/2006/relationships/image" Id="rId66" Target="media/rId66.png" /><Relationship Type="http://schemas.openxmlformats.org/officeDocument/2006/relationships/image" Id="rId75" Target="media/rId75.png" /><Relationship Type="http://schemas.openxmlformats.org/officeDocument/2006/relationships/image" Id="rId87" Target="media/rId87.png" /><Relationship Type="http://schemas.openxmlformats.org/officeDocument/2006/relationships/image" Id="rId148" Target="media/rId148.png" /><Relationship Type="http://schemas.openxmlformats.org/officeDocument/2006/relationships/image" Id="rId62" Target="media/rId62.png" /><Relationship Type="http://schemas.openxmlformats.org/officeDocument/2006/relationships/image" Id="rId142" Target="media/rId142.png" /><Relationship Type="http://schemas.openxmlformats.org/officeDocument/2006/relationships/image" Id="rId172" Target="media/rId172.png" /><Relationship Type="http://schemas.openxmlformats.org/officeDocument/2006/relationships/image" Id="rId126" Target="media/rId126.png" /><Relationship Type="http://schemas.openxmlformats.org/officeDocument/2006/relationships/image" Id="rId25" Target="media/rId25.png" /><Relationship Type="http://schemas.openxmlformats.org/officeDocument/2006/relationships/image" Id="rId69" Target="media/rId69.png" /><Relationship Type="http://schemas.openxmlformats.org/officeDocument/2006/relationships/image" Id="rId35" Target="media/rId35.png" /><Relationship Type="http://schemas.openxmlformats.org/officeDocument/2006/relationships/image" Id="rId45" Target="media/rId45.png" /><Relationship Type="http://schemas.openxmlformats.org/officeDocument/2006/relationships/image" Id="rId81" Target="media/rId81.png" /><Relationship Type="http://schemas.openxmlformats.org/officeDocument/2006/relationships/image" Id="rId133" Target="media/rId133.png" /><Relationship Type="http://schemas.openxmlformats.org/officeDocument/2006/relationships/image" Id="rId72" Target="media/rId72.png" /><Relationship Type="http://schemas.openxmlformats.org/officeDocument/2006/relationships/image" Id="rId129" Target="media/rId129.png" /><Relationship Type="http://schemas.openxmlformats.org/officeDocument/2006/relationships/image" Id="rId151" Target="media/rId151.png" /><Relationship Type="http://schemas.openxmlformats.org/officeDocument/2006/relationships/image" Id="rId28" Target="media/rId28.png" /><Relationship Type="http://schemas.openxmlformats.org/officeDocument/2006/relationships/image" Id="rId105" Target="media/rId105.png" /><Relationship Type="http://schemas.openxmlformats.org/officeDocument/2006/relationships/image" Id="rId108" Target="media/rId108.png" /><Relationship Type="http://schemas.openxmlformats.org/officeDocument/2006/relationships/image" Id="rId90" Target="media/rId90.png" /><Relationship Type="http://schemas.openxmlformats.org/officeDocument/2006/relationships/image" Id="rId40" Target="media/rId40.png" /><Relationship Type="http://schemas.openxmlformats.org/officeDocument/2006/relationships/image" Id="rId78" Target="media/rId78.png" /><Relationship Type="http://schemas.openxmlformats.org/officeDocument/2006/relationships/image" Id="rId145" Target="media/rId145.png" /><Relationship Type="http://schemas.openxmlformats.org/officeDocument/2006/relationships/image" Id="rId175" Target="media/rId175.png" /><Relationship Type="http://schemas.openxmlformats.org/officeDocument/2006/relationships/image" Id="rId102" Target="media/rId102.png" /><Relationship Type="http://schemas.openxmlformats.org/officeDocument/2006/relationships/image" Id="rId84" Target="media/rId84.png" /><Relationship Type="http://schemas.openxmlformats.org/officeDocument/2006/relationships/image" Id="rId99" Target="media/rId99.png" /><Relationship Type="http://schemas.openxmlformats.org/officeDocument/2006/relationships/image" Id="rId111" Target="media/rId111.png" /><Relationship Type="http://schemas.openxmlformats.org/officeDocument/2006/relationships/image" Id="rId93" Target="media/rId93.png" /><Relationship Type="http://schemas.openxmlformats.org/officeDocument/2006/relationships/image" Id="rId169" Target="media/rId169.png" /><Relationship Type="http://schemas.openxmlformats.org/officeDocument/2006/relationships/image" Id="rId166" Target="media/rId166.png" /><Relationship Type="http://schemas.openxmlformats.org/officeDocument/2006/relationships/image" Id="rId136" Target="media/rId136.png" /><Relationship Type="http://schemas.openxmlformats.org/officeDocument/2006/relationships/image" Id="rId163" Target="media/rId163.png" /><Relationship Type="http://schemas.openxmlformats.org/officeDocument/2006/relationships/image" Id="rId50" Target="media/rId50.png" /><Relationship Type="http://schemas.openxmlformats.org/officeDocument/2006/relationships/image" Id="rId120" Target="media/rId120.png" /><Relationship Type="http://schemas.openxmlformats.org/officeDocument/2006/relationships/image" Id="rId154" Target="media/rId154.png" /><Relationship Type="http://schemas.openxmlformats.org/officeDocument/2006/relationships/image" Id="rId160" Target="media/rId160.png" /><Relationship Type="http://schemas.openxmlformats.org/officeDocument/2006/relationships/image" Id="rId117" Target="media/rId117.png" /><Relationship Type="http://schemas.openxmlformats.org/officeDocument/2006/relationships/image" Id="rId178" Target="media/rId178.png" /><Relationship Type="http://schemas.openxmlformats.org/officeDocument/2006/relationships/image" Id="rId96" Target="media/rId96.png" /><Relationship Type="http://schemas.openxmlformats.org/officeDocument/2006/relationships/image" Id="rId123" Target="media/rId123.png" /><Relationship Type="http://schemas.openxmlformats.org/officeDocument/2006/relationships/image" Id="rId114" Target="media/rId114.png" /><Relationship Type="http://schemas.openxmlformats.org/officeDocument/2006/relationships/image" Id="rId157" Target="media/rId157.png" /><Relationship Type="http://schemas.openxmlformats.org/officeDocument/2006/relationships/image" Id="rId139" Target="media/rId139.png" /><Relationship Type="http://schemas.openxmlformats.org/officeDocument/2006/relationships/image" Id="rId32" Target="media/rId32.png" /><Relationship Type="http://schemas.openxmlformats.org/officeDocument/2006/relationships/image" Id="rId59" Target="media/rId59.png" /><Relationship Type="http://schemas.openxmlformats.org/officeDocument/2006/relationships/image" Id="rId54" Target="media/rId54.png" /><Relationship Type="http://schemas.openxmlformats.org/officeDocument/2006/relationships/hyperlink" Id="rId21" Target="http://www.ades.eaufrance.fr/" TargetMode="External" /><Relationship Type="http://schemas.openxmlformats.org/officeDocument/2006/relationships/hyperlink" Id="rId20" Target="http://www.hydro.eaufrance.fr/" TargetMode="External" /><Relationship Type="http://schemas.openxmlformats.org/officeDocument/2006/relationships/hyperlink" Id="rId58" Target="https://www.data.gouv.fr/fr/datasets/donnee-secheresse-propluvia/" TargetMode="External" /><Relationship Type="http://schemas.openxmlformats.org/officeDocument/2006/relationships/hyperlink" Id="rId22" Target="https://www.eaufrance.fr/observatoire-national-des-etiages" TargetMode="External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://www.ades.eaufrance.fr/" TargetMode="External" /><Relationship Type="http://schemas.openxmlformats.org/officeDocument/2006/relationships/hyperlink" Id="rId20" Target="http://www.hydro.eaufrance.fr/" TargetMode="External" /><Relationship Type="http://schemas.openxmlformats.org/officeDocument/2006/relationships/hyperlink" Id="rId58" Target="https://www.data.gouv.fr/fr/datasets/donnee-secheresse-propluvia/" TargetMode="External" /><Relationship Type="http://schemas.openxmlformats.org/officeDocument/2006/relationships/hyperlink" Id="rId22" Target="https://www.eaufrance.fr/observatoire-national-des-etiages" TargetMode="Externa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65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Synthèse des données PISCIIIICOLES</vt:lpstr>
    </vt:vector>
  </TitlesOfParts>
  <Company>Office Françaiss de la Biodiversité</Company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Bilan mensuel ONDE Observatoire national des étiages Département 57</dc:title>
  <dc:creator>OFB, DR Grand Est</dc:creator>
  <cp:keywords/>
  <dcterms:created xsi:type="dcterms:W3CDTF">2026-07-27T11:18:38Z</dcterms:created>
  <dcterms:modified xsi:type="dcterms:W3CDTF">2026-07-27T11:18:38Z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Campagne usuelle de juillet 2026 rapport créé le 27 juillet 2026</vt:lpwstr>
  </property>
  <property fmtid="{D5CDD505-2E9C-101B-9397-08002B2CF9AE}" pid="3" name="output">
    <vt:lpwstr/>
  </property>
  <property fmtid="{D5CDD505-2E9C-101B-9397-08002B2CF9AE}" pid="4" name="params">
    <vt:lpwstr/>
  </property>
</Properties>
</file>