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A0A0A" w:color="auto" w:val="clear"/>
            <w:tcMar>
              <w:top w:type="dxa" w:w="1500"/>
              <w:left w:type="dxa" w:w="900"/>
              <w:bottom w:type="dxa" w:w="1200"/>
              <w:right w:type="dxa" w:w="900"/>
            </w:tcMar>
          </w:tcPr>
          <w:p>
            <w:pPr>
              <w:spacing w:after="600" w:line="384" w:lineRule="auto"/>
              <w:jc w:val="center"/>
            </w:pPr>
            <w:r>
              <w:rPr>
                <w:rFonts w:ascii="Corbel" w:cs="Corbel" w:eastAsia="Corbel" w:hAnsi="Corbel"/>
                <w:b w:val="false"/>
                <w:bCs w:val="false"/>
                <w:i w:val="false"/>
                <w:iCs w:val="false"/>
                <w:strike w:val="false"/>
                <w:color w:val="C9A84C"/>
                <w:spacing w:val="60"/>
                <w:sz w:val="18"/>
                <w:szCs w:val="18"/>
              </w:rPr>
              <w:t xml:space="preserve">Official Whitepaper — Public Release</w:t>
            </w:r>
          </w:p>
          <w:p>
            <w:pPr>
              <w:pStyle w:val="Heading1"/>
              <w:spacing w:after="120" w:line="312" w:lineRule="auto"/>
            </w:pPr>
            <w:r>
              <w:rPr>
                <w:color w:val="FFFFFF"/>
              </w:rPr>
              <w:t xml:space="preserve">GlossiCat</w:t>
            </w:r>
          </w:p>
          <w:p>
            <w:pPr>
              <w:spacing w:after="160" w:line="384" w:lineRule="auto"/>
              <w:jc w:val="center"/>
            </w:pPr>
            <w:r>
              <w:rPr>
                <w:rFonts w:ascii="Corbel" w:cs="Corbel" w:eastAsia="Corbel" w:hAnsi="Corbel"/>
                <w:b w:val="false"/>
                <w:bCs w:val="false"/>
                <w:i w:val="false"/>
                <w:iCs w:val="false"/>
                <w:strike w:val="false"/>
                <w:color w:val="C9A84C"/>
                <w:spacing w:val="90"/>
                <w:sz w:val="28"/>
                <w:szCs w:val="28"/>
              </w:rPr>
              <w:t xml:space="preserve">GLOXI</w:t>
            </w:r>
          </w:p>
          <w:p>
            <w:pPr>
              <w:spacing w:after="160" w:line="336" w:lineRule="auto"/>
              <w:jc w:val="center"/>
            </w:pPr>
            <w:r>
              <w:rPr>
                <w:rFonts w:ascii="Cambria" w:cs="Cambria" w:eastAsia="Cambria" w:hAnsi="Cambria"/>
                <w:b w:val="false"/>
                <w:bCs w:val="false"/>
                <w:i/>
                <w:iCs/>
                <w:strike w:val="false"/>
                <w:color w:val="C8C8C8"/>
                <w:sz w:val="28"/>
                <w:szCs w:val="28"/>
              </w:rPr>
              <w:t xml:space="preserve">The Luxury Meme Coin with Lore, Claws, and Culture</w:t>
            </w:r>
          </w:p>
          <w:p>
            <w:pPr>
              <w:spacing w:after="160" w:line="384" w:lineRule="auto"/>
              <w:jc w:val="center"/>
            </w:pPr>
            <w:r>
              <w:rPr>
                <w:rFonts w:ascii="Corbel" w:cs="Corbel" w:eastAsia="Corbel" w:hAnsi="Corbel"/>
                <w:b w:val="false"/>
                <w:bCs w:val="false"/>
                <w:i/>
                <w:iCs/>
                <w:strike w:val="false"/>
                <w:color w:val="C9A84C"/>
                <w:spacing w:val="15"/>
                <w:sz w:val="24"/>
                <w:szCs w:val="24"/>
              </w:rPr>
              <w:t xml:space="preserve">“She doesn’t chase trends. She sets them.”</w:t>
            </w:r>
          </w:p>
          <w:p>
            <w:pPr>
              <w:spacing w:after="160" w:line="480" w:lineRule="auto"/>
              <w:jc w:val="center"/>
            </w:pPr>
            <w:r>
              <w:rPr>
                <w:rFonts w:ascii="Corbel" w:cs="Corbel" w:eastAsia="Corbel" w:hAnsi="Corbel"/>
                <w:b w:val="false"/>
                <w:bCs w:val="false"/>
                <w:i w:val="false"/>
                <w:iCs w:val="false"/>
                <w:strike w:val="false"/>
                <w:color w:val="888888"/>
                <w:spacing w:val="30"/>
                <w:sz w:val="18"/>
                <w:szCs w:val="18"/>
              </w:rPr>
              <w:t xml:space="preserve">Version 1.0  •  August 2026</w:t>
            </w:r>
            <w:r>
              <w:rPr>
                <w:rFonts w:ascii="Corbel" w:cs="Corbel" w:eastAsia="Corbel" w:hAnsi="Corbel"/>
                <w:b w:val="false"/>
                <w:bCs w:val="false"/>
                <w:i w:val="false"/>
                <w:iCs w:val="false"/>
                <w:color w:val="888888"/>
                <w:sz w:val="18"/>
                <w:szCs w:val="18"/>
              </w:rPr>
              <w:br/>
            </w:r>
            <w:r>
              <w:rPr>
                <w:rFonts w:ascii="Corbel" w:cs="Corbel" w:eastAsia="Corbel" w:hAnsi="Corbel"/>
                <w:b w:val="false"/>
                <w:bCs w:val="false"/>
                <w:i w:val="false"/>
                <w:iCs w:val="false"/>
                <w:strike w:val="false"/>
                <w:color w:val="888888"/>
                <w:spacing w:val="30"/>
                <w:sz w:val="18"/>
                <w:szCs w:val="18"/>
              </w:rPr>
              <w:t xml:space="preserve"> Status: Public Release</w:t>
            </w:r>
            <w:r>
              <w:rPr>
                <w:rFonts w:ascii="Corbel" w:cs="Corbel" w:eastAsia="Corbel" w:hAnsi="Corbel"/>
                <w:b w:val="false"/>
                <w:bCs w:val="false"/>
                <w:i w:val="false"/>
                <w:iCs w:val="false"/>
                <w:color w:val="888888"/>
                <w:sz w:val="18"/>
                <w:szCs w:val="18"/>
              </w:rPr>
              <w:br/>
            </w:r>
            <w:r>
              <w:rPr>
                <w:rFonts w:ascii="Corbel" w:cs="Corbel" w:eastAsia="Corbel" w:hAnsi="Corbel"/>
                <w:b w:val="false"/>
                <w:bCs w:val="false"/>
                <w:i w:val="false"/>
                <w:iCs w:val="false"/>
                <w:strike w:val="false"/>
                <w:color w:val="888888"/>
                <w:spacing w:val="30"/>
                <w:sz w:val="18"/>
                <w:szCs w:val="18"/>
              </w:rPr>
              <w:t xml:space="preserve"> Ethereum (ERC-20)  •  Ticker: GLOXI</w:t>
            </w:r>
          </w:p>
        </w:tc>
      </w:tr>
    </w:tbl>
    <w:p>
      <w:pPr>
        <w:spacing w:after="240" w:before="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NAVIGATION</w:t>
      </w:r>
    </w:p>
    <w:p>
      <w:pPr>
        <w:pStyle w:val="Heading1"/>
        <w:spacing w:after="100" w:before="720" w:line="384" w:lineRule="auto"/>
      </w:pPr>
      <w:r>
        <w:rPr>
          <w:rFonts w:ascii="Cambria" w:cs="Cambria" w:eastAsia="Cambria" w:hAnsi="Cambria"/>
          <w:color w:val="0A0A0A"/>
          <w:spacing w:val="-7"/>
          <w:sz w:val="44"/>
          <w:szCs w:val="44"/>
        </w:rPr>
        <w:t xml:space="preserve">Table of Contents</w:t>
      </w:r>
    </w:p>
    <w:p>
      <w:pPr>
        <w:pBdr>
          <w:top w:val="single" w:color="C9A84C" w:sz="6"/>
        </w:pBdr>
        <w:spacing w:after="200" w:before="0"/>
      </w:pPr>
    </w:p>
    <w:p>
      <w:pPr>
        <w:spacing w:after="240" w:line="384" w:lineRule="auto"/>
      </w:pPr>
      <w:r>
        <w:rPr>
          <w:rFonts w:ascii="Cambria" w:cs="Cambria" w:eastAsia="Cambria" w:hAnsi="Cambria"/>
          <w:b/>
          <w:bCs/>
          <w:i w:val="false"/>
          <w:iCs w:val="false"/>
          <w:strike w:val="false"/>
          <w:color w:val="1A1A1A"/>
          <w:sz w:val="23"/>
          <w:szCs w:val="23"/>
        </w:rPr>
        <w:t xml:space="preserve">01</w:t>
      </w:r>
      <w:r>
        <w:rPr>
          <w:rFonts w:ascii="Corbel" w:cs="Corbel" w:eastAsia="Corbel" w:hAnsi="Corbel"/>
          <w:b w:val="false"/>
          <w:bCs w:val="false"/>
          <w:i w:val="false"/>
          <w:iCs w:val="false"/>
          <w:strike w:val="false"/>
          <w:color w:val="1A1A1A"/>
          <w:sz w:val="21"/>
          <w:szCs w:val="21"/>
        </w:rPr>
        <w:t xml:space="preserve"> Executive Summary</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02</w:t>
      </w:r>
      <w:r>
        <w:rPr>
          <w:rFonts w:ascii="Corbel" w:cs="Corbel" w:eastAsia="Corbel" w:hAnsi="Corbel"/>
          <w:b w:val="false"/>
          <w:bCs w:val="false"/>
          <w:i w:val="false"/>
          <w:iCs w:val="false"/>
          <w:strike w:val="false"/>
          <w:color w:val="1A1A1A"/>
          <w:sz w:val="21"/>
          <w:szCs w:val="21"/>
        </w:rPr>
        <w:t xml:space="preserve"> The Problem</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03</w:t>
      </w:r>
      <w:r>
        <w:rPr>
          <w:rFonts w:ascii="Corbel" w:cs="Corbel" w:eastAsia="Corbel" w:hAnsi="Corbel"/>
          <w:b w:val="false"/>
          <w:bCs w:val="false"/>
          <w:i w:val="false"/>
          <w:iCs w:val="false"/>
          <w:strike w:val="false"/>
          <w:color w:val="1A1A1A"/>
          <w:sz w:val="21"/>
          <w:szCs w:val="21"/>
        </w:rPr>
        <w:t xml:space="preserve"> The Vision</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04</w:t>
      </w:r>
      <w:r>
        <w:rPr>
          <w:rFonts w:ascii="Corbel" w:cs="Corbel" w:eastAsia="Corbel" w:hAnsi="Corbel"/>
          <w:b w:val="false"/>
          <w:bCs w:val="false"/>
          <w:i w:val="false"/>
          <w:iCs w:val="false"/>
          <w:strike w:val="false"/>
          <w:color w:val="1A1A1A"/>
          <w:sz w:val="21"/>
          <w:szCs w:val="21"/>
        </w:rPr>
        <w:t xml:space="preserve"> The Lore</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05</w:t>
      </w:r>
      <w:r>
        <w:rPr>
          <w:rFonts w:ascii="Corbel" w:cs="Corbel" w:eastAsia="Corbel" w:hAnsi="Corbel"/>
          <w:b w:val="false"/>
          <w:bCs w:val="false"/>
          <w:i w:val="false"/>
          <w:iCs w:val="false"/>
          <w:strike w:val="false"/>
          <w:color w:val="1A1A1A"/>
          <w:sz w:val="21"/>
          <w:szCs w:val="21"/>
        </w:rPr>
        <w:t xml:space="preserve"> Ecosystem Architecture</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06</w:t>
      </w:r>
      <w:r>
        <w:rPr>
          <w:rFonts w:ascii="Corbel" w:cs="Corbel" w:eastAsia="Corbel" w:hAnsi="Corbel"/>
          <w:b w:val="false"/>
          <w:bCs w:val="false"/>
          <w:i w:val="false"/>
          <w:iCs w:val="false"/>
          <w:strike w:val="false"/>
          <w:color w:val="1A1A1A"/>
          <w:sz w:val="21"/>
          <w:szCs w:val="21"/>
        </w:rPr>
        <w:t xml:space="preserve"> Branding Identity</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07</w:t>
      </w:r>
      <w:r>
        <w:rPr>
          <w:rFonts w:ascii="Corbel" w:cs="Corbel" w:eastAsia="Corbel" w:hAnsi="Corbel"/>
          <w:b w:val="false"/>
          <w:bCs w:val="false"/>
          <w:i w:val="false"/>
          <w:iCs w:val="false"/>
          <w:strike w:val="false"/>
          <w:color w:val="1A1A1A"/>
          <w:sz w:val="21"/>
          <w:szCs w:val="21"/>
        </w:rPr>
        <w:t xml:space="preserve"> Tokenomics</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08</w:t>
      </w:r>
      <w:r>
        <w:rPr>
          <w:rFonts w:ascii="Corbel" w:cs="Corbel" w:eastAsia="Corbel" w:hAnsi="Corbel"/>
          <w:b w:val="false"/>
          <w:bCs w:val="false"/>
          <w:i w:val="false"/>
          <w:iCs w:val="false"/>
          <w:strike w:val="false"/>
          <w:color w:val="1A1A1A"/>
          <w:sz w:val="21"/>
          <w:szCs w:val="21"/>
        </w:rPr>
        <w:t xml:space="preserve"> Roadmap</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09</w:t>
      </w:r>
      <w:r>
        <w:rPr>
          <w:rFonts w:ascii="Corbel" w:cs="Corbel" w:eastAsia="Corbel" w:hAnsi="Corbel"/>
          <w:b w:val="false"/>
          <w:bCs w:val="false"/>
          <w:i w:val="false"/>
          <w:iCs w:val="false"/>
          <w:strike w:val="false"/>
          <w:color w:val="1A1A1A"/>
          <w:sz w:val="21"/>
          <w:szCs w:val="21"/>
        </w:rPr>
        <w:t xml:space="preserve"> Security &amp; Compliance</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10</w:t>
      </w:r>
      <w:r>
        <w:rPr>
          <w:rFonts w:ascii="Corbel" w:cs="Corbel" w:eastAsia="Corbel" w:hAnsi="Corbel"/>
          <w:b w:val="false"/>
          <w:bCs w:val="false"/>
          <w:i w:val="false"/>
          <w:iCs w:val="false"/>
          <w:strike w:val="false"/>
          <w:color w:val="1A1A1A"/>
          <w:sz w:val="21"/>
          <w:szCs w:val="21"/>
        </w:rPr>
        <w:t xml:space="preserve"> Team</w:t>
      </w:r>
    </w:p>
    <w:p>
      <w:pPr>
        <w:pBdr>
          <w:bottom w:val="single" w:color="D0C8B8" w:sz="6"/>
        </w:pBdr>
        <w:spacing w:after="240" w:before="240"/>
      </w:pPr>
    </w:p>
    <w:p>
      <w:pPr>
        <w:spacing w:after="240" w:line="384" w:lineRule="auto"/>
      </w:pPr>
      <w:r>
        <w:rPr>
          <w:rFonts w:ascii="Cambria" w:cs="Cambria" w:eastAsia="Cambria" w:hAnsi="Cambria"/>
          <w:b/>
          <w:bCs/>
          <w:i w:val="false"/>
          <w:iCs w:val="false"/>
          <w:strike w:val="false"/>
          <w:color w:val="1A1A1A"/>
          <w:sz w:val="23"/>
          <w:szCs w:val="23"/>
        </w:rPr>
        <w:t xml:space="preserve">11</w:t>
      </w:r>
      <w:r>
        <w:rPr>
          <w:rFonts w:ascii="Corbel" w:cs="Corbel" w:eastAsia="Corbel" w:hAnsi="Corbel"/>
          <w:b w:val="false"/>
          <w:bCs w:val="false"/>
          <w:i w:val="false"/>
          <w:iCs w:val="false"/>
          <w:strike w:val="false"/>
          <w:color w:val="1A1A1A"/>
          <w:sz w:val="21"/>
          <w:szCs w:val="21"/>
        </w:rPr>
        <w:t xml:space="preserve"> Legal Disclaimer</w:t>
      </w:r>
    </w:p>
    <w:p>
      <w:pPr>
        <w:pBdr>
          <w:bottom w:val="single" w:color="D0C8B8" w:sz="6"/>
        </w:pBdr>
        <w:spacing w:after="240" w:before="24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01</w:t>
      </w:r>
    </w:p>
    <w:p>
      <w:pPr>
        <w:pStyle w:val="Heading1"/>
        <w:spacing w:after="100" w:before="720" w:line="384" w:lineRule="auto"/>
      </w:pPr>
      <w:r>
        <w:rPr>
          <w:rFonts w:ascii="Cambria" w:cs="Cambria" w:eastAsia="Cambria" w:hAnsi="Cambria"/>
          <w:color w:val="0A0A0A"/>
          <w:spacing w:val="-7"/>
          <w:sz w:val="44"/>
          <w:szCs w:val="44"/>
        </w:rPr>
        <w:t xml:space="preserve">Executive Summary</w:t>
      </w:r>
    </w:p>
    <w:p>
      <w:pPr>
        <w:pBdr>
          <w:top w:val="single" w:color="C9A84C"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GlossiCat (GLOXI) is a next-generation cultural token conceived at the precise intersection of luxury aesthetics, internet mythology, and decentralized community ownership. In a landscape saturated with imitation and noise, GlossiCat arrives as something categorically different: a token with a soul, a voice, and a universe behind it.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GLOXI is not merely a speculative asset. It is a living brand — one that breathes through its community, evolves through its lore, and compounds in cultural value with every passing season. Where conventional meme coins offer fleeting virality, GlossiCat offers permanence. Where others promise utility, GlossiCat delivers identity.</w:t>
      </w:r>
    </w:p>
    <w:p>
      <w:pPr>
        <w:pBdr>
          <w:bottom w:val="single" w:color="C9A84C" w:sz="6"/>
        </w:pBdr>
        <w:spacing w:after="240" w:before="240"/>
      </w:pPr>
    </w:p>
    <w:p>
      <w:pPr>
        <w:spacing w:after="240" w:before="60" w:line="384" w:lineRule="auto"/>
        <w:jc w:val="center"/>
      </w:pPr>
      <w:r>
        <w:rPr>
          <w:rFonts w:ascii="Cambria" w:cs="Cambria" w:eastAsia="Cambria" w:hAnsi="Cambria"/>
          <w:b w:val="false"/>
          <w:bCs w:val="false"/>
          <w:i/>
          <w:iCs/>
          <w:strike w:val="false"/>
          <w:color w:val="3B1F3A"/>
          <w:sz w:val="30"/>
          <w:szCs w:val="30"/>
        </w:rPr>
        <w:t xml:space="preserve">“This whitepaper outlines the vision, architecture, tokenomics, roadmap, and ethos behind GlossiCat — a project designed not to ride the wave, but to become one.”</w:t>
      </w:r>
    </w:p>
    <w:p>
      <w:pPr>
        <w:pBdr>
          <w:bottom w:val="single" w:color="C9A84C" w:sz="6"/>
        </w:pBdr>
        <w:spacing w:after="240" w:before="24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02</w:t>
      </w:r>
    </w:p>
    <w:p>
      <w:pPr>
        <w:pStyle w:val="Heading1"/>
        <w:spacing w:after="100" w:before="720" w:line="384" w:lineRule="auto"/>
      </w:pPr>
      <w:r>
        <w:rPr>
          <w:rFonts w:ascii="Cambria" w:cs="Cambria" w:eastAsia="Cambria" w:hAnsi="Cambria"/>
          <w:color w:val="0A0A0A"/>
          <w:spacing w:val="-7"/>
          <w:sz w:val="44"/>
          <w:szCs w:val="44"/>
        </w:rPr>
        <w:t xml:space="preserve">The Problem</w:t>
      </w:r>
    </w:p>
    <w:p>
      <w:pPr>
        <w:pBdr>
          <w:top w:val="single" w:color="C9A84C" w:sz="6"/>
        </w:pBdr>
        <w:spacing w:after="200" w:before="0"/>
      </w:pPr>
    </w:p>
    <w:p>
      <w:pPr>
        <w:pStyle w:val="Heading2"/>
        <w:spacing w:after="80" w:before="440" w:line="384" w:lineRule="auto"/>
      </w:pPr>
      <w:r>
        <w:rPr>
          <w:rFonts w:ascii="Cambria" w:cs="Cambria" w:eastAsia="Cambria" w:hAnsi="Cambria"/>
          <w:color w:val="3B1F3A"/>
          <w:spacing w:val="5"/>
          <w:sz w:val="28"/>
          <w:szCs w:val="28"/>
        </w:rPr>
        <w:t xml:space="preserve">2.1 The Meme Coin Paradox</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meme coin category has proven, beyond all reasonable doubt, that community and culture are among the most powerful forces in decentralized finance. Tokens driven by shared identity and collective narrative have outperformed blue-chip assets, spawned entire ecosystems, and onboarded millions of users who would never have engaged with traditional crypto markets.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And yet the category suffers from a fundamental flaw: </w:t>
      </w:r>
      <w:r>
        <w:rPr>
          <w:rFonts w:ascii="Cambria" w:cs="Cambria" w:eastAsia="Cambria" w:hAnsi="Cambria"/>
          <w:b/>
          <w:bCs/>
          <w:i w:val="false"/>
          <w:iCs w:val="false"/>
          <w:strike w:val="false"/>
          <w:color w:val="1A1A1A"/>
          <w:sz w:val="23"/>
          <w:szCs w:val="23"/>
        </w:rPr>
        <w:t xml:space="preserve">it builds on sand.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Most meme coins rise on the back of a single moment — a tweet, a meme, a celebrity mention — and collapse the instant that moment passes. There is no underlying identity to sustain them. No narrative to return to. No reason for a community to stay when the chart turns 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A0A0A" w:color="auto" w:val="clear"/>
            <w:tcMar>
              <w:top w:type="dxa" w:w="320"/>
              <w:left w:type="dxa" w:w="400"/>
              <w:bottom w:type="dxa" w:w="320"/>
              <w:right w:type="dxa" w:w="400"/>
            </w:tcMar>
          </w:tcPr>
          <w:p>
            <w:pPr>
              <w:spacing w:after="120" w:line="384" w:lineRule="auto"/>
            </w:pPr>
            <w:r>
              <w:rPr>
                <w:rFonts w:ascii="Corbel" w:cs="Corbel" w:eastAsia="Corbel" w:hAnsi="Corbel"/>
                <w:b/>
                <w:bCs/>
                <w:i w:val="false"/>
                <w:iCs w:val="false"/>
                <w:strike w:val="false"/>
                <w:color w:val="E8E8E8"/>
                <w:sz w:val="21"/>
                <w:szCs w:val="21"/>
              </w:rPr>
              <w:t xml:space="preserve">The Core Contradiction</w:t>
            </w:r>
          </w:p>
          <w:p>
            <w:pPr>
              <w:spacing w:after="120" w:line="384" w:lineRule="auto"/>
            </w:pPr>
            <w:r>
              <w:rPr>
                <w:rFonts w:ascii="Corbel" w:cs="Corbel" w:eastAsia="Corbel" w:hAnsi="Corbel"/>
                <w:b w:val="false"/>
                <w:bCs w:val="false"/>
                <w:i w:val="false"/>
                <w:iCs w:val="false"/>
                <w:strike w:val="false"/>
                <w:color w:val="E8E8E8"/>
                <w:sz w:val="21"/>
                <w:szCs w:val="21"/>
              </w:rPr>
              <w:t xml:space="preserve">The most culturally powerful category in crypto is also its most structurally fragile. Virality without identity is a fire without fuel — spectacular, brief, and cold by morning.</w:t>
            </w:r>
          </w:p>
        </w:tc>
      </w:tr>
    </w:tbl>
    <w:p>
      <w:pPr>
        <w:spacing w:after="240" w:before="0"/>
      </w:pPr>
    </w:p>
    <w:p>
      <w:pPr>
        <w:pStyle w:val="Heading2"/>
        <w:spacing w:after="80" w:before="440" w:line="384" w:lineRule="auto"/>
      </w:pPr>
      <w:r>
        <w:rPr>
          <w:rFonts w:ascii="Cambria" w:cs="Cambria" w:eastAsia="Cambria" w:hAnsi="Cambria"/>
          <w:color w:val="3B1F3A"/>
          <w:spacing w:val="5"/>
          <w:sz w:val="28"/>
          <w:szCs w:val="28"/>
        </w:rPr>
        <w:t xml:space="preserve">2.2 The Culture Deficit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Simultaneously, the luxury and fashion industries — trillion-dollar arbiters of aspiration, identity, and desire — have remained largely peripheral to the crypto space. Occasional NFT drops and brand experiments have skimmed the surface, but no project has fully occupied the space where high culture and decentralized finance converge.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That space remains empty. GlossiCat intends to fill it.</w:t>
      </w:r>
    </w:p>
    <w:p>
      <w:pPr>
        <w:pStyle w:val="Heading2"/>
        <w:spacing w:after="80" w:before="440" w:line="384" w:lineRule="auto"/>
      </w:pPr>
      <w:r>
        <w:rPr>
          <w:rFonts w:ascii="Cambria" w:cs="Cambria" w:eastAsia="Cambria" w:hAnsi="Cambria"/>
          <w:color w:val="3B1F3A"/>
          <w:spacing w:val="5"/>
          <w:sz w:val="28"/>
          <w:szCs w:val="28"/>
        </w:rPr>
        <w:t xml:space="preserve">2.3 The Identity Vacuum</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For a growing segment of Web3 participants — particularly younger, culturally fluent, aesthetics-driven users — existing tokens offer no meaningful self-expression. Holding a token is not yet a statement about who you are.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GlossiCat changes that.</w:t>
      </w: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03</w:t>
      </w:r>
    </w:p>
    <w:p>
      <w:pPr>
        <w:pStyle w:val="Heading1"/>
        <w:spacing w:after="100" w:before="720" w:line="384" w:lineRule="auto"/>
      </w:pPr>
      <w:r>
        <w:rPr>
          <w:rFonts w:ascii="Cambria" w:cs="Cambria" w:eastAsia="Cambria" w:hAnsi="Cambria"/>
          <w:color w:val="0A0A0A"/>
          <w:spacing w:val="-7"/>
          <w:sz w:val="44"/>
          <w:szCs w:val="44"/>
        </w:rPr>
        <w:t xml:space="preserve">The Vision</w:t>
      </w:r>
    </w:p>
    <w:p>
      <w:pPr>
        <w:pBdr>
          <w:top w:val="single" w:color="C9A84C"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GlossiCat was built on a single conviction: the most durable communities in Web3 are built around </w:t>
      </w:r>
      <w:r>
        <w:rPr>
          <w:rFonts w:ascii="Cambria" w:cs="Cambria" w:eastAsia="Cambria" w:hAnsi="Cambria"/>
          <w:b/>
          <w:bCs/>
          <w:i w:val="false"/>
          <w:iCs w:val="false"/>
          <w:strike w:val="false"/>
          <w:color w:val="1A1A1A"/>
          <w:sz w:val="23"/>
          <w:szCs w:val="23"/>
        </w:rPr>
        <w:t xml:space="preserve">identity</w:t>
      </w:r>
      <w:r>
        <w:rPr>
          <w:rFonts w:ascii="Cambria" w:cs="Cambria" w:eastAsia="Cambria" w:hAnsi="Cambria"/>
          <w:b w:val="false"/>
          <w:bCs w:val="false"/>
          <w:i w:val="false"/>
          <w:iCs w:val="false"/>
          <w:strike w:val="false"/>
          <w:color w:val="1A1A1A"/>
          <w:sz w:val="23"/>
          <w:szCs w:val="23"/>
        </w:rPr>
        <w:t xml:space="preserve">, not speculation. The GLOXI ecosystem is designed to accomplish four interconnected goals:</w:t>
      </w:r>
    </w:p>
    <w:p>
      <w:pPr>
        <w:spacing w:after="240" w:before="60" w:line="384" w:lineRule="auto"/>
      </w:pPr>
      <w:r>
        <w:rPr>
          <w:rFonts w:ascii="Cambria" w:cs="Cambria" w:eastAsia="Cambria" w:hAnsi="Cambria"/>
          <w:b w:val="false"/>
          <w:bCs w:val="false"/>
          <w:i w:val="false"/>
          <w:iCs w:val="false"/>
          <w:strike w:val="false"/>
          <w:color w:val="2D2D2D"/>
          <w:spacing w:val="30"/>
          <w:sz w:val="21"/>
          <w:szCs w:val="21"/>
        </w:rPr>
        <w:t xml:space="preserve">GOAL 01</w:t>
      </w:r>
    </w:p>
    <w:p>
      <w:pPr>
        <w:spacing w:after="240" w:before="60" w:line="384" w:lineRule="auto"/>
      </w:pPr>
      <w:r>
        <w:rPr>
          <w:rFonts w:ascii="Cambria" w:cs="Cambria" w:eastAsia="Cambria" w:hAnsi="Cambria"/>
          <w:b/>
          <w:bCs/>
          <w:i w:val="false"/>
          <w:iCs w:val="false"/>
          <w:strike w:val="false"/>
          <w:color w:val="2D2D2D"/>
          <w:sz w:val="21"/>
          <w:szCs w:val="21"/>
        </w:rPr>
        <w:t xml:space="preserve">Sustain a Living Brand</w:t>
      </w:r>
    </w:p>
    <w:p>
      <w:pPr>
        <w:spacing w:after="240" w:before="60" w:line="384" w:lineRule="auto"/>
      </w:pPr>
      <w:r>
        <w:rPr>
          <w:rFonts w:ascii="Cambria" w:cs="Cambria" w:eastAsia="Cambria" w:hAnsi="Cambria"/>
          <w:b w:val="false"/>
          <w:bCs w:val="false"/>
          <w:i w:val="false"/>
          <w:iCs w:val="false"/>
          <w:strike w:val="false"/>
          <w:color w:val="2D2D2D"/>
          <w:sz w:val="21"/>
          <w:szCs w:val="21"/>
        </w:rPr>
        <w:t xml:space="preserve">To build a token whose cultural value compounds over time, regardless of market conditions. GlossiCat will exist as a recognized aesthetic entity — a brand with voice, visual identity, and lore that survives any single cycle.</w:t>
      </w:r>
    </w:p>
    <w:p>
      <w:pPr>
        <w:pBdr>
          <w:bottom w:val="single" w:color="3B1F3A" w:sz="6"/>
        </w:pBdr>
        <w:spacing w:after="240" w:before="240"/>
      </w:pPr>
    </w:p>
    <w:p>
      <w:pPr>
        <w:spacing w:after="240" w:before="60" w:line="384" w:lineRule="auto"/>
      </w:pPr>
      <w:r>
        <w:rPr>
          <w:rFonts w:ascii="Cambria" w:cs="Cambria" w:eastAsia="Cambria" w:hAnsi="Cambria"/>
          <w:b w:val="false"/>
          <w:bCs w:val="false"/>
          <w:i w:val="false"/>
          <w:iCs w:val="false"/>
          <w:strike w:val="false"/>
          <w:color w:val="2D2D2D"/>
          <w:spacing w:val="30"/>
          <w:sz w:val="21"/>
          <w:szCs w:val="21"/>
        </w:rPr>
        <w:t xml:space="preserve">GOAL 02</w:t>
      </w:r>
    </w:p>
    <w:p>
      <w:pPr>
        <w:spacing w:after="240" w:before="60" w:line="384" w:lineRule="auto"/>
      </w:pPr>
      <w:r>
        <w:rPr>
          <w:rFonts w:ascii="Cambria" w:cs="Cambria" w:eastAsia="Cambria" w:hAnsi="Cambria"/>
          <w:b/>
          <w:bCs/>
          <w:i w:val="false"/>
          <w:iCs w:val="false"/>
          <w:strike w:val="false"/>
          <w:color w:val="2D2D2D"/>
          <w:sz w:val="21"/>
          <w:szCs w:val="21"/>
        </w:rPr>
        <w:t xml:space="preserve">Reward Belonging</w:t>
      </w:r>
    </w:p>
    <w:p>
      <w:pPr>
        <w:spacing w:after="240" w:before="60" w:line="384" w:lineRule="auto"/>
      </w:pPr>
      <w:r>
        <w:rPr>
          <w:rFonts w:ascii="Cambria" w:cs="Cambria" w:eastAsia="Cambria" w:hAnsi="Cambria"/>
          <w:b w:val="false"/>
          <w:bCs w:val="false"/>
          <w:i w:val="false"/>
          <w:iCs w:val="false"/>
          <w:strike w:val="false"/>
          <w:color w:val="2D2D2D"/>
          <w:sz w:val="21"/>
          <w:szCs w:val="21"/>
        </w:rPr>
        <w:t xml:space="preserve">To create mechanisms that reward holders not merely for holding, but for participating. Exclusive access, governance rights, curated experiences, and community recognition are the currency of belonging within the GLOXI ecosystem.</w:t>
      </w:r>
    </w:p>
    <w:p>
      <w:pPr>
        <w:pBdr>
          <w:bottom w:val="single" w:color="3B1F3A" w:sz="6"/>
        </w:pBdr>
        <w:spacing w:after="240" w:before="240"/>
      </w:pPr>
    </w:p>
    <w:p>
      <w:pPr>
        <w:spacing w:after="240" w:before="60" w:line="384" w:lineRule="auto"/>
      </w:pPr>
      <w:r>
        <w:rPr>
          <w:rFonts w:ascii="Cambria" w:cs="Cambria" w:eastAsia="Cambria" w:hAnsi="Cambria"/>
          <w:b w:val="false"/>
          <w:bCs w:val="false"/>
          <w:i w:val="false"/>
          <w:iCs w:val="false"/>
          <w:strike w:val="false"/>
          <w:color w:val="2D2D2D"/>
          <w:spacing w:val="30"/>
          <w:sz w:val="21"/>
          <w:szCs w:val="21"/>
        </w:rPr>
        <w:t xml:space="preserve">GOAL 03</w:t>
      </w:r>
    </w:p>
    <w:p>
      <w:pPr>
        <w:spacing w:after="240" w:before="60" w:line="384" w:lineRule="auto"/>
      </w:pPr>
      <w:r>
        <w:rPr>
          <w:rFonts w:ascii="Cambria" w:cs="Cambria" w:eastAsia="Cambria" w:hAnsi="Cambria"/>
          <w:b/>
          <w:bCs/>
          <w:i w:val="false"/>
          <w:iCs w:val="false"/>
          <w:strike w:val="false"/>
          <w:color w:val="2D2D2D"/>
          <w:sz w:val="21"/>
          <w:szCs w:val="21"/>
        </w:rPr>
        <w:t xml:space="preserve">Bridge Luxury and DeFi</w:t>
      </w:r>
    </w:p>
    <w:p>
      <w:pPr>
        <w:spacing w:after="240" w:before="60" w:line="384" w:lineRule="auto"/>
      </w:pPr>
      <w:r>
        <w:rPr>
          <w:rFonts w:ascii="Cambria" w:cs="Cambria" w:eastAsia="Cambria" w:hAnsi="Cambria"/>
          <w:b w:val="false"/>
          <w:bCs w:val="false"/>
          <w:i w:val="false"/>
          <w:iCs w:val="false"/>
          <w:strike w:val="false"/>
          <w:color w:val="2D2D2D"/>
          <w:sz w:val="21"/>
          <w:szCs w:val="21"/>
        </w:rPr>
        <w:t xml:space="preserve">To become the definitive home for culturally sophisticated Web3 participants — and the bridge by which the luxury, fashion, and creative industries engage authentically with decentralized finance.</w:t>
      </w:r>
    </w:p>
    <w:p>
      <w:pPr>
        <w:pBdr>
          <w:bottom w:val="single" w:color="3B1F3A" w:sz="6"/>
        </w:pBdr>
        <w:spacing w:after="240" w:before="240"/>
      </w:pPr>
    </w:p>
    <w:p>
      <w:pPr>
        <w:spacing w:after="240" w:before="60" w:line="384" w:lineRule="auto"/>
      </w:pPr>
      <w:r>
        <w:rPr>
          <w:rFonts w:ascii="Cambria" w:cs="Cambria" w:eastAsia="Cambria" w:hAnsi="Cambria"/>
          <w:b w:val="false"/>
          <w:bCs w:val="false"/>
          <w:i w:val="false"/>
          <w:iCs w:val="false"/>
          <w:strike w:val="false"/>
          <w:color w:val="2D2D2D"/>
          <w:spacing w:val="30"/>
          <w:sz w:val="21"/>
          <w:szCs w:val="21"/>
        </w:rPr>
        <w:t xml:space="preserve">GOAL 04</w:t>
      </w:r>
    </w:p>
    <w:p>
      <w:pPr>
        <w:spacing w:after="240" w:before="60" w:line="384" w:lineRule="auto"/>
      </w:pPr>
      <w:r>
        <w:rPr>
          <w:rFonts w:ascii="Cambria" w:cs="Cambria" w:eastAsia="Cambria" w:hAnsi="Cambria"/>
          <w:b/>
          <w:bCs/>
          <w:i w:val="false"/>
          <w:iCs w:val="false"/>
          <w:strike w:val="false"/>
          <w:color w:val="2D2D2D"/>
          <w:sz w:val="21"/>
          <w:szCs w:val="21"/>
        </w:rPr>
        <w:t xml:space="preserve">Build a Universe</w:t>
      </w:r>
    </w:p>
    <w:p>
      <w:pPr>
        <w:spacing w:after="240" w:before="60" w:line="384" w:lineRule="auto"/>
      </w:pPr>
      <w:r>
        <w:rPr>
          <w:rFonts w:ascii="Cambria" w:cs="Cambria" w:eastAsia="Cambria" w:hAnsi="Cambria"/>
          <w:b w:val="false"/>
          <w:bCs w:val="false"/>
          <w:i w:val="false"/>
          <w:iCs w:val="false"/>
          <w:strike w:val="false"/>
          <w:color w:val="2D2D2D"/>
          <w:sz w:val="21"/>
          <w:szCs w:val="21"/>
        </w:rPr>
        <w:t xml:space="preserve">To construct a world — through lore, art, media, and community — that grows richer with every contribution. GlossiCat is not a project with a roadmap that ends. It is a universe in perpetual expansion.</w:t>
      </w:r>
    </w:p>
    <w:p>
      <w:pPr>
        <w:pBdr>
          <w:bottom w:val="single" w:color="3B1F3A" w:sz="6"/>
        </w:pBdr>
        <w:spacing w:after="240" w:before="24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04</w:t>
      </w:r>
    </w:p>
    <w:p>
      <w:pPr>
        <w:pStyle w:val="Heading1"/>
        <w:spacing w:after="100" w:before="720" w:line="384" w:lineRule="auto"/>
      </w:pPr>
      <w:r>
        <w:rPr>
          <w:rFonts w:ascii="Cambria" w:cs="Cambria" w:eastAsia="Cambria" w:hAnsi="Cambria"/>
          <w:color w:val="0A0A0A"/>
          <w:spacing w:val="-7"/>
          <w:sz w:val="44"/>
          <w:szCs w:val="44"/>
        </w:rPr>
        <w:t xml:space="preserve">The Lore</w:t>
      </w:r>
    </w:p>
    <w:p>
      <w:pPr>
        <w:pBdr>
          <w:top w:val="single" w:color="C9A84C" w:sz="6"/>
        </w:pBdr>
        <w:spacing w:after="200" w:before="0"/>
      </w:pPr>
    </w:p>
    <w:p>
      <w:pPr>
        <w:spacing w:after="280" w:before="60" w:line="384" w:lineRule="auto"/>
      </w:pPr>
      <w:r>
        <w:rPr>
          <w:rFonts w:ascii="Corbel" w:cs="Corbel" w:eastAsia="Corbel" w:hAnsi="Corbel"/>
          <w:b w:val="false"/>
          <w:bCs w:val="false"/>
          <w:i w:val="false"/>
          <w:iCs w:val="false"/>
          <w:strike w:val="false"/>
          <w:color w:val="888888"/>
          <w:sz w:val="23"/>
          <w:szCs w:val="23"/>
        </w:rPr>
        <w:t xml:space="preserve">AN ORIGIN IN FIVE ACTS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AF8F4" w:color="auto" w:val="clear"/>
            <w:tcMar>
              <w:top w:type="dxa" w:w="400"/>
              <w:left w:type="dxa" w:w="480"/>
              <w:bottom w:type="dxa" w:w="400"/>
              <w:right w:type="dxa" w:w="480"/>
            </w:tcMar>
          </w:tcPr>
          <w:p>
            <w:pPr>
              <w:spacing w:after="0" w:line="432" w:lineRule="auto"/>
            </w:pPr>
            <w:r>
              <w:rPr>
                <w:rFonts w:ascii="Cambria" w:cs="Cambria" w:eastAsia="Cambria" w:hAnsi="Cambria"/>
                <w:b w:val="false"/>
                <w:bCs w:val="false"/>
                <w:i/>
                <w:iCs/>
                <w:strike w:val="false"/>
                <w:color w:val="2D2D2D"/>
                <w:sz w:val="24"/>
                <w:szCs w:val="24"/>
              </w:rPr>
              <w:t xml:space="preserve">Long before the blockchain, there was GlossiCat.</w:t>
            </w:r>
          </w:p>
          <w:p>
            <w:pPr>
              <w:spacing w:after="0" w:line="432" w:lineRule="auto"/>
            </w:pPr>
            <w:r>
              <w:rPr>
                <w:rFonts w:ascii="Cambria" w:cs="Cambria" w:eastAsia="Cambria" w:hAnsi="Cambria"/>
                <w:b w:val="false"/>
                <w:bCs w:val="false"/>
                <w:i/>
                <w:iCs/>
                <w:strike w:val="false"/>
                <w:color w:val="2D2D2D"/>
                <w:sz w:val="24"/>
                <w:szCs w:val="24"/>
              </w:rPr>
              <w:t xml:space="preserve">She haunted the mirrored halls of forgotten fashion houses, leaving pawprints in gold dust and vanishing before dawn. She was the muse of artists who never received credit — the unnamed presence behind campaigns that moved markets, trends that arrived from nowhere, and collections that defined eras without explanation.</w:t>
            </w:r>
          </w:p>
          <w:p>
            <w:pPr>
              <w:spacing w:after="0" w:line="432" w:lineRule="auto"/>
            </w:pPr>
            <w:r>
              <w:rPr>
                <w:rFonts w:ascii="Cambria" w:cs="Cambria" w:eastAsia="Cambria" w:hAnsi="Cambria"/>
                <w:b w:val="false"/>
                <w:bCs w:val="false"/>
                <w:i/>
                <w:iCs/>
                <w:strike w:val="false"/>
                <w:color w:val="2D2D2D"/>
                <w:sz w:val="24"/>
                <w:szCs w:val="24"/>
              </w:rPr>
              <w:t xml:space="preserve">Photographers swore they caught her reflection in their shots. Art directors found her silhouette in proofs they didn’t remember approving. She was everywhere, attributed to no one, belonging to everyone who could recognize her.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AF8F4" w:color="auto" w:val="clear"/>
            <w:tcMar>
              <w:top w:type="dxa" w:w="400"/>
              <w:left w:type="dxa" w:w="480"/>
              <w:bottom w:type="dxa" w:w="400"/>
              <w:right w:type="dxa" w:w="480"/>
            </w:tcMar>
          </w:tcPr>
          <w:p>
            <w:pPr>
              <w:spacing w:after="0" w:line="432" w:lineRule="auto"/>
            </w:pPr>
            <w:r>
              <w:rPr>
                <w:rFonts w:ascii="Cambria" w:cs="Cambria" w:eastAsia="Cambria" w:hAnsi="Cambria"/>
                <w:b w:val="false"/>
                <w:bCs w:val="false"/>
                <w:i/>
                <w:iCs/>
                <w:strike w:val="false"/>
                <w:color w:val="2D2D2D"/>
                <w:sz w:val="24"/>
                <w:szCs w:val="24"/>
              </w:rPr>
              <w:t xml:space="preserve">In the digital age, she evolved.</w:t>
            </w:r>
          </w:p>
          <w:p>
            <w:pPr>
              <w:spacing w:after="0" w:line="432" w:lineRule="auto"/>
            </w:pPr>
            <w:r>
              <w:rPr>
                <w:rFonts w:ascii="Cambria" w:cs="Cambria" w:eastAsia="Cambria" w:hAnsi="Cambria"/>
                <w:b w:val="false"/>
                <w:bCs w:val="false"/>
                <w:i/>
                <w:iCs/>
                <w:strike w:val="false"/>
                <w:color w:val="2D2D2D"/>
                <w:sz w:val="24"/>
                <w:szCs w:val="24"/>
              </w:rPr>
              <w:t xml:space="preserve">Her reflection appeared in pixels rather than mirrors. Her pawprints became wallet addresses. Her signature — that distinctive blend of effortless dominance and absolute elegance — could be traced in the aesthetics of online subcultures that didn’t know they were channeling her.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AF8F4" w:color="auto" w:val="clear"/>
            <w:tcMar>
              <w:top w:type="dxa" w:w="400"/>
              <w:left w:type="dxa" w:w="480"/>
              <w:bottom w:type="dxa" w:w="400"/>
              <w:right w:type="dxa" w:w="480"/>
            </w:tcMar>
          </w:tcPr>
          <w:p>
            <w:pPr>
              <w:spacing w:after="0" w:line="432" w:lineRule="auto"/>
            </w:pPr>
            <w:r>
              <w:rPr>
                <w:rFonts w:ascii="Cambria" w:cs="Cambria" w:eastAsia="Cambria" w:hAnsi="Cambria"/>
                <w:b w:val="false"/>
                <w:bCs w:val="false"/>
                <w:i/>
                <w:iCs/>
                <w:strike w:val="false"/>
                <w:color w:val="2D2D2D"/>
                <w:sz w:val="24"/>
                <w:szCs w:val="24"/>
              </w:rPr>
              <w:t xml:space="preserve">Then came the blockchain. And GlossiCat recognized it immediately: a ledger of permanence in a world of fleeting attention. A system that rewarded those who arrived early and held with conviction. A space where identity could be owned, not borrowed.</w:t>
            </w:r>
          </w:p>
          <w:p>
            <w:pPr>
              <w:spacing w:after="0" w:line="432" w:lineRule="auto"/>
            </w:pPr>
            <w:r>
              <w:rPr>
                <w:rFonts w:ascii="Cambria" w:cs="Cambria" w:eastAsia="Cambria" w:hAnsi="Cambria"/>
                <w:b w:val="false"/>
                <w:bCs w:val="false"/>
                <w:i/>
                <w:iCs/>
                <w:strike w:val="false"/>
                <w:color w:val="2D2D2D"/>
                <w:sz w:val="24"/>
                <w:szCs w:val="24"/>
              </w:rPr>
              <w:t xml:space="preserve">She chose crypto because crypto chose chaos — and chaos is her native tongue.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AF8F4" w:color="auto" w:val="clear"/>
            <w:tcMar>
              <w:top w:type="dxa" w:w="400"/>
              <w:left w:type="dxa" w:w="480"/>
              <w:bottom w:type="dxa" w:w="400"/>
              <w:right w:type="dxa" w:w="480"/>
            </w:tcMar>
          </w:tcPr>
          <w:p>
            <w:pPr>
              <w:spacing w:after="0" w:line="432" w:lineRule="auto"/>
            </w:pPr>
            <w:r>
              <w:rPr>
                <w:rFonts w:ascii="Cambria" w:cs="Cambria" w:eastAsia="Cambria" w:hAnsi="Cambria"/>
                <w:b w:val="false"/>
                <w:bCs w:val="false"/>
                <w:i/>
                <w:iCs/>
                <w:strike w:val="false"/>
                <w:color w:val="2D2D2D"/>
                <w:sz w:val="24"/>
                <w:szCs w:val="24"/>
              </w:rPr>
              <w:t xml:space="preserve">Now she presides over the GLOXI ecosystem as sovereign, symbol, and signal. Her image graces the GlossiMirror NFT collection. Her name is invoked in every governance vote. Her aesthetic codes every design system, every campaign, every community drop.</w:t>
            </w:r>
          </w:p>
          <w:p>
            <w:pPr>
              <w:spacing w:after="0" w:line="432" w:lineRule="auto"/>
            </w:pPr>
            <w:r>
              <w:rPr>
                <w:rFonts w:ascii="Cambria" w:cs="Cambria" w:eastAsia="Cambria" w:hAnsi="Cambria"/>
                <w:b w:val="false"/>
                <w:bCs w:val="false"/>
                <w:i/>
                <w:iCs/>
                <w:strike w:val="false"/>
                <w:color w:val="2D2D2D"/>
                <w:sz w:val="24"/>
                <w:szCs w:val="24"/>
              </w:rPr>
              <w:t xml:space="preserve">To hold GLOXI is to carry a fragment of her legend.</w:t>
            </w:r>
          </w:p>
        </w:tc>
      </w:tr>
    </w:tbl>
    <w:p>
      <w:pPr>
        <w:spacing w:after="240" w:before="0"/>
      </w:pPr>
    </w:p>
    <w:p>
      <w:pPr>
        <w:pBdr>
          <w:bottom w:val="single" w:color="C9A84C" w:sz="6"/>
        </w:pBdr>
        <w:spacing w:after="240" w:before="240"/>
      </w:pPr>
    </w:p>
    <w:p>
      <w:pPr>
        <w:spacing w:after="240" w:before="60" w:line="384" w:lineRule="auto"/>
        <w:jc w:val="center"/>
      </w:pPr>
      <w:r>
        <w:rPr>
          <w:rFonts w:ascii="Cambria" w:cs="Cambria" w:eastAsia="Cambria" w:hAnsi="Cambria"/>
          <w:b w:val="false"/>
          <w:bCs w:val="false"/>
          <w:i/>
          <w:iCs/>
          <w:strike w:val="false"/>
          <w:color w:val="3B1F3A"/>
          <w:sz w:val="30"/>
          <w:szCs w:val="30"/>
        </w:rPr>
        <w:t xml:space="preserve">“She does not explain herself. She does not chase. She arrives — and the room rearranges around her.”</w:t>
      </w:r>
    </w:p>
    <w:p>
      <w:pPr>
        <w:pBdr>
          <w:bottom w:val="single" w:color="C9A84C" w:sz="6"/>
        </w:pBdr>
        <w:spacing w:after="240" w:before="24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05</w:t>
      </w:r>
    </w:p>
    <w:p>
      <w:pPr>
        <w:pStyle w:val="Heading1"/>
        <w:spacing w:after="100" w:before="720" w:line="384" w:lineRule="auto"/>
      </w:pPr>
      <w:r>
        <w:rPr>
          <w:rFonts w:ascii="Cambria" w:cs="Cambria" w:eastAsia="Cambria" w:hAnsi="Cambria"/>
          <w:color w:val="0A0A0A"/>
          <w:spacing w:val="-7"/>
          <w:sz w:val="44"/>
          <w:szCs w:val="44"/>
        </w:rPr>
        <w:t xml:space="preserve">Ecosystem Architecture</w:t>
      </w:r>
    </w:p>
    <w:p>
      <w:pPr>
        <w:pBdr>
          <w:top w:val="single" w:color="C9A84C"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GlossiCat ecosystem is built around four interconnected pillars, each serving a distinct function in the community lifecycle.</w:t>
      </w:r>
    </w:p>
    <w:p>
      <w:pPr>
        <w:pStyle w:val="Heading2"/>
        <w:spacing w:after="80" w:before="440" w:line="384" w:lineRule="auto"/>
      </w:pPr>
      <w:r>
        <w:rPr>
          <w:rFonts w:ascii="Cambria" w:cs="Cambria" w:eastAsia="Cambria" w:hAnsi="Cambria"/>
          <w:color w:val="3B1F3A"/>
          <w:spacing w:val="5"/>
          <w:sz w:val="28"/>
          <w:szCs w:val="28"/>
        </w:rPr>
        <w:t xml:space="preserve">5.1 GlossiVault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GlossiVault is the premium membership layer of the GLOXI ecosystem — a gated, curated digital experience accessible exclusively to qualifying GLOXI holders.</w:t>
      </w:r>
    </w:p>
    <w:p>
      <w:pPr>
        <w:spacing w:after="240" w:before="60" w:line="384" w:lineRule="auto"/>
      </w:pPr>
      <w:r>
        <w:rPr>
          <w:rFonts w:ascii="Cambria" w:cs="Cambria" w:eastAsia="Cambria" w:hAnsi="Cambria"/>
          <w:b/>
          <w:bCs/>
          <w:i w:val="false"/>
          <w:iCs w:val="false"/>
          <w:strike w:val="false"/>
          <w:color w:val="1A1A1A"/>
          <w:sz w:val="23"/>
          <w:szCs w:val="23"/>
        </w:rPr>
        <w:t xml:space="preserve">Access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Tier</w:t>
            </w:r>
          </w:p>
        </w:tc>
        <w:tc>
          <w:tcPr>
            <w:tcW w:type="pct" w:w="16%"/>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Name</w:t>
            </w:r>
          </w:p>
        </w:tc>
        <w:tc>
          <w:tcPr>
            <w:tcW w:type="pct" w:w="73%"/>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Access Level</w:t>
            </w:r>
          </w:p>
        </w:tc>
      </w:tr>
      <w:tr>
        <w:trPr>
          <w:tblHeader w:val="false"/>
        </w:trPr>
        <w:tc>
          <w:tcPr>
            <w:tcW w:type="pct" w:w="1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III</w:t>
            </w:r>
          </w:p>
        </w:tc>
        <w:tc>
          <w:tcPr>
            <w:tcW w:type="pct" w:w="16%"/>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Obsidian</w:t>
            </w:r>
          </w:p>
        </w:tc>
        <w:tc>
          <w:tcPr>
            <w:tcW w:type="pct" w:w="7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Full ecosystem access, governance rights, exclusive drops, partner pre-sales</w:t>
            </w:r>
          </w:p>
        </w:tc>
      </w:tr>
      <w:tr>
        <w:trPr>
          <w:tblHeader w:val="false"/>
        </w:trPr>
        <w:tc>
          <w:tcPr>
            <w:tcW w:type="pct" w:w="1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II</w:t>
            </w:r>
          </w:p>
        </w:tc>
        <w:tc>
          <w:tcPr>
            <w:tcW w:type="pct" w:w="16%"/>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Champagne</w:t>
            </w:r>
          </w:p>
        </w:tc>
        <w:tc>
          <w:tcPr>
            <w:tcW w:type="pct" w:w="7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Enhanced content access, early product drops, editorial partnerships</w:t>
            </w:r>
          </w:p>
        </w:tc>
      </w:tr>
      <w:tr>
        <w:trPr>
          <w:tblHeader w:val="false"/>
        </w:trPr>
        <w:tc>
          <w:tcPr>
            <w:tcW w:type="pct" w:w="1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I</w:t>
            </w:r>
          </w:p>
        </w:tc>
        <w:tc>
          <w:tcPr>
            <w:tcW w:type="pct" w:w="16%"/>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Mirror</w:t>
            </w:r>
          </w:p>
        </w:tc>
        <w:tc>
          <w:tcPr>
            <w:tcW w:type="pct" w:w="7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Curated community content, GlossiDrop eligibility, base governance</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GlossiVault is designed to make holding GLOXI feel like holding a membership card to somewhere worth being.</w:t>
      </w:r>
    </w:p>
    <w:p>
      <w:pPr>
        <w:pStyle w:val="Heading2"/>
        <w:spacing w:after="80" w:before="440" w:line="384" w:lineRule="auto"/>
      </w:pPr>
      <w:r>
        <w:rPr>
          <w:rFonts w:ascii="Cambria" w:cs="Cambria" w:eastAsia="Cambria" w:hAnsi="Cambria"/>
          <w:color w:val="3B1F3A"/>
          <w:spacing w:val="5"/>
          <w:sz w:val="28"/>
          <w:szCs w:val="28"/>
        </w:rPr>
        <w:t xml:space="preserve">5.2 GlossiDrop</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GlossiDrop is the community activation and reward distribution system powering organic growth within the GLOXI ecosystem. Through GlossiDrop, the community earns GLOXI for: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Social amplification and content creation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Early community participation (founding member rewards)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Creative contributions (art, writing, memes, music)</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Referral and onboarding activities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Milestone-based community achievements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GlossiDrop Season 1 launches alongside the initial token offering, with successive seasons tied to ecosystem growth milestones.</w:t>
      </w:r>
    </w:p>
    <w:p>
      <w:pPr>
        <w:pStyle w:val="Heading2"/>
        <w:spacing w:after="80" w:before="440" w:line="384" w:lineRule="auto"/>
      </w:pPr>
      <w:r>
        <w:rPr>
          <w:rFonts w:ascii="Cambria" w:cs="Cambria" w:eastAsia="Cambria" w:hAnsi="Cambria"/>
          <w:color w:val="3B1F3A"/>
          <w:spacing w:val="5"/>
          <w:sz w:val="28"/>
          <w:szCs w:val="28"/>
        </w:rPr>
        <w:t xml:space="preserve">5.3 GlossiMirror NFT Collection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GlossiMirror is a limited-edition NFT collection capturing GlossiCat’s many eras and incarnations — from her pre-internet mythological form to her blockchain-native digital identities. Each GlossiMirror NFT is: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 self-contained story beat in the GlossiCat lore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 key unlocking enhanced GlossiVault tier access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 collectible with provable scarcity and community-endorsed authenticity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 piece of an interconnected visual universe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collection will be released in chapters, with each chapter tied to a significant moment in GLOXI’s roadmap.</w:t>
      </w:r>
    </w:p>
    <w:p>
      <w:pPr>
        <w:pStyle w:val="Heading2"/>
        <w:spacing w:after="80" w:before="440" w:line="384" w:lineRule="auto"/>
      </w:pPr>
      <w:r>
        <w:rPr>
          <w:rFonts w:ascii="Cambria" w:cs="Cambria" w:eastAsia="Cambria" w:hAnsi="Cambria"/>
          <w:color w:val="3B1F3A"/>
          <w:spacing w:val="5"/>
          <w:sz w:val="28"/>
          <w:szCs w:val="28"/>
        </w:rPr>
        <w:t xml:space="preserve">5.4 GlossiDAO</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GlossiDAO launches in Phase 2 as the community governance layer of the GLOXI ecosystem. GLOXI holders gain voting rights proportional to their holdings, allowing them to shape: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Treasury fund allocations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Partnership and collaboration approvals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Community grant programs for creators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Charitable initiative selection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Brand and expansion decisions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6E3" w:color="auto" w:val="clear"/>
            <w:tcMar>
              <w:top w:type="dxa" w:w="280"/>
              <w:left w:type="dxa" w:w="360"/>
              <w:bottom w:type="dxa" w:w="280"/>
              <w:right w:type="dxa" w:w="360"/>
            </w:tcMar>
          </w:tcPr>
          <w:p>
            <w:pPr>
              <w:spacing w:after="100" w:line="384" w:lineRule="auto"/>
            </w:pPr>
            <w:r>
              <w:rPr>
                <w:rFonts w:ascii="Cambria" w:cs="Cambria" w:eastAsia="Cambria" w:hAnsi="Cambria"/>
                <w:b/>
                <w:bCs/>
                <w:i w:val="false"/>
                <w:iCs w:val="false"/>
                <w:strike w:val="false"/>
                <w:color w:val="1A1A1A"/>
                <w:sz w:val="23"/>
                <w:szCs w:val="23"/>
              </w:rPr>
              <w:t xml:space="preserve">Community-First Governance:</w:t>
            </w:r>
            <w:r>
              <w:rPr>
                <w:rFonts w:ascii="Corbel" w:cs="Corbel" w:eastAsia="Corbel" w:hAnsi="Corbel"/>
                <w:b w:val="false"/>
                <w:bCs w:val="false"/>
                <w:i w:val="false"/>
                <w:iCs w:val="false"/>
                <w:strike w:val="false"/>
                <w:color w:val="2D2D2D"/>
                <w:sz w:val="21"/>
                <w:szCs w:val="21"/>
              </w:rPr>
              <w:t xml:space="preserve"> GlossiDAO ensures that as GlossiCat grows, her community grows with her — not as passengers, but as co-pilots.</w:t>
            </w:r>
          </w:p>
        </w:tc>
      </w:tr>
    </w:tbl>
    <w:p>
      <w:pPr>
        <w:spacing w:after="240" w:before="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06</w:t>
      </w:r>
    </w:p>
    <w:p>
      <w:pPr>
        <w:pStyle w:val="Heading1"/>
        <w:spacing w:after="100" w:before="720" w:line="384" w:lineRule="auto"/>
      </w:pPr>
      <w:r>
        <w:rPr>
          <w:rFonts w:ascii="Cambria" w:cs="Cambria" w:eastAsia="Cambria" w:hAnsi="Cambria"/>
          <w:color w:val="0A0A0A"/>
          <w:spacing w:val="-7"/>
          <w:sz w:val="44"/>
          <w:szCs w:val="44"/>
        </w:rPr>
        <w:t xml:space="preserve">Branding Identity</w:t>
      </w:r>
    </w:p>
    <w:p>
      <w:pPr>
        <w:pBdr>
          <w:top w:val="single" w:color="C9A84C"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GlossiCat’s brand is not decoration. It is architecture. Every visual, verbal, and experiential element of the GlossiCat universe is governed by three foundational pillars: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2EF" w:color="auto" w:val="clear"/>
            <w:tcMar>
              <w:top w:type="dxa" w:w="240"/>
              <w:left w:type="dxa" w:w="320"/>
              <w:bottom w:type="dxa" w:w="240"/>
              <w:right w:type="dxa" w:w="320"/>
            </w:tcMar>
          </w:tcPr>
          <w:p>
            <w:pPr>
              <w:spacing w:after="100" w:line="384" w:lineRule="auto"/>
            </w:pPr>
            <w:r>
              <w:rPr>
                <w:rFonts w:ascii="Cambria" w:cs="Cambria" w:eastAsia="Cambria" w:hAnsi="Cambria"/>
                <w:b/>
                <w:bCs/>
                <w:i w:val="false"/>
                <w:iCs w:val="false"/>
                <w:strike w:val="false"/>
                <w:color w:val="2D2D2D"/>
                <w:sz w:val="21"/>
                <w:szCs w:val="21"/>
              </w:rPr>
              <w:t xml:space="preserve">6.1   Luxury-Modern</w:t>
            </w:r>
          </w:p>
          <w:p>
            <w:pPr>
              <w:spacing w:after="160" w:line="384" w:lineRule="auto"/>
            </w:pPr>
            <w:r>
              <w:rPr>
                <w:rFonts w:ascii="Cambria" w:cs="Cambria" w:eastAsia="Cambria" w:hAnsi="Cambria"/>
                <w:b w:val="false"/>
                <w:bCs w:val="false"/>
                <w:i w:val="false"/>
                <w:iCs w:val="false"/>
                <w:strike w:val="false"/>
                <w:color w:val="2D2D2D"/>
                <w:sz w:val="21"/>
                <w:szCs w:val="21"/>
              </w:rPr>
              <w:t xml:space="preserve">GlossiCat lives in the aesthetic register of the world’s most coveted brands — precise, elevated, and unforgettable. Clean lines. Rich contrast. Editorial-grade composition. Every design decision is made with the eye of a creative director who has worked the front row of fashion week. Cheap is not in the vocabulary. Neither is lazy.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2EF" w:color="auto" w:val="clear"/>
            <w:tcMar>
              <w:top w:type="dxa" w:w="240"/>
              <w:left w:type="dxa" w:w="320"/>
              <w:bottom w:type="dxa" w:w="240"/>
              <w:right w:type="dxa" w:w="320"/>
            </w:tcMar>
          </w:tcPr>
          <w:p>
            <w:pPr>
              <w:spacing w:after="100" w:line="384" w:lineRule="auto"/>
            </w:pPr>
            <w:r>
              <w:rPr>
                <w:rFonts w:ascii="Cambria" w:cs="Cambria" w:eastAsia="Cambria" w:hAnsi="Cambria"/>
                <w:b/>
                <w:bCs/>
                <w:i w:val="false"/>
                <w:iCs w:val="false"/>
                <w:strike w:val="false"/>
                <w:color w:val="2D2D2D"/>
                <w:sz w:val="21"/>
                <w:szCs w:val="21"/>
              </w:rPr>
              <w:t xml:space="preserve">6.2   Cinematic Lore</w:t>
            </w:r>
          </w:p>
          <w:p>
            <w:pPr>
              <w:spacing w:after="160" w:line="384" w:lineRule="auto"/>
            </w:pPr>
            <w:r>
              <w:rPr>
                <w:rFonts w:ascii="Cambria" w:cs="Cambria" w:eastAsia="Cambria" w:hAnsi="Cambria"/>
                <w:b w:val="false"/>
                <w:bCs w:val="false"/>
                <w:i w:val="false"/>
                <w:iCs w:val="false"/>
                <w:strike w:val="false"/>
                <w:color w:val="2D2D2D"/>
                <w:sz w:val="21"/>
                <w:szCs w:val="21"/>
              </w:rPr>
              <w:t xml:space="preserve">Every campaign, announcement, and community moment is a scene in a larger story. The GlossiCat universe has a narrative spine — one that rewards close readers and long-term holders with layers of meaning that casual observers miss. Brand communications read like excerpts from a film that hasn’t been released. The product is always the token. The story is always larger.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2EF" w:color="auto" w:val="clear"/>
            <w:tcMar>
              <w:top w:type="dxa" w:w="240"/>
              <w:left w:type="dxa" w:w="320"/>
              <w:bottom w:type="dxa" w:w="240"/>
              <w:right w:type="dxa" w:w="320"/>
            </w:tcMar>
          </w:tcPr>
          <w:p>
            <w:pPr>
              <w:spacing w:after="100" w:line="384" w:lineRule="auto"/>
            </w:pPr>
            <w:r>
              <w:rPr>
                <w:rFonts w:ascii="Cambria" w:cs="Cambria" w:eastAsia="Cambria" w:hAnsi="Cambria"/>
                <w:b/>
                <w:bCs/>
                <w:i w:val="false"/>
                <w:iCs w:val="false"/>
                <w:strike w:val="false"/>
                <w:color w:val="2D2D2D"/>
                <w:sz w:val="21"/>
                <w:szCs w:val="21"/>
              </w:rPr>
              <w:t xml:space="preserve">6.3   Unapologetic Confidence</w:t>
            </w:r>
          </w:p>
          <w:p>
            <w:pPr>
              <w:spacing w:after="160" w:line="384" w:lineRule="auto"/>
            </w:pPr>
            <w:r>
              <w:rPr>
                <w:rFonts w:ascii="Cambria" w:cs="Cambria" w:eastAsia="Cambria" w:hAnsi="Cambria"/>
                <w:b w:val="false"/>
                <w:bCs w:val="false"/>
                <w:i w:val="false"/>
                <w:iCs w:val="false"/>
                <w:strike w:val="false"/>
                <w:color w:val="2D2D2D"/>
                <w:sz w:val="21"/>
                <w:szCs w:val="21"/>
              </w:rPr>
              <w:t xml:space="preserve">GlossiCat does not explain herself to people who haven’t earned the context. The brand voice is declarative, alluring, and quietly dominant. There is no hedging. No apology. No excessive explanation. The cat speaks once. The room listens.</w:t>
            </w:r>
          </w:p>
        </w:tc>
      </w:tr>
    </w:tbl>
    <w:p>
      <w:pPr>
        <w:spacing w:after="240" w:before="0"/>
      </w:pPr>
    </w:p>
    <w:p>
      <w:pPr>
        <w:pStyle w:val="Heading2"/>
        <w:spacing w:after="80" w:before="440" w:line="384" w:lineRule="auto"/>
      </w:pPr>
      <w:r>
        <w:rPr>
          <w:rFonts w:ascii="Cambria" w:cs="Cambria" w:eastAsia="Cambria" w:hAnsi="Cambria"/>
          <w:color w:val="3B1F3A"/>
          <w:spacing w:val="5"/>
          <w:sz w:val="28"/>
          <w:szCs w:val="28"/>
        </w:rPr>
        <w:t xml:space="preserve">Brand Color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Color Name</w:t>
            </w:r>
          </w:p>
        </w:tc>
        <w:tc>
          <w:tcPr>
            <w:tcW w:type="pct" w:w="16%"/>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Hex Code</w:t>
            </w:r>
          </w:p>
        </w:tc>
        <w:tc>
          <w:tcPr>
            <w:tcW w:type="pct" w:w="61%"/>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Role</w:t>
            </w:r>
          </w:p>
        </w:tc>
      </w:tr>
      <w:tr>
        <w:trPr>
          <w:tblHeader w:val="false"/>
        </w:trPr>
        <w:tc>
          <w:tcPr>
            <w:tcW w:type="pct" w:w="23%"/>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Obsidian Black</w:t>
            </w:r>
          </w:p>
        </w:tc>
        <w:tc>
          <w:tcPr>
            <w:tcW w:type="pct" w:w="16%"/>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#0A0A0A</w:t>
            </w:r>
          </w:p>
        </w:tc>
        <w:tc>
          <w:tcPr>
            <w:tcW w:type="pct" w:w="61%"/>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Power, permanence, luxury — primary background</w:t>
            </w:r>
          </w:p>
        </w:tc>
      </w:tr>
      <w:tr>
        <w:trPr>
          <w:tblHeader w:val="false"/>
        </w:trPr>
        <w:tc>
          <w:tcPr>
            <w:tcW w:type="pct" w:w="23%"/>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Champagne Gold</w:t>
            </w:r>
          </w:p>
        </w:tc>
        <w:tc>
          <w:tcPr>
            <w:tcW w:type="pct" w:w="16%"/>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#C9A84C</w:t>
            </w:r>
          </w:p>
        </w:tc>
        <w:tc>
          <w:tcPr>
            <w:tcW w:type="pct" w:w="61%"/>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Value, aspiration, warmth — primary accent</w:t>
            </w:r>
          </w:p>
        </w:tc>
      </w:tr>
      <w:tr>
        <w:trPr>
          <w:tblHeader w:val="false"/>
        </w:trPr>
        <w:tc>
          <w:tcPr>
            <w:tcW w:type="pct" w:w="23%"/>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Deep Plum</w:t>
            </w:r>
          </w:p>
        </w:tc>
        <w:tc>
          <w:tcPr>
            <w:tcW w:type="pct" w:w="16%"/>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#3B1F3A</w:t>
            </w:r>
          </w:p>
        </w:tc>
        <w:tc>
          <w:tcPr>
            <w:tcW w:type="pct" w:w="61%"/>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Mystery, depth, exclusivity — secondary accent</w:t>
            </w:r>
          </w:p>
        </w:tc>
      </w:tr>
      <w:tr>
        <w:trPr>
          <w:tblHeader w:val="false"/>
        </w:trPr>
        <w:tc>
          <w:tcPr>
            <w:tcW w:type="pct" w:w="23%"/>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Mirror Silver</w:t>
            </w:r>
          </w:p>
        </w:tc>
        <w:tc>
          <w:tcPr>
            <w:tcW w:type="pct" w:w="16%"/>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#C0C0C0</w:t>
            </w:r>
          </w:p>
        </w:tc>
        <w:tc>
          <w:tcPr>
            <w:tcW w:type="pct" w:w="61%"/>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Reflection, clarity, precision — tertiary accent</w:t>
            </w:r>
          </w:p>
        </w:tc>
      </w:tr>
    </w:tbl>
    <w:p>
      <w:pPr>
        <w:spacing w:after="200" w:before="0"/>
      </w:pPr>
    </w:p>
    <w:p>
      <w:pPr>
        <w:pStyle w:val="Heading2"/>
        <w:spacing w:after="80" w:before="440" w:line="384" w:lineRule="auto"/>
      </w:pPr>
      <w:r>
        <w:rPr>
          <w:rFonts w:ascii="Cambria" w:cs="Cambria" w:eastAsia="Cambria" w:hAnsi="Cambria"/>
          <w:color w:val="3B1F3A"/>
          <w:spacing w:val="5"/>
          <w:sz w:val="28"/>
          <w:szCs w:val="28"/>
        </w:rPr>
        <w:t xml:space="preserve">Typography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Usage</w:t>
            </w:r>
          </w:p>
        </w:tc>
        <w:tc>
          <w:tcPr>
            <w:tcW w:type="pct" w:w="42%"/>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Typeface</w:t>
            </w:r>
          </w:p>
        </w:tc>
        <w:tc>
          <w:tcPr>
            <w:tcW w:type="pct" w:w="38%"/>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Character</w:t>
            </w:r>
          </w:p>
        </w:tc>
      </w:tr>
      <w:tr>
        <w:trPr>
          <w:tblHeader w:val="false"/>
        </w:trPr>
        <w:tc>
          <w:tcPr>
            <w:tcW w:type="pct" w:w="20%"/>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Display / Headers</w:t>
            </w:r>
          </w:p>
        </w:tc>
        <w:tc>
          <w:tcPr>
            <w:tcW w:type="pct" w:w="4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Serif editorial (Playfair Display or equivalent)</w:t>
            </w:r>
          </w:p>
        </w:tc>
        <w:tc>
          <w:tcPr>
            <w:tcW w:type="pct" w:w="38%"/>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Authoritative, timeless, luxury editorial</w:t>
            </w:r>
          </w:p>
        </w:tc>
      </w:tr>
      <w:tr>
        <w:trPr>
          <w:tblHeader w:val="false"/>
        </w:trPr>
        <w:tc>
          <w:tcPr>
            <w:tcW w:type="pct" w:w="20%"/>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Body / Captions</w:t>
            </w:r>
          </w:p>
        </w:tc>
        <w:tc>
          <w:tcPr>
            <w:tcW w:type="pct" w:w="4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Geometric sans-serif (Inter or equivalent)</w:t>
            </w:r>
          </w:p>
        </w:tc>
        <w:tc>
          <w:tcPr>
            <w:tcW w:type="pct" w:w="38%"/>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Clean, modern, highly legible at all sizes</w:t>
            </w:r>
          </w:p>
        </w:tc>
      </w:tr>
    </w:tbl>
    <w:p>
      <w:pPr>
        <w:spacing w:after="200" w:before="0"/>
      </w:pPr>
    </w:p>
    <w:p>
      <w:pPr>
        <w:pStyle w:val="Heading2"/>
        <w:spacing w:after="80" w:before="440" w:line="384" w:lineRule="auto"/>
      </w:pPr>
      <w:r>
        <w:rPr>
          <w:rFonts w:ascii="Cambria" w:cs="Cambria" w:eastAsia="Cambria" w:hAnsi="Cambria"/>
          <w:color w:val="3B1F3A"/>
          <w:spacing w:val="5"/>
          <w:sz w:val="28"/>
          <w:szCs w:val="28"/>
        </w:rPr>
        <w:t xml:space="preserve">Visual Language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GlossiCat is rendered across three visual registers, each serving a different audience and context: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Luxury Illustration</w:t>
      </w:r>
      <w:r>
        <w:rPr>
          <w:rFonts w:ascii="Cambria" w:cs="Cambria" w:eastAsia="Cambria" w:hAnsi="Cambria"/>
          <w:b w:val="false"/>
          <w:bCs w:val="false"/>
          <w:i w:val="false"/>
          <w:iCs w:val="false"/>
          <w:strike w:val="false"/>
          <w:color w:val="1A1A1A"/>
          <w:sz w:val="22"/>
          <w:szCs w:val="22"/>
        </w:rPr>
        <w:t xml:space="preserve"> — High-contrast, fashion editorial; primary identity expression across official channels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Photographic Collage</w:t>
      </w:r>
      <w:r>
        <w:rPr>
          <w:rFonts w:ascii="Cambria" w:cs="Cambria" w:eastAsia="Cambria" w:hAnsi="Cambria"/>
          <w:b w:val="false"/>
          <w:bCs w:val="false"/>
          <w:i w:val="false"/>
          <w:iCs w:val="false"/>
          <w:strike w:val="false"/>
          <w:color w:val="1A1A1A"/>
          <w:sz w:val="22"/>
          <w:szCs w:val="22"/>
        </w:rPr>
        <w:t xml:space="preserve"> — Archival fashion imagery remixed with digital elements; used in campaign and editorial content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Pixel Art Variants</w:t>
      </w:r>
      <w:r>
        <w:rPr>
          <w:rFonts w:ascii="Cambria" w:cs="Cambria" w:eastAsia="Cambria" w:hAnsi="Cambria"/>
          <w:b w:val="false"/>
          <w:bCs w:val="false"/>
          <w:i w:val="false"/>
          <w:iCs w:val="false"/>
          <w:strike w:val="false"/>
          <w:color w:val="1A1A1A"/>
          <w:sz w:val="22"/>
          <w:szCs w:val="22"/>
        </w:rPr>
        <w:t xml:space="preserve"> — For community, meme culture, and gamified contexts; the accessible, shareable face of the brand</w:t>
      </w: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07</w:t>
      </w:r>
    </w:p>
    <w:p>
      <w:pPr>
        <w:pStyle w:val="Heading1"/>
        <w:spacing w:after="100" w:before="720" w:line="384" w:lineRule="auto"/>
      </w:pPr>
      <w:r>
        <w:rPr>
          <w:rFonts w:ascii="Cambria" w:cs="Cambria" w:eastAsia="Cambria" w:hAnsi="Cambria"/>
          <w:color w:val="0A0A0A"/>
          <w:spacing w:val="-7"/>
          <w:sz w:val="44"/>
          <w:szCs w:val="44"/>
        </w:rPr>
        <w:t xml:space="preserve">Tokenomics</w:t>
      </w:r>
    </w:p>
    <w:p>
      <w:pPr>
        <w:pBdr>
          <w:top w:val="single" w:color="C9A84C" w:sz="6"/>
        </w:pBdr>
        <w:spacing w:after="200" w:before="0"/>
      </w:pPr>
    </w:p>
    <w:p>
      <w:pPr>
        <w:pStyle w:val="Heading2"/>
        <w:spacing w:after="80" w:before="440" w:line="384" w:lineRule="auto"/>
      </w:pPr>
      <w:r>
        <w:rPr>
          <w:rFonts w:ascii="Cambria" w:cs="Cambria" w:eastAsia="Cambria" w:hAnsi="Cambria"/>
          <w:color w:val="3B1F3A"/>
          <w:spacing w:val="5"/>
          <w:sz w:val="28"/>
          <w:szCs w:val="28"/>
        </w:rPr>
        <w:t xml:space="preserve">7.1 Token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1%"/>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Property</w:t>
            </w:r>
          </w:p>
        </w:tc>
        <w:tc>
          <w:tcPr>
            <w:tcW w:type="pct" w:w="59%"/>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Details</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Token Name</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GlossiCat</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Ticker Symbol</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GLOXI</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Blockchain</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Ethereum (ERC-20)</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Total Supply</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1,000,000,000 GLOXI</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Decimals</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18</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Contract Address</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To be announced at launch</w:t>
            </w:r>
          </w:p>
        </w:tc>
      </w:tr>
    </w:tbl>
    <w:p>
      <w:pPr>
        <w:spacing w:after="200" w:before="0"/>
      </w:pPr>
    </w:p>
    <w:p>
      <w:pPr>
        <w:pStyle w:val="Heading2"/>
        <w:spacing w:after="80" w:before="440" w:line="384" w:lineRule="auto"/>
      </w:pPr>
      <w:r>
        <w:rPr>
          <w:rFonts w:ascii="Cambria" w:cs="Cambria" w:eastAsia="Cambria" w:hAnsi="Cambria"/>
          <w:color w:val="3B1F3A"/>
          <w:spacing w:val="5"/>
          <w:sz w:val="28"/>
          <w:szCs w:val="28"/>
        </w:rPr>
        <w:t xml:space="preserve">7.2 Supply Distribution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Category</w:t>
            </w:r>
          </w:p>
        </w:tc>
        <w:tc>
          <w:tcPr>
            <w:tcW w:type="pct" w:w="15%"/>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Allocation</w:t>
            </w:r>
          </w:p>
        </w:tc>
        <w:tc>
          <w:tcPr>
            <w:tcW w:type="pct" w:w="33%"/>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Amount (GLOXI)</w:t>
            </w:r>
          </w:p>
        </w:tc>
      </w:tr>
      <w:tr>
        <w:trPr>
          <w:tblHeader w:val="false"/>
        </w:trPr>
        <w:tc>
          <w:tcPr>
            <w:tcW w:type="pct" w:w="5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Community &amp; Ecosystem</w:t>
            </w:r>
          </w:p>
        </w:tc>
        <w:tc>
          <w:tcPr>
            <w:tcW w:type="pct" w:w="15%"/>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40%</w:t>
            </w:r>
          </w:p>
        </w:tc>
        <w:tc>
          <w:tcPr>
            <w:tcW w:type="pct" w:w="3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400,000,000</w:t>
            </w:r>
          </w:p>
        </w:tc>
      </w:tr>
      <w:tr>
        <w:trPr>
          <w:tblHeader w:val="false"/>
        </w:trPr>
        <w:tc>
          <w:tcPr>
            <w:tcW w:type="pct" w:w="5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Liquidity Pool</w:t>
            </w:r>
          </w:p>
        </w:tc>
        <w:tc>
          <w:tcPr>
            <w:tcW w:type="pct" w:w="15%"/>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25%</w:t>
            </w:r>
          </w:p>
        </w:tc>
        <w:tc>
          <w:tcPr>
            <w:tcW w:type="pct" w:w="3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250,000,000</w:t>
            </w:r>
          </w:p>
        </w:tc>
      </w:tr>
      <w:tr>
        <w:trPr>
          <w:tblHeader w:val="false"/>
        </w:trPr>
        <w:tc>
          <w:tcPr>
            <w:tcW w:type="pct" w:w="5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Treasury &amp; Operations</w:t>
            </w:r>
          </w:p>
        </w:tc>
        <w:tc>
          <w:tcPr>
            <w:tcW w:type="pct" w:w="15%"/>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15%</w:t>
            </w:r>
          </w:p>
        </w:tc>
        <w:tc>
          <w:tcPr>
            <w:tcW w:type="pct" w:w="3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150,000,000</w:t>
            </w:r>
          </w:p>
        </w:tc>
      </w:tr>
      <w:tr>
        <w:trPr>
          <w:tblHeader w:val="false"/>
        </w:trPr>
        <w:tc>
          <w:tcPr>
            <w:tcW w:type="pct" w:w="5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Team &amp; Advisors</w:t>
            </w:r>
          </w:p>
        </w:tc>
        <w:tc>
          <w:tcPr>
            <w:tcW w:type="pct" w:w="15%"/>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10%</w:t>
            </w:r>
          </w:p>
        </w:tc>
        <w:tc>
          <w:tcPr>
            <w:tcW w:type="pct" w:w="3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100,000,000</w:t>
            </w:r>
          </w:p>
        </w:tc>
      </w:tr>
      <w:tr>
        <w:trPr>
          <w:tblHeader w:val="false"/>
        </w:trPr>
        <w:tc>
          <w:tcPr>
            <w:tcW w:type="pct" w:w="5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Marketing &amp; Partnerships</w:t>
            </w:r>
          </w:p>
        </w:tc>
        <w:tc>
          <w:tcPr>
            <w:tcW w:type="pct" w:w="15%"/>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7%</w:t>
            </w:r>
          </w:p>
        </w:tc>
        <w:tc>
          <w:tcPr>
            <w:tcW w:type="pct" w:w="3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70,000,000</w:t>
            </w:r>
          </w:p>
        </w:tc>
      </w:tr>
      <w:tr>
        <w:trPr>
          <w:tblHeader w:val="false"/>
        </w:trPr>
        <w:tc>
          <w:tcPr>
            <w:tcW w:type="pct" w:w="52%"/>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Reserve</w:t>
            </w:r>
          </w:p>
        </w:tc>
        <w:tc>
          <w:tcPr>
            <w:tcW w:type="pct" w:w="15%"/>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3%</w:t>
            </w:r>
          </w:p>
        </w:tc>
        <w:tc>
          <w:tcPr>
            <w:tcW w:type="pct" w:w="3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30,000,000</w:t>
            </w:r>
          </w:p>
        </w:tc>
      </w:tr>
      <w:tr>
        <w:trPr>
          <w:tblHeader w:val="false"/>
        </w:trPr>
        <w:tc>
          <w:tcPr>
            <w:tcW w:type="pct" w:w="52%"/>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Total</w:t>
            </w:r>
          </w:p>
        </w:tc>
        <w:tc>
          <w:tcPr>
            <w:tcW w:type="pct" w:w="15%"/>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100%</w:t>
            </w:r>
          </w:p>
        </w:tc>
        <w:tc>
          <w:tcPr>
            <w:tcW w:type="pct" w:w="33%"/>
            <w:tcMar>
              <w:top w:type="dxa" w:w="105"/>
              <w:left w:type="dxa" w:w="180"/>
              <w:bottom w:type="dxa" w:w="105"/>
              <w:right w:type="dxa" w:w="180"/>
            </w:tcMar>
          </w:tcPr>
          <w:p>
            <w:r>
              <w:rPr>
                <w:rFonts w:ascii="Cambria" w:cs="Cambria" w:eastAsia="Cambria" w:hAnsi="Cambria"/>
                <w:b/>
                <w:bCs/>
                <w:i w:val="false"/>
                <w:iCs w:val="false"/>
                <w:strike w:val="false"/>
                <w:color w:val="1A1A1A"/>
                <w:sz w:val="23"/>
                <w:szCs w:val="23"/>
              </w:rPr>
              <w:t xml:space="preserve">1,000,000,000</w:t>
            </w:r>
          </w:p>
        </w:tc>
      </w:tr>
    </w:tbl>
    <w:p>
      <w:pPr>
        <w:spacing w:after="200" w:before="0"/>
      </w:pPr>
    </w:p>
    <w:p>
      <w:pPr>
        <w:pStyle w:val="Heading2"/>
        <w:spacing w:after="80" w:before="440" w:line="384" w:lineRule="auto"/>
      </w:pPr>
      <w:r>
        <w:rPr>
          <w:rFonts w:ascii="Cambria" w:cs="Cambria" w:eastAsia="Cambria" w:hAnsi="Cambria"/>
          <w:color w:val="3B1F3A"/>
          <w:spacing w:val="5"/>
          <w:sz w:val="28"/>
          <w:szCs w:val="28"/>
        </w:rPr>
        <w:t xml:space="preserve">7.3 Vesting &amp; Lock Schedules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Category</w:t>
            </w:r>
          </w:p>
        </w:tc>
        <w:tc>
          <w:tcPr>
            <w:tcW w:type="pct" w:w="77%"/>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Lock / Vesting Terms</w:t>
            </w:r>
          </w:p>
        </w:tc>
      </w:tr>
      <w:tr>
        <w:trPr>
          <w:tblHeader w:val="false"/>
        </w:trPr>
        <w:tc>
          <w:tcPr>
            <w:tcW w:type="pct" w:w="2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Team &amp; Advisors</w:t>
            </w:r>
          </w:p>
        </w:tc>
        <w:tc>
          <w:tcPr>
            <w:tcW w:type="pct" w:w="77%"/>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12-month cliff from TGE; followed by 24-month linear vesting (36 months total)</w:t>
            </w:r>
          </w:p>
        </w:tc>
      </w:tr>
      <w:tr>
        <w:trPr>
          <w:tblHeader w:val="false"/>
        </w:trPr>
        <w:tc>
          <w:tcPr>
            <w:tcW w:type="pct" w:w="2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Treasury</w:t>
            </w:r>
          </w:p>
        </w:tc>
        <w:tc>
          <w:tcPr>
            <w:tcW w:type="pct" w:w="77%"/>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Controlled by multisig (3-of-5) pre-DAO; migrates to community governance at DAO launch</w:t>
            </w:r>
          </w:p>
        </w:tc>
      </w:tr>
      <w:tr>
        <w:trPr>
          <w:tblHeader w:val="false"/>
        </w:trPr>
        <w:tc>
          <w:tcPr>
            <w:tcW w:type="pct" w:w="2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Liquidity Pool</w:t>
            </w:r>
          </w:p>
        </w:tc>
        <w:tc>
          <w:tcPr>
            <w:tcW w:type="pct" w:w="77%"/>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Locked minimum 12 months from initial DEX listing</w:t>
            </w:r>
          </w:p>
        </w:tc>
      </w:tr>
      <w:tr>
        <w:trPr>
          <w:tblHeader w:val="false"/>
        </w:trPr>
        <w:tc>
          <w:tcPr>
            <w:tcW w:type="pct" w:w="2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Reserve</w:t>
            </w:r>
          </w:p>
        </w:tc>
        <w:tc>
          <w:tcPr>
            <w:tcW w:type="pct" w:w="77%"/>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Held in cold storage; accessible only by DAO vote post-Phase 2</w:t>
            </w:r>
          </w:p>
        </w:tc>
      </w:tr>
      <w:tr>
        <w:trPr>
          <w:tblHeader w:val="false"/>
        </w:trPr>
        <w:tc>
          <w:tcPr>
            <w:tcW w:type="pct" w:w="23%"/>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Community &amp; Ecosystem</w:t>
            </w:r>
          </w:p>
        </w:tc>
        <w:tc>
          <w:tcPr>
            <w:tcW w:type="pct" w:w="77%"/>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Released in tranches tied to GlossiDrop seasons, GlossiVault milestones, and ecosystem growth</w:t>
            </w:r>
          </w:p>
        </w:tc>
      </w:tr>
    </w:tbl>
    <w:p>
      <w:pPr>
        <w:spacing w:after="200" w:before="0"/>
      </w:pPr>
    </w:p>
    <w:p>
      <w:pPr>
        <w:pStyle w:val="Heading2"/>
        <w:spacing w:after="80" w:before="440" w:line="384" w:lineRule="auto"/>
      </w:pPr>
      <w:r>
        <w:rPr>
          <w:rFonts w:ascii="Cambria" w:cs="Cambria" w:eastAsia="Cambria" w:hAnsi="Cambria"/>
          <w:color w:val="3B1F3A"/>
          <w:spacing w:val="5"/>
          <w:sz w:val="28"/>
          <w:szCs w:val="28"/>
        </w:rPr>
        <w:t xml:space="preserve">7.4 Deflationary Mechanisms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Buyback and burn events tied to GlossiVault revenue milestones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Community-voted burn proposals via GlossiDAO</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 portion of GlossiMirror NFT sales revenue directed to buy-and-burn</w:t>
      </w: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08</w:t>
      </w:r>
    </w:p>
    <w:p>
      <w:pPr>
        <w:pStyle w:val="Heading1"/>
        <w:spacing w:after="100" w:before="720" w:line="384" w:lineRule="auto"/>
      </w:pPr>
      <w:r>
        <w:rPr>
          <w:rFonts w:ascii="Cambria" w:cs="Cambria" w:eastAsia="Cambria" w:hAnsi="Cambria"/>
          <w:color w:val="0A0A0A"/>
          <w:spacing w:val="-7"/>
          <w:sz w:val="44"/>
          <w:szCs w:val="44"/>
        </w:rPr>
        <w:t xml:space="preserve">Roadmap</w:t>
      </w:r>
    </w:p>
    <w:p>
      <w:pPr>
        <w:pBdr>
          <w:top w:val="single" w:color="C9A84C" w:sz="6"/>
        </w:pBdr>
        <w:spacing w:after="200" w:before="0"/>
      </w:pPr>
    </w:p>
    <w:p>
      <w:pPr>
        <w:spacing w:after="60" w:before="60" w:line="384" w:lineRule="auto"/>
      </w:pPr>
      <w:r>
        <w:rPr>
          <w:rFonts w:ascii="Cambria" w:cs="Cambria" w:eastAsia="Cambria" w:hAnsi="Cambria"/>
          <w:b/>
          <w:bCs/>
          <w:i w:val="false"/>
          <w:iCs w:val="false"/>
          <w:strike w:val="false"/>
          <w:color w:val="0A0A0A"/>
          <w:sz w:val="26"/>
          <w:szCs w:val="26"/>
        </w:rPr>
        <w:t xml:space="preserve">Phase 1 — The Awakening</w:t>
      </w:r>
    </w:p>
    <w:p>
      <w:pPr>
        <w:spacing w:after="240" w:before="60" w:line="384" w:lineRule="auto"/>
      </w:pPr>
      <w:r>
        <w:rPr>
          <w:rFonts w:ascii="Corbel" w:cs="Corbel" w:eastAsia="Corbel" w:hAnsi="Corbel"/>
          <w:b w:val="false"/>
          <w:bCs w:val="false"/>
          <w:i w:val="false"/>
          <w:iCs w:val="false"/>
          <w:strike w:val="false"/>
          <w:color w:val="C9A84C"/>
          <w:spacing w:val="30"/>
          <w:sz w:val="18"/>
          <w:szCs w:val="18"/>
        </w:rPr>
        <w:t xml:space="preserve">Q3 – Q4 2026</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birth of the GlossiCat brand and the establishment of her founding community.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Token concept, lore, and brand identity finalized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Smart contract development and independent security audit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Official website launch and social channel activation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Founding community onboarding (GlossiCat Genesis Members)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Initial DEX listing on Uniswap v3</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GlossiDrop Season 1 — founding member rewards distribution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Initial press and media outreach</w:t>
      </w:r>
    </w:p>
    <w:p>
      <w:pPr>
        <w:pBdr>
          <w:bottom w:val="single" w:color="D0D0D0" w:sz="6"/>
        </w:pBdr>
        <w:spacing w:after="240" w:before="240"/>
      </w:pPr>
    </w:p>
    <w:p>
      <w:pPr>
        <w:spacing w:after="60" w:before="60" w:line="384" w:lineRule="auto"/>
      </w:pPr>
      <w:r>
        <w:rPr>
          <w:rFonts w:ascii="Cambria" w:cs="Cambria" w:eastAsia="Cambria" w:hAnsi="Cambria"/>
          <w:b/>
          <w:bCs/>
          <w:i w:val="false"/>
          <w:iCs w:val="false"/>
          <w:strike w:val="false"/>
          <w:color w:val="0A0A0A"/>
          <w:sz w:val="26"/>
          <w:szCs w:val="26"/>
        </w:rPr>
        <w:t xml:space="preserve">Phase 2 — The Ascent</w:t>
      </w:r>
    </w:p>
    <w:p>
      <w:pPr>
        <w:spacing w:after="240" w:before="60" w:line="384" w:lineRule="auto"/>
      </w:pPr>
      <w:r>
        <w:rPr>
          <w:rFonts w:ascii="Corbel" w:cs="Corbel" w:eastAsia="Corbel" w:hAnsi="Corbel"/>
          <w:b w:val="false"/>
          <w:bCs w:val="false"/>
          <w:i w:val="false"/>
          <w:iCs w:val="false"/>
          <w:strike w:val="false"/>
          <w:color w:val="C9A84C"/>
          <w:spacing w:val="30"/>
          <w:sz w:val="18"/>
          <w:szCs w:val="18"/>
        </w:rPr>
        <w:t xml:space="preserve">Q1 – Q2 2027</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GlossiCat expands her footprint, deepens her ecosystem, and opens governance.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Centralized exchange listings (Tier 2 and Tier 1 targets)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GlossiMirror NFT Collection — Chapter 1 drop</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GlossiVault beta launch with founding member access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Strategic brand partnerships and collaboration announcements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GlossiDAO governance framework launch</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GlossiDrop Season 2 — expanded creator and community rewards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Community treasury grants program opens</w:t>
      </w:r>
    </w:p>
    <w:p>
      <w:pPr>
        <w:pBdr>
          <w:bottom w:val="single" w:color="D0D0D0" w:sz="6"/>
        </w:pBdr>
        <w:spacing w:after="240" w:before="240"/>
      </w:pPr>
    </w:p>
    <w:p>
      <w:pPr>
        <w:spacing w:after="60" w:before="60" w:line="384" w:lineRule="auto"/>
      </w:pPr>
      <w:r>
        <w:rPr>
          <w:rFonts w:ascii="Cambria" w:cs="Cambria" w:eastAsia="Cambria" w:hAnsi="Cambria"/>
          <w:b/>
          <w:bCs/>
          <w:i w:val="false"/>
          <w:iCs w:val="false"/>
          <w:strike w:val="false"/>
          <w:color w:val="0A0A0A"/>
          <w:sz w:val="26"/>
          <w:szCs w:val="26"/>
        </w:rPr>
        <w:t xml:space="preserve">Phase 3 — The Reign</w:t>
      </w:r>
    </w:p>
    <w:p>
      <w:pPr>
        <w:spacing w:after="240" w:before="60" w:line="384" w:lineRule="auto"/>
      </w:pPr>
      <w:r>
        <w:rPr>
          <w:rFonts w:ascii="Corbel" w:cs="Corbel" w:eastAsia="Corbel" w:hAnsi="Corbel"/>
          <w:b w:val="false"/>
          <w:bCs w:val="false"/>
          <w:i w:val="false"/>
          <w:iCs w:val="false"/>
          <w:strike w:val="false"/>
          <w:color w:val="C9A84C"/>
          <w:spacing w:val="30"/>
          <w:sz w:val="18"/>
          <w:szCs w:val="18"/>
        </w:rPr>
        <w:t xml:space="preserve">Q3 2027 AND BEYOND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GlossiCat transcends the token category and becomes a cultural institution.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Multi-chain expansion: Base, Solana, BNB Chain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GlossiCat × Fashion and Culture campaign series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Physical-digital luxury brand collaborations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GlossiMirror Collection — Chapter 2 and beyond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GlossiCat media universe: animated content, editorial magazine, live events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Community-directed creative fund at full scale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International community chapters and regional ambassadors</w:t>
      </w:r>
    </w:p>
    <w:p>
      <w:pPr>
        <w:pBdr>
          <w:bottom w:val="single" w:color="D0D0D0" w:sz="6"/>
        </w:pBdr>
        <w:spacing w:after="240" w:before="24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09</w:t>
      </w:r>
    </w:p>
    <w:p>
      <w:pPr>
        <w:pStyle w:val="Heading1"/>
        <w:spacing w:after="100" w:before="720" w:line="384" w:lineRule="auto"/>
      </w:pPr>
      <w:r>
        <w:rPr>
          <w:rFonts w:ascii="Cambria" w:cs="Cambria" w:eastAsia="Cambria" w:hAnsi="Cambria"/>
          <w:color w:val="0A0A0A"/>
          <w:spacing w:val="-7"/>
          <w:sz w:val="44"/>
          <w:szCs w:val="44"/>
        </w:rPr>
        <w:t xml:space="preserve">Security &amp; Compliance</w:t>
      </w:r>
    </w:p>
    <w:p>
      <w:pPr>
        <w:pBdr>
          <w:top w:val="single" w:color="C9A84C" w:sz="6"/>
        </w:pBdr>
        <w:spacing w:after="200" w:before="0"/>
      </w:pPr>
    </w:p>
    <w:p>
      <w:pPr>
        <w:pStyle w:val="Heading2"/>
        <w:spacing w:after="80" w:before="440" w:line="384" w:lineRule="auto"/>
      </w:pPr>
      <w:r>
        <w:rPr>
          <w:rFonts w:ascii="Cambria" w:cs="Cambria" w:eastAsia="Cambria" w:hAnsi="Cambria"/>
          <w:color w:val="3B1F3A"/>
          <w:spacing w:val="5"/>
          <w:sz w:val="28"/>
          <w:szCs w:val="28"/>
        </w:rPr>
        <w:t xml:space="preserve">9.1 Smart Contract Security</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GLOXI smart contract will undergo independent security audits by recognized third-party firms prior to deployment. Audit reports will be published in full on the GlossiCat website and pinned across official community channels.</w:t>
      </w:r>
    </w:p>
    <w:p>
      <w:pPr>
        <w:pStyle w:val="Heading2"/>
        <w:spacing w:after="80" w:before="440" w:line="384" w:lineRule="auto"/>
      </w:pPr>
      <w:r>
        <w:rPr>
          <w:rFonts w:ascii="Cambria" w:cs="Cambria" w:eastAsia="Cambria" w:hAnsi="Cambria"/>
          <w:color w:val="3B1F3A"/>
          <w:spacing w:val="5"/>
          <w:sz w:val="28"/>
          <w:szCs w:val="28"/>
        </w:rPr>
        <w:t xml:space="preserve">9.2 Multisig Treasury</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All treasury funds are held in a multi-signature wallet requiring a minimum of 3-of-5 signatures for any transaction. Wallet addresses and transaction records are publicly verifiable on-chain, ensuring full transparency to the community.</w:t>
      </w:r>
    </w:p>
    <w:p>
      <w:pPr>
        <w:pStyle w:val="Heading2"/>
        <w:spacing w:after="80" w:before="440" w:line="384" w:lineRule="auto"/>
      </w:pPr>
      <w:r>
        <w:rPr>
          <w:rFonts w:ascii="Cambria" w:cs="Cambria" w:eastAsia="Cambria" w:hAnsi="Cambria"/>
          <w:color w:val="3B1F3A"/>
          <w:spacing w:val="5"/>
          <w:sz w:val="28"/>
          <w:szCs w:val="28"/>
        </w:rPr>
        <w:t xml:space="preserve">9.3 Liquidity Lock</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Initial liquidity pool tokens are locked for a minimum of 12 months from the date of the initial DEX listing, providing the community with transparent protection against liquidity removal.</w:t>
      </w:r>
    </w:p>
    <w:p>
      <w:pPr>
        <w:pStyle w:val="Heading2"/>
        <w:spacing w:after="80" w:before="440" w:line="384" w:lineRule="auto"/>
      </w:pPr>
      <w:r>
        <w:rPr>
          <w:rFonts w:ascii="Cambria" w:cs="Cambria" w:eastAsia="Cambria" w:hAnsi="Cambria"/>
          <w:color w:val="3B1F3A"/>
          <w:spacing w:val="5"/>
          <w:sz w:val="28"/>
          <w:szCs w:val="28"/>
        </w:rPr>
        <w:t xml:space="preserve">9.4 KYC &amp; AML</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Team members are subject to internal KYC procedures. The project operates in good faith compliance with applicable regulations in relevant jurisdictions and will engage qualified legal counsel as regulatory landscapes evolve.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6E3" w:color="auto" w:val="clear"/>
            <w:tcMar>
              <w:top w:type="dxa" w:w="280"/>
              <w:left w:type="dxa" w:w="360"/>
              <w:bottom w:type="dxa" w:w="280"/>
              <w:right w:type="dxa" w:w="360"/>
            </w:tcMar>
          </w:tcPr>
          <w:p>
            <w:pPr>
              <w:spacing w:after="100" w:line="384" w:lineRule="auto"/>
            </w:pPr>
            <w:r>
              <w:rPr>
                <w:rFonts w:ascii="Cambria" w:cs="Cambria" w:eastAsia="Cambria" w:hAnsi="Cambria"/>
                <w:b/>
                <w:bCs/>
                <w:i w:val="false"/>
                <w:iCs w:val="false"/>
                <w:strike w:val="false"/>
                <w:color w:val="1A1A1A"/>
                <w:sz w:val="23"/>
                <w:szCs w:val="23"/>
              </w:rPr>
              <w:t xml:space="preserve">Transparency Commitment:</w:t>
            </w:r>
            <w:r>
              <w:rPr>
                <w:rFonts w:ascii="Corbel" w:cs="Corbel" w:eastAsia="Corbel" w:hAnsi="Corbel"/>
                <w:b w:val="false"/>
                <w:bCs w:val="false"/>
                <w:i w:val="false"/>
                <w:iCs w:val="false"/>
                <w:strike w:val="false"/>
                <w:color w:val="2D2D2D"/>
                <w:sz w:val="21"/>
                <w:szCs w:val="21"/>
              </w:rPr>
              <w:t xml:space="preserve"> All on-chain activity, wallet addresses, audit results, and treasury movements are publicly verifiable. Opacity is not in GlossiCat’s vocabulary.</w:t>
            </w:r>
          </w:p>
        </w:tc>
      </w:tr>
    </w:tbl>
    <w:p>
      <w:pPr>
        <w:spacing w:after="240" w:before="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10</w:t>
      </w:r>
    </w:p>
    <w:p>
      <w:pPr>
        <w:pStyle w:val="Heading1"/>
        <w:spacing w:after="100" w:before="720" w:line="384" w:lineRule="auto"/>
      </w:pPr>
      <w:r>
        <w:rPr>
          <w:rFonts w:ascii="Cambria" w:cs="Cambria" w:eastAsia="Cambria" w:hAnsi="Cambria"/>
          <w:color w:val="0A0A0A"/>
          <w:spacing w:val="-7"/>
          <w:sz w:val="44"/>
          <w:szCs w:val="44"/>
        </w:rPr>
        <w:t xml:space="preserve">Team</w:t>
      </w:r>
    </w:p>
    <w:p>
      <w:pPr>
        <w:pBdr>
          <w:top w:val="single" w:color="C9A84C"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GlossiCat core team is a collective of experienced builders, designers, and cultural strategists who operate under the GlossiCat brand identity. In alignment with the ethos of decentralization and the precedent set by iconic community-driven projects, core team members operate pseudonymously at launch.</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Full team doxxing will be available to institutional partners and auditors under NDA prior to any major exchange listing.</w:t>
      </w:r>
    </w:p>
    <w:p>
      <w:pPr>
        <w:pStyle w:val="Heading2"/>
        <w:spacing w:after="80" w:before="440" w:line="384" w:lineRule="auto"/>
      </w:pPr>
      <w:r>
        <w:rPr>
          <w:rFonts w:ascii="Cambria" w:cs="Cambria" w:eastAsia="Cambria" w:hAnsi="Cambria"/>
          <w:color w:val="3B1F3A"/>
          <w:spacing w:val="5"/>
          <w:sz w:val="28"/>
          <w:szCs w:val="28"/>
        </w:rPr>
        <w:t xml:space="preserve">Collective Expertise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1%"/>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Domain</w:t>
            </w:r>
          </w:p>
        </w:tc>
        <w:tc>
          <w:tcPr>
            <w:tcW w:type="pct" w:w="59%"/>
            <w:shd w:fill="0A0A0A" w:color="auto" w:val="clear"/>
            <w:tcMar>
              <w:top w:type="dxa" w:w="105"/>
              <w:left w:type="dxa" w:w="180"/>
              <w:bottom w:type="dxa" w:w="105"/>
              <w:right w:type="dxa" w:w="180"/>
            </w:tcMar>
          </w:tcPr>
          <w:p>
            <w:r>
              <w:rPr>
                <w:rFonts w:ascii="Cambria" w:cs="Cambria" w:eastAsia="Cambria" w:hAnsi="Cambria"/>
                <w:b/>
                <w:bCs/>
                <w:i w:val="false"/>
                <w:iCs w:val="false"/>
                <w:strike w:val="false"/>
                <w:color w:val="C9A84C"/>
                <w:spacing w:val="15"/>
                <w:sz w:val="18"/>
                <w:szCs w:val="18"/>
              </w:rPr>
              <w:t xml:space="preserve">Contribution to GLOXI</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Web3 Product &amp; Smart Contract Development</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Protocol architecture, ERC-20 implementation, audit liaison</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Brand Strategy &amp; Luxury Marketing</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Brand system, voice, campaign direction, partnership strategy</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NFT Collection Design &amp; Community Building</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GlossiMirror creative, community activation, GlossiDrop structure</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DeFi Protocol Architecture</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Tokenomics design, liquidity strategy, DAO governance framework</w:t>
            </w:r>
          </w:p>
        </w:tc>
      </w:tr>
      <w:tr>
        <w:trPr>
          <w:tblHeader w:val="false"/>
        </w:trPr>
        <w:tc>
          <w:tcPr>
            <w:tcW w:type="pct" w:w="41%"/>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Creative Direction &amp; Editorial Production</w:t>
            </w:r>
          </w:p>
        </w:tc>
        <w:tc>
          <w:tcPr>
            <w:tcW w:type="pct" w:w="59%"/>
            <w:tcMar>
              <w:top w:type="dxa" w:w="105"/>
              <w:left w:type="dxa" w:w="180"/>
              <w:bottom w:type="dxa" w:w="105"/>
              <w:right w:type="dxa" w:w="180"/>
            </w:tcMar>
          </w:tcPr>
          <w:p>
            <w:r>
              <w:rPr>
                <w:rFonts w:ascii="Cambria" w:cs="Cambria" w:eastAsia="Cambria" w:hAnsi="Cambria"/>
                <w:b w:val="false"/>
                <w:bCs w:val="false"/>
                <w:i w:val="false"/>
                <w:iCs w:val="false"/>
                <w:strike w:val="false"/>
                <w:color w:val="1A1A1A"/>
                <w:sz w:val="23"/>
                <w:szCs w:val="23"/>
              </w:rPr>
              <w:t xml:space="preserve">Lore, visual universe, content systems, media partnerships</w:t>
            </w:r>
          </w:p>
        </w:tc>
      </w:tr>
    </w:tbl>
    <w:p>
      <w:pPr>
        <w:spacing w:after="200" w:before="0"/>
      </w:pPr>
    </w:p>
    <w:p>
      <w:pPr>
        <w:pBdr>
          <w:bottom w:val="single" w:color="1A1A1A" w:sz="6"/>
        </w:pBdr>
        <w:spacing w:after="240" w:before="240"/>
      </w:pPr>
    </w:p>
    <w:p>
      <w:pPr>
        <w:spacing w:after="60" w:before="720" w:line="384" w:lineRule="auto"/>
      </w:pPr>
      <w:r>
        <w:rPr>
          <w:rFonts w:ascii="Corbel" w:cs="Corbel" w:eastAsia="Corbel" w:hAnsi="Corbel"/>
          <w:b w:val="false"/>
          <w:bCs w:val="false"/>
          <w:i w:val="false"/>
          <w:iCs w:val="false"/>
          <w:strike w:val="false"/>
          <w:color w:val="C9A84C"/>
          <w:spacing w:val="53"/>
          <w:sz w:val="16"/>
          <w:szCs w:val="16"/>
        </w:rPr>
        <w:t xml:space="preserve">SECTION 11</w:t>
      </w:r>
    </w:p>
    <w:p>
      <w:pPr>
        <w:pStyle w:val="Heading1"/>
        <w:spacing w:after="100" w:before="720" w:line="384" w:lineRule="auto"/>
      </w:pPr>
      <w:r>
        <w:rPr>
          <w:rFonts w:ascii="Cambria" w:cs="Cambria" w:eastAsia="Cambria" w:hAnsi="Cambria"/>
          <w:color w:val="0A0A0A"/>
          <w:spacing w:val="-7"/>
          <w:sz w:val="44"/>
          <w:szCs w:val="44"/>
        </w:rPr>
        <w:t xml:space="preserve">Legal Disclaimer</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0D0" w:sz="6"/>
              <w:left w:val="single" w:color="D0D0D0" w:sz="6"/>
              <w:bottom w:val="single" w:color="D0D0D0" w:sz="6"/>
              <w:right w:val="single" w:color="D0D0D0" w:sz="6"/>
            </w:tcBorders>
            <w:shd w:fill="F7F5F2" w:color="auto" w:val="clear"/>
            <w:tcMar>
              <w:top w:type="dxa" w:w="320"/>
              <w:left w:type="dxa" w:w="360"/>
              <w:bottom w:type="dxa" w:w="320"/>
              <w:right w:type="dxa" w:w="360"/>
            </w:tcMar>
          </w:tcPr>
          <w:p>
            <w:pPr>
              <w:spacing w:after="0" w:line="408" w:lineRule="auto"/>
            </w:pPr>
            <w:r>
              <w:rPr>
                <w:rFonts w:ascii="Corbel" w:cs="Corbel" w:eastAsia="Corbel" w:hAnsi="Corbel"/>
                <w:b w:val="false"/>
                <w:bCs w:val="false"/>
                <w:i w:val="false"/>
                <w:iCs w:val="false"/>
                <w:strike w:val="false"/>
                <w:color w:val="444444"/>
                <w:sz w:val="19"/>
                <w:szCs w:val="19"/>
              </w:rPr>
              <w:t xml:space="preserve">GlossiCat (GLOXI) is a community-driven cultural token. It is not, and is not intended to be, a financial instrument, security, investment vehicle, commodity, or any regulated financial product in any jurisdiction.</w:t>
            </w:r>
          </w:p>
          <w:p>
            <w:pPr>
              <w:spacing w:after="0" w:line="408" w:lineRule="auto"/>
            </w:pPr>
            <w:r>
              <w:rPr>
                <w:rFonts w:ascii="Corbel" w:cs="Corbel" w:eastAsia="Corbel" w:hAnsi="Corbel"/>
                <w:b w:val="false"/>
                <w:bCs w:val="false"/>
                <w:i w:val="false"/>
                <w:iCs w:val="false"/>
                <w:strike w:val="false"/>
                <w:color w:val="444444"/>
                <w:sz w:val="19"/>
                <w:szCs w:val="19"/>
              </w:rPr>
              <w:t xml:space="preserve">Nothing contained in this whitepaper constitutes financial advice, investment advice, legal advice, tax advice, or any other form of professional advisory. The information presented herein is for informational and entertainment purposes only.</w:t>
            </w:r>
          </w:p>
          <w:p>
            <w:pPr>
              <w:spacing w:after="0" w:line="408" w:lineRule="auto"/>
            </w:pPr>
            <w:r>
              <w:rPr>
                <w:rFonts w:ascii="Corbel" w:cs="Corbel" w:eastAsia="Corbel" w:hAnsi="Corbel"/>
                <w:b w:val="false"/>
                <w:bCs w:val="false"/>
                <w:i w:val="false"/>
                <w:iCs w:val="false"/>
                <w:strike w:val="false"/>
                <w:color w:val="444444"/>
                <w:sz w:val="19"/>
                <w:szCs w:val="19"/>
              </w:rPr>
              <w:t xml:space="preserve">Cryptocurrency and digital tokens carry significant financial risk, including but not limited to total loss of principal investment. Token prices are highly volatile and subject to market forces, regulatory developments, and events beyond the control of any project team.</w:t>
            </w:r>
          </w:p>
          <w:p>
            <w:pPr>
              <w:spacing w:after="0" w:line="408" w:lineRule="auto"/>
            </w:pPr>
            <w:r>
              <w:rPr>
                <w:rFonts w:ascii="Corbel" w:cs="Corbel" w:eastAsia="Corbel" w:hAnsi="Corbel"/>
                <w:b w:val="false"/>
                <w:bCs w:val="false"/>
                <w:i w:val="false"/>
                <w:iCs w:val="false"/>
                <w:strike w:val="false"/>
                <w:color w:val="444444"/>
                <w:sz w:val="19"/>
                <w:szCs w:val="19"/>
              </w:rPr>
              <w:t xml:space="preserve">This whitepaper may contain forward-looking statements regarding future plans, developments, and aspirations. These statements reflect current intentions and are subject to change. No guarantee is made regarding the achievement of any roadmap item, token price target, ecosystem milestone, or partnership outcome.</w:t>
            </w:r>
          </w:p>
          <w:p>
            <w:pPr>
              <w:spacing w:after="0" w:line="408" w:lineRule="auto"/>
            </w:pPr>
            <w:r>
              <w:rPr>
                <w:rFonts w:ascii="Corbel" w:cs="Corbel" w:eastAsia="Corbel" w:hAnsi="Corbel"/>
                <w:b w:val="false"/>
                <w:bCs w:val="false"/>
                <w:i w:val="false"/>
                <w:iCs w:val="false"/>
                <w:strike w:val="false"/>
                <w:color w:val="444444"/>
                <w:sz w:val="19"/>
                <w:szCs w:val="19"/>
              </w:rPr>
              <w:t xml:space="preserve">Participants in the GlossiCat ecosystem do so at their own risk and should conduct thorough independent research and consult qualified financial, legal, and tax professionals before making any decisions.</w:t>
            </w:r>
          </w:p>
          <w:p>
            <w:pPr>
              <w:spacing w:after="0" w:line="408" w:lineRule="auto"/>
            </w:pPr>
            <w:r>
              <w:rPr>
                <w:rFonts w:ascii="Corbel" w:cs="Corbel" w:eastAsia="Corbel" w:hAnsi="Corbel"/>
                <w:b w:val="false"/>
                <w:bCs w:val="false"/>
                <w:i w:val="false"/>
                <w:iCs w:val="false"/>
                <w:strike w:val="false"/>
                <w:color w:val="444444"/>
                <w:sz w:val="19"/>
                <w:szCs w:val="19"/>
              </w:rPr>
              <w:t xml:space="preserve">The GlossiCat team reserves the right to modify, update, or revise this whitepaper at any time. The most current version will always be available on the official GlossiCat website.</w:t>
            </w:r>
          </w:p>
          <w:p>
            <w:pPr>
              <w:spacing w:after="0" w:line="408" w:lineRule="auto"/>
            </w:pPr>
            <w:r>
              <w:rPr>
                <w:rFonts w:ascii="Corbel" w:cs="Corbel" w:eastAsia="Corbel" w:hAnsi="Corbel"/>
                <w:b w:val="false"/>
                <w:bCs w:val="false"/>
                <w:i w:val="false"/>
                <w:iCs w:val="false"/>
                <w:strike w:val="false"/>
                <w:color w:val="444444"/>
                <w:sz w:val="19"/>
                <w:szCs w:val="19"/>
              </w:rPr>
              <w:t xml:space="preserve">By engaging with any element of the GlossiCat ecosystem — including holding GLOXI tokens, participating in GlossiDrop, accessing GlossiVault, or acquiring GlossiMirror NFTs — participants acknowledge that they have read, understood, and accepted all risks and disclaimers presented in this document and all associated official materials.</w:t>
            </w:r>
          </w:p>
        </w:tc>
      </w:tr>
    </w:tbl>
    <w:p>
      <w:pPr>
        <w:spacing w:after="240" w:before="0"/>
      </w:pPr>
    </w:p>
    <w:p>
      <w:pPr>
        <w:pBdr>
          <w:bottom w:val="single" w:color="C9A84C" w:sz="6"/>
        </w:pBdr>
        <w:spacing w:after="240" w:before="240"/>
      </w:pPr>
    </w:p>
    <w:p>
      <w:pPr>
        <w:spacing w:after="240" w:before="60" w:line="384" w:lineRule="auto"/>
        <w:jc w:val="center"/>
      </w:pPr>
      <w:r>
        <w:rPr>
          <w:rFonts w:ascii="Corbel" w:cs="Corbel" w:eastAsia="Corbel" w:hAnsi="Corbel"/>
          <w:b w:val="false"/>
          <w:bCs w:val="false"/>
          <w:i w:val="false"/>
          <w:iCs w:val="false"/>
          <w:strike w:val="false"/>
          <w:color w:val="888888"/>
          <w:spacing w:val="23"/>
          <w:sz w:val="17"/>
          <w:szCs w:val="17"/>
        </w:rPr>
        <w:t xml:space="preserve">GLOSSICAT — GLOXI  •  WHITEPAPER V1.0  •  AUGUST 2026  •  PUBLIC RELEASE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A0A0A" w:color="auto" w:val="clear"/>
            <w:tcMar>
              <w:top w:type="dxa" w:w="800"/>
              <w:left w:type="dxa" w:w="800"/>
              <w:bottom w:type="dxa" w:w="800"/>
              <w:right w:type="dxa" w:w="800"/>
            </w:tcMar>
          </w:tcPr>
          <w:p>
            <w:pPr>
              <w:spacing w:after="400" w:line="384" w:lineRule="auto"/>
              <w:jc w:val="center"/>
            </w:pPr>
            <w:r>
              <w:rPr>
                <w:rFonts w:ascii="Cambria" w:cs="Cambria" w:eastAsia="Cambria" w:hAnsi="Cambria"/>
                <w:b w:val="false"/>
                <w:bCs w:val="false"/>
                <w:i/>
                <w:iCs/>
                <w:strike w:val="false"/>
                <w:color w:val="1A1A1A"/>
                <w:sz w:val="23"/>
                <w:szCs w:val="23"/>
              </w:rPr>
              <w:t xml:space="preserve">“She arrived in silence. She left in legend.”</w:t>
            </w:r>
          </w:p>
          <w:p>
            <w:pPr>
              <w:spacing w:after="120" w:line="384" w:lineRule="auto"/>
              <w:jc w:val="center"/>
            </w:pPr>
            <w:r>
              <w:rPr>
                <w:rFonts w:ascii="Cambria" w:cs="Cambria" w:eastAsia="Cambria" w:hAnsi="Cambria"/>
                <w:b/>
                <w:bCs/>
                <w:i w:val="false"/>
                <w:iCs w:val="false"/>
                <w:strike w:val="false"/>
                <w:color w:val="1A1A1A"/>
                <w:spacing w:val="30"/>
                <w:sz w:val="23"/>
                <w:szCs w:val="23"/>
              </w:rPr>
              <w:t xml:space="preserve">GlossiCat — GLOXI</w:t>
            </w:r>
          </w:p>
          <w:p>
            <w:pPr>
              <w:spacing w:after="480" w:line="384" w:lineRule="auto"/>
              <w:jc w:val="center"/>
            </w:pPr>
            <w:r>
              <w:rPr>
                <w:rFonts w:ascii="Cambria" w:cs="Cambria" w:eastAsia="Cambria" w:hAnsi="Cambria"/>
                <w:b w:val="false"/>
                <w:bCs w:val="false"/>
                <w:i w:val="false"/>
                <w:iCs w:val="false"/>
                <w:strike w:val="false"/>
                <w:color w:val="1A1A1A"/>
                <w:spacing w:val="45"/>
                <w:sz w:val="23"/>
                <w:szCs w:val="23"/>
              </w:rPr>
              <w:t xml:space="preserve">Own the Lore. Wear the Token.</w:t>
            </w:r>
          </w:p>
          <w:p>
            <w:pPr>
              <w:spacing w:after="160" w:line="480" w:lineRule="auto"/>
              <w:jc w:val="center"/>
            </w:pPr>
            <w:r>
              <w:rPr>
                <w:rFonts w:ascii="Cambria" w:cs="Cambria" w:eastAsia="Cambria" w:hAnsi="Cambria"/>
                <w:b w:val="false"/>
                <w:bCs w:val="false"/>
                <w:i w:val="false"/>
                <w:iCs w:val="false"/>
                <w:strike w:val="false"/>
                <w:color w:val="1A1A1A"/>
                <w:spacing w:val="30"/>
                <w:sz w:val="23"/>
                <w:szCs w:val="23"/>
              </w:rPr>
              <w:t xml:space="preserve">Version 1.0  •  August 2026  •  Public Release</w:t>
            </w:r>
            <w:r>
              <w:rPr>
                <w:rFonts w:ascii="Cambria" w:cs="Cambria" w:eastAsia="Cambria" w:hAnsi="Cambria"/>
                <w:b w:val="false"/>
                <w:bCs w:val="false"/>
                <w:i w:val="false"/>
                <w:iCs w:val="false"/>
                <w:color w:val="1A1A1A"/>
                <w:sz w:val="23"/>
                <w:szCs w:val="23"/>
              </w:rPr>
              <w:br/>
            </w:r>
            <w:r>
              <w:rPr>
                <w:rFonts w:ascii="Cambria" w:cs="Cambria" w:eastAsia="Cambria" w:hAnsi="Cambria"/>
                <w:b w:val="false"/>
                <w:bCs w:val="false"/>
                <w:i w:val="false"/>
                <w:iCs w:val="false"/>
                <w:strike w:val="false"/>
                <w:color w:val="1A1A1A"/>
                <w:spacing w:val="30"/>
                <w:sz w:val="23"/>
                <w:szCs w:val="23"/>
              </w:rPr>
              <w:t xml:space="preserve"> This document is the official whitepaper of the GlossiCat (GLOXI) project.</w:t>
            </w:r>
            <w:r>
              <w:rPr>
                <w:rFonts w:ascii="Cambria" w:cs="Cambria" w:eastAsia="Cambria" w:hAnsi="Cambria"/>
                <w:b w:val="false"/>
                <w:bCs w:val="false"/>
                <w:i w:val="false"/>
                <w:iCs w:val="false"/>
                <w:color w:val="1A1A1A"/>
                <w:sz w:val="23"/>
                <w:szCs w:val="23"/>
              </w:rPr>
              <w:br/>
            </w:r>
            <w:r>
              <w:rPr>
                <w:rFonts w:ascii="Cambria" w:cs="Cambria" w:eastAsia="Cambria" w:hAnsi="Cambria"/>
                <w:b w:val="false"/>
                <w:bCs w:val="false"/>
                <w:i w:val="false"/>
                <w:iCs w:val="false"/>
                <w:strike w:val="false"/>
                <w:color w:val="1A1A1A"/>
                <w:spacing w:val="30"/>
                <w:sz w:val="23"/>
                <w:szCs w:val="23"/>
              </w:rPr>
              <w:t xml:space="preserve"> All rights reserved. GlossiCat ™ 2026.</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jnCU5ddujT7367a7iWwxq</dc:title>
  <dc:creator>Un-named</dc:creator>
  <dc:description>Generated document</dc:description>
  <cp:lastModifiedBy>Un-named</cp:lastModifiedBy>
  <cp:revision>1</cp:revision>
  <dcterms:created xsi:type="dcterms:W3CDTF">2026-08-22T03:44:24.250Z</dcterms:created>
  <dcterms:modified xsi:type="dcterms:W3CDTF">2026-08-22T03:44:24.250Z</dcterms:modified>
</cp:coreProperties>
</file>

<file path=docProps/custom.xml><?xml version="1.0" encoding="utf-8"?>
<Properties xmlns="http://schemas.openxmlformats.org/officeDocument/2006/custom-properties" xmlns:vt="http://schemas.openxmlformats.org/officeDocument/2006/docPropsVTypes"/>
</file>