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Security Investigation Report</w:t>
      </w:r>
    </w:p>
    <w:p>
      <w:r>
        <w:t>Classification: RESTRICTED INTERNAL REVIEW</w:t>
      </w:r>
    </w:p>
    <w:p>
      <w:pPr>
        <w:pStyle w:val="Heading2"/>
      </w:pPr>
      <w:r>
        <w:t>1. Subject Identification</w:t>
      </w:r>
    </w:p>
    <w:p>
      <w:r>
        <w:t>During internal audit review, evidence was collected regarding department access anomalies.</w:t>
        <w:br/>
        <w:t>Primary Employee Name: Sarah Connor</w:t>
        <w:br/>
        <w:t>Employee ID: EMP88341</w:t>
        <w:br/>
        <w:t>Corporate Email: sarah.connor@cyberdyne.org</w:t>
        <w:br/>
        <w:t>Contact Phone: (212) 555-1234</w:t>
      </w:r>
    </w:p>
    <w:p>
      <w:pPr>
        <w:pStyle w:val="Heading2"/>
      </w:pPr>
      <w:r>
        <w:t>2. Witness Statements &amp; Roster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Staff ID</w:t>
            </w:r>
          </w:p>
        </w:tc>
        <w:tc>
          <w:tcPr>
            <w:tcW w:type="dxa" w:w="2880"/>
          </w:tcPr>
          <w:p>
            <w:r>
              <w:t>Contact Email</w:t>
            </w:r>
          </w:p>
        </w:tc>
      </w:tr>
      <w:tr>
        <w:tc>
          <w:tcPr>
            <w:tcW w:type="dxa" w:w="2880"/>
          </w:tcPr>
          <w:p>
            <w:r>
              <w:t>Michael Scott</w:t>
            </w:r>
          </w:p>
        </w:tc>
        <w:tc>
          <w:tcPr>
            <w:tcW w:type="dxa" w:w="2880"/>
          </w:tcPr>
          <w:p>
            <w:r>
              <w:t>EMP10293</w:t>
            </w:r>
          </w:p>
        </w:tc>
        <w:tc>
          <w:tcPr>
            <w:tcW w:type="dxa" w:w="2880"/>
          </w:tcPr>
          <w:p>
            <w:r>
              <w:t>mscott@dunder.com</w:t>
            </w:r>
          </w:p>
        </w:tc>
      </w:tr>
      <w:tr>
        <w:tc>
          <w:tcPr>
            <w:tcW w:type="dxa" w:w="2880"/>
          </w:tcPr>
          <w:p>
            <w:r>
              <w:t>Alice Henderson</w:t>
            </w:r>
          </w:p>
        </w:tc>
        <w:tc>
          <w:tcPr>
            <w:tcW w:type="dxa" w:w="2880"/>
          </w:tcPr>
          <w:p>
            <w:r>
              <w:t>EMP44912</w:t>
            </w:r>
          </w:p>
        </w:tc>
        <w:tc>
          <w:tcPr>
            <w:tcW w:type="dxa" w:w="2880"/>
          </w:tcPr>
          <w:p>
            <w:r>
              <w:t>a.henderson@securecorp.net</w:t>
            </w:r>
          </w:p>
        </w:tc>
      </w:tr>
    </w:tbl>
    <w:p>
      <w:r>
        <w:t>Quarterly financial volume totaled 2,450,000 USD. No unauthorized fund transfer occurred.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