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Arial" w:hAnsi="Arial"/>
          <w:b/>
          <w:color w:val="26802D"/>
          <w:sz w:val="18"/>
        </w:rPr>
        <w:t>Website design / build / hosting</w:t>
      </w:r>
    </w:p>
    <w:p>
      <w:pPr>
        <w:spacing w:after="120"/>
      </w:pPr>
      <w:r>
        <w:rPr>
          <w:rFonts w:ascii="Arial" w:hAnsi="Arial"/>
          <w:b/>
          <w:color w:val="000000"/>
          <w:sz w:val="36"/>
        </w:rPr>
        <w:t>Unit 4 Assessment 5 - SS Evidence Collection</w:t>
      </w:r>
    </w:p>
    <w:p>
      <w:pPr>
        <w:spacing w:after="120"/>
      </w:pPr>
      <w:r>
        <w:rPr>
          <w:rFonts w:ascii="Arial" w:hAnsi="Arial"/>
          <w:b w:val="0"/>
          <w:color w:val="464646"/>
          <w:sz w:val="20"/>
        </w:rPr>
        <w:t>Rob Johnston | TQUK Level 3 Certificate in AI Programming with Python</w:t>
      </w:r>
    </w:p>
    <w:p>
      <w:pPr>
        <w:spacing w:after="120"/>
      </w:pPr>
      <w:r>
        <w:rPr>
          <w:rFonts w:ascii="Arial" w:hAnsi="Arial"/>
          <w:b/>
          <w:color w:val="26802D"/>
          <w:sz w:val="21"/>
        </w:rPr>
        <w:t>Deep Learning Training Project</w:t>
      </w:r>
    </w:p>
    <w:p>
      <w:pPr>
        <w:spacing w:after="120"/>
      </w:pPr>
      <w:r>
        <w:rPr>
          <w:rFonts w:ascii="Arial" w:hAnsi="Arial"/>
          <w:b w:val="0"/>
          <w:color w:val="464646"/>
          <w:sz w:val="20"/>
        </w:rPr>
        <w:t>Criteria covered: 3.1, 3.2, 3.3</w:t>
      </w:r>
    </w:p>
    <w:p>
      <w:pPr>
        <w:spacing w:after="120"/>
      </w:pPr>
      <w:r>
        <w:rPr>
          <w:rFonts w:ascii="Arial" w:hAnsi="Arial"/>
          <w:b w:val="0"/>
          <w:color w:val="464646"/>
          <w:sz w:val="18"/>
        </w:rPr>
        <w:t>Date: 01/07/2026</w:t>
      </w:r>
    </w:p>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6B2A"/>
          </w:tcPr>
          <w:p>
            <w:r/>
            <w:r>
              <w:rPr>
                <w:rFonts w:ascii="Arial" w:hAnsi="Arial"/>
                <w:b/>
                <w:color w:val="FFFFFF"/>
                <w:sz w:val="17"/>
              </w:rPr>
              <w:t>Item</w:t>
            </w:r>
          </w:p>
        </w:tc>
        <w:tc>
          <w:tcPr>
            <w:tcW w:type="dxa" w:w="5184"/>
            <w:vAlign w:val="center"/>
            <w:shd w:fill="1F6B2A"/>
          </w:tcPr>
          <w:p>
            <w:r/>
            <w:r>
              <w:rPr>
                <w:rFonts w:ascii="Arial" w:hAnsi="Arial"/>
                <w:b/>
                <w:color w:val="FFFFFF"/>
                <w:sz w:val="17"/>
              </w:rPr>
              <w:t>Evidence</w:t>
            </w:r>
          </w:p>
        </w:tc>
      </w:tr>
      <w:tr>
        <w:tc>
          <w:tcPr>
            <w:tcW w:type="dxa" w:w="5184"/>
            <w:vAlign w:val="center"/>
            <w:shd w:fill="F3FFF1"/>
          </w:tcPr>
          <w:p>
            <w:r/>
            <w:r>
              <w:rPr>
                <w:rFonts w:ascii="Arial" w:hAnsi="Arial"/>
                <w:b w:val="0"/>
                <w:color w:val="000000"/>
                <w:sz w:val="16"/>
              </w:rPr>
              <w:t>Submission method</w:t>
            </w:r>
          </w:p>
        </w:tc>
        <w:tc>
          <w:tcPr>
            <w:tcW w:type="dxa" w:w="5184"/>
            <w:vAlign w:val="center"/>
            <w:shd w:fill="F3FFF1"/>
          </w:tcPr>
          <w:p>
            <w:r/>
            <w:r>
              <w:rPr>
                <w:rFonts w:ascii="Arial" w:hAnsi="Arial"/>
                <w:b w:val="0"/>
                <w:color w:val="000000"/>
                <w:sz w:val="16"/>
              </w:rPr>
              <w:t>SS Evidence Collection document with embedded screenshots/figures and annotations. Additional project files are included for upload.</w:t>
            </w:r>
          </w:p>
        </w:tc>
      </w:tr>
      <w:tr>
        <w:tc>
          <w:tcPr>
            <w:tcW w:type="dxa" w:w="5184"/>
            <w:vAlign w:val="center"/>
          </w:tcPr>
          <w:p>
            <w:r/>
            <w:r>
              <w:rPr>
                <w:rFonts w:ascii="Arial" w:hAnsi="Arial"/>
                <w:b w:val="0"/>
                <w:color w:val="000000"/>
                <w:sz w:val="16"/>
              </w:rPr>
              <w:t>Main script</w:t>
            </w:r>
          </w:p>
        </w:tc>
        <w:tc>
          <w:tcPr>
            <w:tcW w:type="dxa" w:w="5184"/>
            <w:vAlign w:val="center"/>
          </w:tcPr>
          <w:p>
            <w:r/>
            <w:r>
              <w:rPr>
                <w:rFonts w:ascii="Arial" w:hAnsi="Arial"/>
                <w:b w:val="0"/>
                <w:color w:val="000000"/>
                <w:sz w:val="16"/>
              </w:rPr>
              <w:t>assessment5_train_validate_infer.py</w:t>
            </w:r>
          </w:p>
        </w:tc>
      </w:tr>
      <w:tr>
        <w:tc>
          <w:tcPr>
            <w:tcW w:type="dxa" w:w="5184"/>
            <w:vAlign w:val="center"/>
            <w:shd w:fill="F3FFF1"/>
          </w:tcPr>
          <w:p>
            <w:r/>
            <w:r>
              <w:rPr>
                <w:rFonts w:ascii="Arial" w:hAnsi="Arial"/>
                <w:b w:val="0"/>
                <w:color w:val="000000"/>
                <w:sz w:val="16"/>
              </w:rPr>
              <w:t>Notebook</w:t>
            </w:r>
          </w:p>
        </w:tc>
        <w:tc>
          <w:tcPr>
            <w:tcW w:type="dxa" w:w="5184"/>
            <w:vAlign w:val="center"/>
            <w:shd w:fill="F3FFF1"/>
          </w:tcPr>
          <w:p>
            <w:r/>
            <w:r>
              <w:rPr>
                <w:rFonts w:ascii="Arial" w:hAnsi="Arial"/>
                <w:b w:val="0"/>
                <w:color w:val="000000"/>
                <w:sz w:val="16"/>
              </w:rPr>
              <w:t>Unit 4 Assessment 5 - Project Notebook - Rob Johnston.ipynb</w:t>
            </w:r>
          </w:p>
        </w:tc>
      </w:tr>
      <w:tr>
        <w:tc>
          <w:tcPr>
            <w:tcW w:type="dxa" w:w="5184"/>
            <w:vAlign w:val="center"/>
          </w:tcPr>
          <w:p>
            <w:r/>
            <w:r>
              <w:rPr>
                <w:rFonts w:ascii="Arial" w:hAnsi="Arial"/>
                <w:b w:val="0"/>
                <w:color w:val="000000"/>
                <w:sz w:val="16"/>
              </w:rPr>
              <w:t>Datasets demonstrated</w:t>
            </w:r>
          </w:p>
        </w:tc>
        <w:tc>
          <w:tcPr>
            <w:tcW w:type="dxa" w:w="5184"/>
            <w:vAlign w:val="center"/>
          </w:tcPr>
          <w:p>
            <w:r/>
            <w:r>
              <w:rPr>
                <w:rFonts w:ascii="Arial" w:hAnsi="Arial"/>
                <w:b w:val="0"/>
                <w:color w:val="000000"/>
                <w:sz w:val="16"/>
              </w:rPr>
              <w:t>Iris dataset and synthetic dataset</w:t>
            </w:r>
          </w:p>
        </w:tc>
      </w:tr>
      <w:tr>
        <w:tc>
          <w:tcPr>
            <w:tcW w:type="dxa" w:w="5184"/>
            <w:vAlign w:val="center"/>
            <w:shd w:fill="F3FFF1"/>
          </w:tcPr>
          <w:p>
            <w:r/>
            <w:r>
              <w:rPr>
                <w:rFonts w:ascii="Arial" w:hAnsi="Arial"/>
                <w:b w:val="0"/>
                <w:color w:val="000000"/>
                <w:sz w:val="16"/>
              </w:rPr>
              <w:t>Device used</w:t>
            </w:r>
          </w:p>
        </w:tc>
        <w:tc>
          <w:tcPr>
            <w:tcW w:type="dxa" w:w="5184"/>
            <w:vAlign w:val="center"/>
            <w:shd w:fill="F3FFF1"/>
          </w:tcPr>
          <w:p>
            <w:r/>
            <w:r>
              <w:rPr>
                <w:rFonts w:ascii="Arial" w:hAnsi="Arial"/>
                <w:b w:val="0"/>
                <w:color w:val="000000"/>
                <w:sz w:val="16"/>
              </w:rPr>
              <w:t>cpu (CUDA available: False)</w:t>
            </w:r>
          </w:p>
        </w:tc>
      </w:tr>
    </w:tbl>
    <w:p/>
    <w:p>
      <w:pPr>
        <w:spacing w:after="120"/>
      </w:pPr>
      <w:r>
        <w:rPr>
          <w:rFonts w:ascii="Arial" w:hAnsi="Arial"/>
          <w:b/>
          <w:color w:val="26802D"/>
          <w:sz w:val="26"/>
        </w:rPr>
        <w:t>3.1 Iris training</w:t>
      </w:r>
    </w:p>
    <w:p>
      <w:pPr>
        <w:spacing w:before="80" w:after="160"/>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assessment5_iris_training_loss.png"/>
                    <pic:cNvPicPr/>
                  </pic:nvPicPr>
                  <pic:blipFill>
                    <a:blip r:embed="rId11"/>
                    <a:stretch>
                      <a:fillRect/>
                    </a:stretch>
                  </pic:blipFill>
                  <pic:spPr>
                    <a:xfrm>
                      <a:off x="0" y="0"/>
                      <a:ext cx="5669280" cy="3543300"/>
                    </a:xfrm>
                    <a:prstGeom prst="rect"/>
                  </pic:spPr>
                </pic:pic>
              </a:graphicData>
            </a:graphic>
          </wp:inline>
        </w:drawing>
      </w:r>
    </w:p>
    <w:p>
      <w:pPr>
        <w:spacing w:after="120"/>
      </w:pPr>
      <w:r>
        <w:rPr>
          <w:rFonts w:ascii="Arial" w:hAnsi="Arial"/>
          <w:b w:val="0"/>
          <w:color w:val="000000"/>
          <w:sz w:val="21"/>
        </w:rPr>
        <w:t>This screenshot demonstrates one way to train a deep learning model using the Iris dataset. The script splits the Iris data into training, validation and test sets, scales the features, creates PyTorch DataLoaders, trains a neural network across epochs and records training and validation loss. This covers 3.1 because the evidence shows an actual model-training run, not only theory.</w:t>
      </w:r>
    </w:p>
    <w:p>
      <w:pPr>
        <w:spacing w:after="120"/>
      </w:pPr>
      <w:r>
        <w:rPr>
          <w:rFonts w:ascii="Arial" w:hAnsi="Arial"/>
          <w:b/>
          <w:color w:val="26802D"/>
          <w:sz w:val="26"/>
        </w:rPr>
        <w:t>3.1 Synthetic training</w:t>
      </w:r>
    </w:p>
    <w:p>
      <w:pPr>
        <w:spacing w:before="80" w:after="160"/>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assessment5_synthetic_training_loss.png"/>
                    <pic:cNvPicPr/>
                  </pic:nvPicPr>
                  <pic:blipFill>
                    <a:blip r:embed="rId12"/>
                    <a:stretch>
                      <a:fillRect/>
                    </a:stretch>
                  </pic:blipFill>
                  <pic:spPr>
                    <a:xfrm>
                      <a:off x="0" y="0"/>
                      <a:ext cx="5669280" cy="3543300"/>
                    </a:xfrm>
                    <a:prstGeom prst="rect"/>
                  </pic:spPr>
                </pic:pic>
              </a:graphicData>
            </a:graphic>
          </wp:inline>
        </w:drawing>
      </w:r>
    </w:p>
    <w:p>
      <w:pPr>
        <w:spacing w:after="120"/>
      </w:pPr>
      <w:r>
        <w:rPr>
          <w:rFonts w:ascii="Arial" w:hAnsi="Arial"/>
          <w:b w:val="0"/>
          <w:color w:val="000000"/>
          <w:sz w:val="21"/>
        </w:rPr>
        <w:t>This screenshot demonstrates a second way to train a deep learning model using a generated synthetic classification dataset. The synthetic dataset has more samples and features than the Iris example, so it shows that the training process can be reused on a different dataset structure. This provides the second training method required by 3.1.</w:t>
      </w:r>
    </w:p>
    <w:p>
      <w:pPr>
        <w:spacing w:after="120"/>
      </w:pPr>
      <w:r>
        <w:rPr>
          <w:rFonts w:ascii="Arial" w:hAnsi="Arial"/>
          <w:b/>
          <w:color w:val="26802D"/>
          <w:sz w:val="26"/>
        </w:rPr>
        <w:t>3.2 Iris validation tuning</w:t>
      </w:r>
    </w:p>
    <w:p>
      <w:pPr>
        <w:spacing w:before="80" w:after="160"/>
        <w:jc w:val="center"/>
      </w:pPr>
      <w:r>
        <w:drawing>
          <wp:inline xmlns:a="http://schemas.openxmlformats.org/drawingml/2006/main" xmlns:pic="http://schemas.openxmlformats.org/drawingml/2006/picture">
            <wp:extent cx="5669280" cy="1763776"/>
            <wp:docPr id="3" name="Picture 3"/>
            <wp:cNvGraphicFramePr>
              <a:graphicFrameLocks noChangeAspect="1"/>
            </wp:cNvGraphicFramePr>
            <a:graphic>
              <a:graphicData uri="http://schemas.openxmlformats.org/drawingml/2006/picture">
                <pic:pic>
                  <pic:nvPicPr>
                    <pic:cNvPr id="0" name="assessment5_iris_validation_tuning_summary.png"/>
                    <pic:cNvPicPr/>
                  </pic:nvPicPr>
                  <pic:blipFill>
                    <a:blip r:embed="rId13"/>
                    <a:stretch>
                      <a:fillRect/>
                    </a:stretch>
                  </pic:blipFill>
                  <pic:spPr>
                    <a:xfrm>
                      <a:off x="0" y="0"/>
                      <a:ext cx="5669280" cy="1763776"/>
                    </a:xfrm>
                    <a:prstGeom prst="rect"/>
                  </pic:spPr>
                </pic:pic>
              </a:graphicData>
            </a:graphic>
          </wp:inline>
        </w:drawing>
      </w:r>
    </w:p>
    <w:p>
      <w:pPr>
        <w:spacing w:after="120"/>
      </w:pPr>
      <w:r>
        <w:rPr>
          <w:rFonts w:ascii="Arial" w:hAnsi="Arial"/>
          <w:b w:val="0"/>
          <w:color w:val="000000"/>
          <w:sz w:val="21"/>
        </w:rPr>
        <w:t>This screenshot demonstrates the use of the Iris validation set for hyperparameter tuning. The script tests three hidden-size and learning-rate configurations, compares validation loss, and selects the model with the lowest validation loss. The test set is kept separate until after tuning, which shows the correct purpose of validation data.</w:t>
      </w:r>
    </w:p>
    <w:p>
      <w:pPr>
        <w:spacing w:after="120"/>
      </w:pPr>
      <w:r>
        <w:rPr>
          <w:rFonts w:ascii="Arial" w:hAnsi="Arial"/>
          <w:b/>
          <w:color w:val="26802D"/>
          <w:sz w:val="26"/>
        </w:rPr>
        <w:t>3.3 Iris inference</w:t>
      </w:r>
    </w:p>
    <w:p>
      <w:pPr>
        <w:spacing w:before="80" w:after="160"/>
        <w:jc w:val="center"/>
      </w:pPr>
      <w:r>
        <w:drawing>
          <wp:inline xmlns:a="http://schemas.openxmlformats.org/drawingml/2006/main" xmlns:pic="http://schemas.openxmlformats.org/drawingml/2006/picture">
            <wp:extent cx="5669280" cy="3149600"/>
            <wp:docPr id="4" name="Picture 4"/>
            <wp:cNvGraphicFramePr>
              <a:graphicFrameLocks noChangeAspect="1"/>
            </wp:cNvGraphicFramePr>
            <a:graphic>
              <a:graphicData uri="http://schemas.openxmlformats.org/drawingml/2006/picture">
                <pic:pic>
                  <pic:nvPicPr>
                    <pic:cNvPr id="0" name="assessment5_iris_inference_result.png"/>
                    <pic:cNvPicPr/>
                  </pic:nvPicPr>
                  <pic:blipFill>
                    <a:blip r:embed="rId14"/>
                    <a:stretch>
                      <a:fillRect/>
                    </a:stretch>
                  </pic:blipFill>
                  <pic:spPr>
                    <a:xfrm>
                      <a:off x="0" y="0"/>
                      <a:ext cx="5669280" cy="3149600"/>
                    </a:xfrm>
                    <a:prstGeom prst="rect"/>
                  </pic:spPr>
                </pic:pic>
              </a:graphicData>
            </a:graphic>
          </wp:inline>
        </w:drawing>
      </w:r>
    </w:p>
    <w:p>
      <w:pPr>
        <w:spacing w:after="120"/>
      </w:pPr>
      <w:r>
        <w:rPr>
          <w:rFonts w:ascii="Arial" w:hAnsi="Arial"/>
          <w:b w:val="0"/>
          <w:color w:val="000000"/>
          <w:sz w:val="21"/>
        </w:rPr>
        <w:t>This screenshot demonstrates deep learning inference using the trained Iris model. The script loads the saved Iris checkpoint, rebuilds the model, runs a held-back Iris example through it and produces class probabilities. The actual class is versicolor and the predicted class is versicolor, so the model is being used for prediction after training.</w:t>
      </w:r>
    </w:p>
    <w:p>
      <w:pPr>
        <w:spacing w:after="120"/>
      </w:pPr>
      <w:r>
        <w:rPr>
          <w:rFonts w:ascii="Arial" w:hAnsi="Arial"/>
          <w:b/>
          <w:color w:val="26802D"/>
          <w:sz w:val="26"/>
        </w:rPr>
        <w:t>3.3 Test-set check</w:t>
      </w:r>
    </w:p>
    <w:p>
      <w:pPr>
        <w:spacing w:before="80" w:after="160"/>
        <w:jc w:val="center"/>
      </w:pPr>
      <w:r>
        <w:drawing>
          <wp:inline xmlns:a="http://schemas.openxmlformats.org/drawingml/2006/main" xmlns:pic="http://schemas.openxmlformats.org/drawingml/2006/picture">
            <wp:extent cx="5669280" cy="4829387"/>
            <wp:docPr id="5" name="Picture 5"/>
            <wp:cNvGraphicFramePr>
              <a:graphicFrameLocks noChangeAspect="1"/>
            </wp:cNvGraphicFramePr>
            <a:graphic>
              <a:graphicData uri="http://schemas.openxmlformats.org/drawingml/2006/picture">
                <pic:pic>
                  <pic:nvPicPr>
                    <pic:cNvPr id="0" name="assessment5_iris_test_confusion_matrix.png"/>
                    <pic:cNvPicPr/>
                  </pic:nvPicPr>
                  <pic:blipFill>
                    <a:blip r:embed="rId15"/>
                    <a:stretch>
                      <a:fillRect/>
                    </a:stretch>
                  </pic:blipFill>
                  <pic:spPr>
                    <a:xfrm>
                      <a:off x="0" y="0"/>
                      <a:ext cx="5669280" cy="4829387"/>
                    </a:xfrm>
                    <a:prstGeom prst="rect"/>
                  </pic:spPr>
                </pic:pic>
              </a:graphicData>
            </a:graphic>
          </wp:inline>
        </w:drawing>
      </w:r>
    </w:p>
    <w:p>
      <w:pPr>
        <w:spacing w:after="120"/>
      </w:pPr>
      <w:r>
        <w:rPr>
          <w:rFonts w:ascii="Arial" w:hAnsi="Arial"/>
          <w:b w:val="0"/>
          <w:color w:val="000000"/>
          <w:sz w:val="21"/>
        </w:rPr>
        <w:t>This screenshot gives extra inference/testing evidence by showing the Iris test confusion matrix. It supports the single inference example by showing held-back test-set performance after validation tuning. The generated summary records Iris test accuracy as 93.33%.</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1F6B2A"/>
          </w:tcPr>
          <w:p>
            <w:r/>
            <w:r>
              <w:rPr>
                <w:rFonts w:ascii="Arial" w:hAnsi="Arial"/>
                <w:b/>
                <w:color w:val="FFFFFF"/>
                <w:sz w:val="17"/>
              </w:rPr>
              <w:t>Upload file</w:t>
            </w:r>
          </w:p>
        </w:tc>
        <w:tc>
          <w:tcPr>
            <w:tcW w:type="dxa" w:w="5184"/>
            <w:vAlign w:val="center"/>
            <w:shd w:fill="1F6B2A"/>
          </w:tcPr>
          <w:p>
            <w:r/>
            <w:r>
              <w:rPr>
                <w:rFonts w:ascii="Arial" w:hAnsi="Arial"/>
                <w:b/>
                <w:color w:val="FFFFFF"/>
                <w:sz w:val="17"/>
              </w:rPr>
              <w:t>Purpose</w:t>
            </w:r>
          </w:p>
        </w:tc>
      </w:tr>
      <w:tr>
        <w:tc>
          <w:tcPr>
            <w:tcW w:type="dxa" w:w="5184"/>
            <w:vAlign w:val="center"/>
            <w:shd w:fill="F3FFF1"/>
          </w:tcPr>
          <w:p>
            <w:r/>
            <w:r>
              <w:rPr>
                <w:rFonts w:ascii="Arial" w:hAnsi="Arial"/>
                <w:b w:val="0"/>
                <w:color w:val="000000"/>
                <w:sz w:val="16"/>
              </w:rPr>
              <w:t>Unit 4 Assessment 5 - SS Evidence Collection - Rob Johnston.docx</w:t>
            </w:r>
          </w:p>
        </w:tc>
        <w:tc>
          <w:tcPr>
            <w:tcW w:type="dxa" w:w="5184"/>
            <w:vAlign w:val="center"/>
            <w:shd w:fill="F3FFF1"/>
          </w:tcPr>
          <w:p>
            <w:r/>
            <w:r>
              <w:rPr>
                <w:rFonts w:ascii="Arial" w:hAnsi="Arial"/>
                <w:b w:val="0"/>
                <w:color w:val="000000"/>
                <w:sz w:val="16"/>
              </w:rPr>
              <w:t>Main evidence document with screenshots/figures and annotations.</w:t>
            </w:r>
          </w:p>
        </w:tc>
      </w:tr>
      <w:tr>
        <w:tc>
          <w:tcPr>
            <w:tcW w:type="dxa" w:w="5184"/>
            <w:vAlign w:val="center"/>
          </w:tcPr>
          <w:p>
            <w:r/>
            <w:r>
              <w:rPr>
                <w:rFonts w:ascii="Arial" w:hAnsi="Arial"/>
                <w:b w:val="0"/>
                <w:color w:val="000000"/>
                <w:sz w:val="16"/>
              </w:rPr>
              <w:t>Unit 4 Assessment 5 - TQUK Observation Record - Rob Johnston.docx</w:t>
            </w:r>
          </w:p>
        </w:tc>
        <w:tc>
          <w:tcPr>
            <w:tcW w:type="dxa" w:w="5184"/>
            <w:vAlign w:val="center"/>
          </w:tcPr>
          <w:p>
            <w:r/>
            <w:r>
              <w:rPr>
                <w:rFonts w:ascii="Arial" w:hAnsi="Arial"/>
                <w:b w:val="0"/>
                <w:color w:val="000000"/>
                <w:sz w:val="16"/>
              </w:rPr>
              <w:t>Tutor observation record prepared for criteria 3.1, 3.2 and 3.3.</w:t>
            </w:r>
          </w:p>
        </w:tc>
      </w:tr>
      <w:tr>
        <w:tc>
          <w:tcPr>
            <w:tcW w:type="dxa" w:w="5184"/>
            <w:vAlign w:val="center"/>
            <w:shd w:fill="F3FFF1"/>
          </w:tcPr>
          <w:p>
            <w:r/>
            <w:r>
              <w:rPr>
                <w:rFonts w:ascii="Arial" w:hAnsi="Arial"/>
                <w:b w:val="0"/>
                <w:color w:val="000000"/>
                <w:sz w:val="16"/>
              </w:rPr>
              <w:t>Unit 4 Assessment 5 - Project Notebook - Rob Johnston.ipynb</w:t>
            </w:r>
          </w:p>
        </w:tc>
        <w:tc>
          <w:tcPr>
            <w:tcW w:type="dxa" w:w="5184"/>
            <w:vAlign w:val="center"/>
            <w:shd w:fill="F3FFF1"/>
          </w:tcPr>
          <w:p>
            <w:r/>
            <w:r>
              <w:rPr>
                <w:rFonts w:ascii="Arial" w:hAnsi="Arial"/>
                <w:b w:val="0"/>
                <w:color w:val="000000"/>
                <w:sz w:val="16"/>
              </w:rPr>
              <w:t>Notebook route evidence showing the script and generated outputs.</w:t>
            </w:r>
          </w:p>
        </w:tc>
      </w:tr>
      <w:tr>
        <w:tc>
          <w:tcPr>
            <w:tcW w:type="dxa" w:w="5184"/>
            <w:vAlign w:val="center"/>
          </w:tcPr>
          <w:p>
            <w:r/>
            <w:r>
              <w:rPr>
                <w:rFonts w:ascii="Arial" w:hAnsi="Arial"/>
                <w:b w:val="0"/>
                <w:color w:val="000000"/>
                <w:sz w:val="16"/>
              </w:rPr>
              <w:t>assessment5_train_validate_infer.py</w:t>
            </w:r>
          </w:p>
        </w:tc>
        <w:tc>
          <w:tcPr>
            <w:tcW w:type="dxa" w:w="5184"/>
            <w:vAlign w:val="center"/>
          </w:tcPr>
          <w:p>
            <w:r/>
            <w:r>
              <w:rPr>
                <w:rFonts w:ascii="Arial" w:hAnsi="Arial"/>
                <w:b w:val="0"/>
                <w:color w:val="000000"/>
                <w:sz w:val="16"/>
              </w:rPr>
              <w:t>Source code for Iris training, synthetic training, validation tuning and inference.</w:t>
            </w:r>
          </w:p>
        </w:tc>
      </w:tr>
      <w:tr>
        <w:tc>
          <w:tcPr>
            <w:tcW w:type="dxa" w:w="5184"/>
            <w:vAlign w:val="center"/>
            <w:shd w:fill="F3FFF1"/>
          </w:tcPr>
          <w:p>
            <w:r/>
            <w:r>
              <w:rPr>
                <w:rFonts w:ascii="Arial" w:hAnsi="Arial"/>
                <w:b w:val="0"/>
                <w:color w:val="000000"/>
                <w:sz w:val="16"/>
              </w:rPr>
              <w:t>outputs folder</w:t>
            </w:r>
          </w:p>
        </w:tc>
        <w:tc>
          <w:tcPr>
            <w:tcW w:type="dxa" w:w="5184"/>
            <w:vAlign w:val="center"/>
            <w:shd w:fill="F3FFF1"/>
          </w:tcPr>
          <w:p>
            <w:r/>
            <w:r>
              <w:rPr>
                <w:rFonts w:ascii="Arial" w:hAnsi="Arial"/>
                <w:b w:val="0"/>
                <w:color w:val="000000"/>
                <w:sz w:val="16"/>
              </w:rPr>
              <w:t>Generated checkpoints, CSV, JSON and image evidence.</w:t>
            </w:r>
          </w:p>
        </w:tc>
      </w:tr>
      <w:tr>
        <w:tc>
          <w:tcPr>
            <w:tcW w:type="dxa" w:w="5184"/>
            <w:vAlign w:val="center"/>
          </w:tcPr>
          <w:p>
            <w:r/>
            <w:r>
              <w:rPr>
                <w:rFonts w:ascii="Arial" w:hAnsi="Arial"/>
                <w:b w:val="0"/>
                <w:color w:val="000000"/>
                <w:sz w:val="16"/>
              </w:rPr>
              <w:t>Unit 4 Assessment 5 - Video Walkthrough.mp4</w:t>
            </w:r>
          </w:p>
        </w:tc>
        <w:tc>
          <w:tcPr>
            <w:tcW w:type="dxa" w:w="5184"/>
            <w:vAlign w:val="center"/>
          </w:tcPr>
          <w:p>
            <w:r/>
            <w:r>
              <w:rPr>
                <w:rFonts w:ascii="Arial" w:hAnsi="Arial"/>
                <w:b w:val="0"/>
                <w:color w:val="000000"/>
                <w:sz w:val="16"/>
              </w:rPr>
              <w:t>Walkthrough video asset.</w:t>
            </w:r>
          </w:p>
        </w:tc>
      </w:tr>
      <w:tr>
        <w:tc>
          <w:tcPr>
            <w:tcW w:type="dxa" w:w="5184"/>
            <w:vAlign w:val="center"/>
            <w:shd w:fill="F3FFF1"/>
          </w:tcPr>
          <w:p>
            <w:r/>
            <w:r>
              <w:rPr>
                <w:rFonts w:ascii="Arial" w:hAnsi="Arial"/>
                <w:b w:val="0"/>
                <w:color w:val="000000"/>
                <w:sz w:val="16"/>
              </w:rPr>
              <w:t>Unit 4 Assessment 5 - Voiceover.mp3</w:t>
            </w:r>
          </w:p>
        </w:tc>
        <w:tc>
          <w:tcPr>
            <w:tcW w:type="dxa" w:w="5184"/>
            <w:vAlign w:val="center"/>
            <w:shd w:fill="F3FFF1"/>
          </w:tcPr>
          <w:p>
            <w:r/>
            <w:r>
              <w:rPr>
                <w:rFonts w:ascii="Arial" w:hAnsi="Arial"/>
                <w:b w:val="0"/>
                <w:color w:val="000000"/>
                <w:sz w:val="16"/>
              </w:rPr>
              <w:t>ElevenLabs voiceover audio asset.</w:t>
            </w:r>
          </w:p>
        </w:tc>
      </w:tr>
    </w:tbl>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05050"/>
        <w:sz w:val="16"/>
      </w:rPr>
      <w:t xml:space="preserve">OG Web.site | www.og-web.site | OG-Website GitHub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078992" cy="523909"/>
          <wp:docPr id="1" name="Picture 1"/>
          <wp:cNvGraphicFramePr>
            <a:graphicFrameLocks noChangeAspect="1"/>
          </wp:cNvGraphicFramePr>
          <a:graphic>
            <a:graphicData uri="http://schemas.openxmlformats.org/drawingml/2006/picture">
              <pic:pic>
                <pic:nvPicPr>
                  <pic:cNvPr id="0" name="logo-header.png"/>
                  <pic:cNvPicPr/>
                </pic:nvPicPr>
                <pic:blipFill>
                  <a:blip r:embed="rId1"/>
                  <a:stretch>
                    <a:fillRect/>
                  </a:stretch>
                </pic:blipFill>
                <pic:spPr>
                  <a:xfrm>
                    <a:off x="0" y="0"/>
                    <a:ext cx="1078992" cy="523909"/>
                  </a:xfrm>
                  <a:prstGeom prst="rect"/>
                </pic:spPr>
              </pic:pic>
            </a:graphicData>
          </a:graphic>
        </wp:inline>
      </w:drawing>
    </w:r>
    <w:r>
      <w:rPr>
        <w:rFonts w:ascii="Arial" w:hAnsi="Arial"/>
        <w:b/>
        <w:color w:val="26802D"/>
        <w:sz w:val="20"/>
      </w:rPr>
      <w:t xml:space="preserve">   Unit 4 Assessment 5 - SS Evidence Collection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