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rFonts w:ascii="Arial" w:hAnsi="Arial"/>
          <w:b/>
          <w:color w:val="26802D"/>
          <w:sz w:val="18"/>
        </w:rPr>
        <w:t>TQUK Observation Record</w:t>
      </w:r>
    </w:p>
    <w:p>
      <w:pPr>
        <w:spacing w:after="120"/>
      </w:pPr>
      <w:r>
        <w:rPr>
          <w:rFonts w:ascii="Arial" w:hAnsi="Arial"/>
          <w:b/>
          <w:color w:val="000000"/>
          <w:sz w:val="36"/>
        </w:rPr>
        <w:t>Unit 4 Assessment 5 - TQUK Observation Record</w:t>
      </w:r>
    </w:p>
    <w:p>
      <w:pPr>
        <w:spacing w:after="120"/>
      </w:pPr>
      <w:r>
        <w:rPr>
          <w:rFonts w:ascii="Arial" w:hAnsi="Arial"/>
          <w:b w:val="0"/>
          <w:color w:val="464646"/>
          <w:sz w:val="20"/>
        </w:rPr>
        <w:t>Rob Johnston | TQUK Level 3 Certificate in AI Programming with Python</w:t>
      </w:r>
    </w:p>
    <w:p>
      <w:pPr>
        <w:spacing w:after="120"/>
      </w:pPr>
      <w:r>
        <w:rPr>
          <w:rFonts w:ascii="Arial" w:hAnsi="Arial"/>
          <w:b/>
          <w:color w:val="26802D"/>
          <w:sz w:val="21"/>
        </w:rPr>
        <w:t>Deep Learning Training Project</w:t>
      </w:r>
    </w:p>
    <w:p>
      <w:pPr>
        <w:spacing w:after="120"/>
      </w:pPr>
      <w:r>
        <w:rPr>
          <w:rFonts w:ascii="Arial" w:hAnsi="Arial"/>
          <w:b w:val="0"/>
          <w:color w:val="464646"/>
          <w:sz w:val="20"/>
        </w:rPr>
        <w:t>Criteria covered: 3.1, 3.2, 3.3</w:t>
      </w:r>
    </w:p>
    <w:p>
      <w:pPr>
        <w:spacing w:after="120"/>
      </w:pPr>
      <w:r>
        <w:rPr>
          <w:rFonts w:ascii="Arial" w:hAnsi="Arial"/>
          <w:b w:val="0"/>
          <w:color w:val="464646"/>
          <w:sz w:val="18"/>
        </w:rPr>
        <w:t>Date: 01/07/2026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vAlign w:val="center"/>
            <w:shd w:fill="1F6B2A"/>
          </w:tcPr>
          <w:p>
            <w:r/>
            <w:r>
              <w:rPr>
                <w:rFonts w:ascii="Arial" w:hAnsi="Arial"/>
                <w:b/>
                <w:color w:val="FFFFFF"/>
                <w:sz w:val="17"/>
              </w:rPr>
              <w:t>Field</w:t>
            </w:r>
          </w:p>
        </w:tc>
        <w:tc>
          <w:tcPr>
            <w:tcW w:type="dxa" w:w="5184"/>
            <w:vAlign w:val="center"/>
            <w:shd w:fill="1F6B2A"/>
          </w:tcPr>
          <w:p>
            <w:r/>
            <w:r>
              <w:rPr>
                <w:rFonts w:ascii="Arial" w:hAnsi="Arial"/>
                <w:b/>
                <w:color w:val="FFFFFF"/>
                <w:sz w:val="17"/>
              </w:rPr>
              <w:t>Entry</w:t>
            </w:r>
          </w:p>
        </w:tc>
      </w:tr>
      <w:tr>
        <w:tc>
          <w:tcPr>
            <w:tcW w:type="dxa" w:w="5184"/>
            <w:vAlign w:val="center"/>
            <w:shd w:fill="F3FFF1"/>
          </w:tcPr>
          <w:p>
            <w:r/>
            <w:r>
              <w:rPr>
                <w:rFonts w:ascii="Arial" w:hAnsi="Arial"/>
                <w:b w:val="0"/>
                <w:color w:val="000000"/>
                <w:sz w:val="16"/>
              </w:rPr>
              <w:t>Learner name</w:t>
            </w:r>
          </w:p>
        </w:tc>
        <w:tc>
          <w:tcPr>
            <w:tcW w:type="dxa" w:w="5184"/>
            <w:vAlign w:val="center"/>
            <w:shd w:fill="F3FFF1"/>
          </w:tcPr>
          <w:p>
            <w:r/>
            <w:r>
              <w:rPr>
                <w:rFonts w:ascii="Arial" w:hAnsi="Arial"/>
                <w:b w:val="0"/>
                <w:color w:val="000000"/>
                <w:sz w:val="16"/>
              </w:rPr>
              <w:t>Rob Johnston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rFonts w:ascii="Arial" w:hAnsi="Arial"/>
                <w:b w:val="0"/>
                <w:color w:val="000000"/>
                <w:sz w:val="16"/>
              </w:rPr>
              <w:t>Qualification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rFonts w:ascii="Arial" w:hAnsi="Arial"/>
                <w:b w:val="0"/>
                <w:color w:val="000000"/>
                <w:sz w:val="16"/>
              </w:rPr>
              <w:t>TQUK Level 3 Certificate in AI Programming with Python</w:t>
            </w:r>
          </w:p>
        </w:tc>
      </w:tr>
      <w:tr>
        <w:tc>
          <w:tcPr>
            <w:tcW w:type="dxa" w:w="5184"/>
            <w:vAlign w:val="center"/>
            <w:shd w:fill="F3FFF1"/>
          </w:tcPr>
          <w:p>
            <w:r/>
            <w:r>
              <w:rPr>
                <w:rFonts w:ascii="Arial" w:hAnsi="Arial"/>
                <w:b w:val="0"/>
                <w:color w:val="000000"/>
                <w:sz w:val="16"/>
              </w:rPr>
              <w:t>Unit</w:t>
            </w:r>
          </w:p>
        </w:tc>
        <w:tc>
          <w:tcPr>
            <w:tcW w:type="dxa" w:w="5184"/>
            <w:vAlign w:val="center"/>
            <w:shd w:fill="F3FFF1"/>
          </w:tcPr>
          <w:p>
            <w:r/>
            <w:r>
              <w:rPr>
                <w:rFonts w:ascii="Arial" w:hAnsi="Arial"/>
                <w:b w:val="0"/>
                <w:color w:val="000000"/>
                <w:sz w:val="16"/>
              </w:rPr>
              <w:t>Deep Learning (D/650/0764, A/650/0763 and Y/650/0762)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rFonts w:ascii="Arial" w:hAnsi="Arial"/>
                <w:b w:val="0"/>
                <w:color w:val="000000"/>
                <w:sz w:val="16"/>
              </w:rPr>
              <w:t>Assessment date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rFonts w:ascii="Arial" w:hAnsi="Arial"/>
                <w:b w:val="0"/>
                <w:color w:val="000000"/>
                <w:sz w:val="16"/>
              </w:rPr>
              <w:t>01/07/2026</w:t>
            </w:r>
          </w:p>
        </w:tc>
      </w:tr>
      <w:tr>
        <w:tc>
          <w:tcPr>
            <w:tcW w:type="dxa" w:w="5184"/>
            <w:vAlign w:val="center"/>
            <w:shd w:fill="F3FFF1"/>
          </w:tcPr>
          <w:p>
            <w:r/>
            <w:r>
              <w:rPr>
                <w:rFonts w:ascii="Arial" w:hAnsi="Arial"/>
                <w:b w:val="0"/>
                <w:color w:val="000000"/>
                <w:sz w:val="16"/>
              </w:rPr>
              <w:t>Prepared for observation</w:t>
            </w:r>
          </w:p>
        </w:tc>
        <w:tc>
          <w:tcPr>
            <w:tcW w:type="dxa" w:w="5184"/>
            <w:vAlign w:val="center"/>
            <w:shd w:fill="F3FFF1"/>
          </w:tcPr>
          <w:p>
            <w:r/>
            <w:r>
              <w:rPr>
                <w:rFonts w:ascii="Arial" w:hAnsi="Arial"/>
                <w:b w:val="0"/>
                <w:color w:val="000000"/>
                <w:sz w:val="16"/>
              </w:rPr>
              <w:t>Yes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vAlign w:val="center"/>
            <w:shd w:fill="1F6B2A"/>
          </w:tcPr>
          <w:p>
            <w:r/>
            <w:r>
              <w:rPr>
                <w:rFonts w:ascii="Arial" w:hAnsi="Arial"/>
                <w:b/>
                <w:color w:val="FFFFFF"/>
                <w:sz w:val="17"/>
              </w:rPr>
              <w:t>Assessment criterion</w:t>
            </w:r>
          </w:p>
        </w:tc>
        <w:tc>
          <w:tcPr>
            <w:tcW w:type="dxa" w:w="5184"/>
            <w:vAlign w:val="center"/>
            <w:shd w:fill="1F6B2A"/>
          </w:tcPr>
          <w:p>
            <w:r/>
            <w:r>
              <w:rPr>
                <w:rFonts w:ascii="Arial" w:hAnsi="Arial"/>
                <w:b/>
                <w:color w:val="FFFFFF"/>
                <w:sz w:val="17"/>
              </w:rPr>
              <w:t>Observed evidence / prepared evidence</w:t>
            </w:r>
          </w:p>
        </w:tc>
      </w:tr>
      <w:tr>
        <w:tc>
          <w:tcPr>
            <w:tcW w:type="dxa" w:w="5184"/>
            <w:vAlign w:val="center"/>
            <w:shd w:fill="F3FFF1"/>
          </w:tcPr>
          <w:p>
            <w:r/>
            <w:r>
              <w:rPr>
                <w:rFonts w:ascii="Arial" w:hAnsi="Arial"/>
                <w:b w:val="0"/>
                <w:color w:val="000000"/>
                <w:sz w:val="16"/>
              </w:rPr>
              <w:t>3.1</w:t>
            </w:r>
          </w:p>
        </w:tc>
        <w:tc>
          <w:tcPr>
            <w:tcW w:type="dxa" w:w="5184"/>
            <w:vAlign w:val="center"/>
            <w:shd w:fill="F3FFF1"/>
          </w:tcPr>
          <w:p>
            <w:r/>
            <w:r>
              <w:rPr>
                <w:rFonts w:ascii="Arial" w:hAnsi="Arial"/>
                <w:b w:val="0"/>
                <w:color w:val="000000"/>
                <w:sz w:val="16"/>
              </w:rPr>
              <w:t>Evidence demonstrates two ways to train a deep learning model: Iris dataset training and synthetic dataset training. The script, notebook, metrics CSV and embedded SS Evidence Collection figures show both training workflows.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rFonts w:ascii="Arial" w:hAnsi="Arial"/>
                <w:b w:val="0"/>
                <w:color w:val="000000"/>
                <w:sz w:val="16"/>
              </w:rPr>
              <w:t>3.2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rFonts w:ascii="Arial" w:hAnsi="Arial"/>
                <w:b w:val="0"/>
                <w:color w:val="000000"/>
                <w:sz w:val="16"/>
              </w:rPr>
              <w:t>Evidence demonstrates validation-set hyperparameter tuning on the Iris dataset. Three hidden-size/learning-rate configurations are compared and the lowest validation loss is selected.</w:t>
            </w:r>
          </w:p>
        </w:tc>
      </w:tr>
      <w:tr>
        <w:tc>
          <w:tcPr>
            <w:tcW w:type="dxa" w:w="5184"/>
            <w:vAlign w:val="center"/>
            <w:shd w:fill="F3FFF1"/>
          </w:tcPr>
          <w:p>
            <w:r/>
            <w:r>
              <w:rPr>
                <w:rFonts w:ascii="Arial" w:hAnsi="Arial"/>
                <w:b w:val="0"/>
                <w:color w:val="000000"/>
                <w:sz w:val="16"/>
              </w:rPr>
              <w:t>3.3</w:t>
            </w:r>
          </w:p>
        </w:tc>
        <w:tc>
          <w:tcPr>
            <w:tcW w:type="dxa" w:w="5184"/>
            <w:vAlign w:val="center"/>
            <w:shd w:fill="F3FFF1"/>
          </w:tcPr>
          <w:p>
            <w:r/>
            <w:r>
              <w:rPr>
                <w:rFonts w:ascii="Arial" w:hAnsi="Arial"/>
                <w:b w:val="0"/>
                <w:color w:val="000000"/>
                <w:sz w:val="16"/>
              </w:rPr>
              <w:t>Evidence demonstrates Iris inference. The saved checkpoint is loaded and the model predicts versicolor for a held-back Iris example.</w:t>
            </w:r>
          </w:p>
        </w:tc>
      </w:tr>
    </w:tbl>
    <w:p/>
    <w:p>
      <w:pPr>
        <w:spacing w:after="120"/>
      </w:pPr>
      <w:r>
        <w:rPr>
          <w:rFonts w:ascii="Arial" w:hAnsi="Arial"/>
          <w:b/>
          <w:color w:val="26802D"/>
          <w:sz w:val="26"/>
        </w:rPr>
        <w:t>Overall Summative Feedback</w:t>
      </w:r>
    </w:p>
    <w:p>
      <w:pPr>
        <w:spacing w:after="120"/>
      </w:pPr>
      <w:r>
        <w:rPr>
          <w:rFonts w:ascii="Arial" w:hAnsi="Arial"/>
          <w:b w:val="0"/>
          <w:color w:val="000000"/>
          <w:sz w:val="21"/>
        </w:rPr>
        <w:t>The prepared evidence demonstrates model training, validation tuning and inference through generated Python outputs, screenshots/figures, notebook evidence and saved checkpoints.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vAlign w:val="center"/>
            <w:shd w:fill="1F6B2A"/>
          </w:tcPr>
          <w:p>
            <w:r/>
            <w:r>
              <w:rPr>
                <w:rFonts w:ascii="Arial" w:hAnsi="Arial"/>
                <w:b/>
                <w:color w:val="FFFFFF"/>
                <w:sz w:val="17"/>
              </w:rPr>
              <w:t>Sign-off field</w:t>
            </w:r>
          </w:p>
        </w:tc>
        <w:tc>
          <w:tcPr>
            <w:tcW w:type="dxa" w:w="5184"/>
            <w:vAlign w:val="center"/>
            <w:shd w:fill="1F6B2A"/>
          </w:tcPr>
          <w:p>
            <w:r/>
            <w:r>
              <w:rPr>
                <w:rFonts w:ascii="Arial" w:hAnsi="Arial"/>
                <w:b/>
                <w:color w:val="FFFFFF"/>
                <w:sz w:val="17"/>
              </w:rPr>
              <w:t>Entry</w:t>
            </w:r>
          </w:p>
        </w:tc>
      </w:tr>
      <w:tr>
        <w:tc>
          <w:tcPr>
            <w:tcW w:type="dxa" w:w="5184"/>
            <w:vAlign w:val="center"/>
            <w:shd w:fill="F3FFF1"/>
          </w:tcPr>
          <w:p>
            <w:r/>
            <w:r>
              <w:rPr>
                <w:rFonts w:ascii="Arial" w:hAnsi="Arial"/>
                <w:b w:val="0"/>
                <w:color w:val="000000"/>
                <w:sz w:val="16"/>
              </w:rPr>
              <w:t>Learner name</w:t>
            </w:r>
          </w:p>
        </w:tc>
        <w:tc>
          <w:tcPr>
            <w:tcW w:type="dxa" w:w="5184"/>
            <w:vAlign w:val="center"/>
            <w:shd w:fill="F3FFF1"/>
          </w:tcPr>
          <w:p>
            <w:r/>
            <w:r>
              <w:rPr>
                <w:rFonts w:ascii="Arial" w:hAnsi="Arial"/>
                <w:b w:val="0"/>
                <w:color w:val="000000"/>
                <w:sz w:val="16"/>
              </w:rPr>
              <w:t>Rob Johnston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rFonts w:ascii="Arial" w:hAnsi="Arial"/>
                <w:b w:val="0"/>
                <w:color w:val="000000"/>
                <w:sz w:val="16"/>
              </w:rPr>
              <w:t>Learner signature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rFonts w:ascii="Arial" w:hAnsi="Arial"/>
                <w:b w:val="0"/>
                <w:color w:val="000000"/>
                <w:sz w:val="16"/>
              </w:rPr>
            </w:r>
          </w:p>
        </w:tc>
      </w:tr>
      <w:tr>
        <w:tc>
          <w:tcPr>
            <w:tcW w:type="dxa" w:w="5184"/>
            <w:vAlign w:val="center"/>
            <w:shd w:fill="F3FFF1"/>
          </w:tcPr>
          <w:p>
            <w:r/>
            <w:r>
              <w:rPr>
                <w:rFonts w:ascii="Arial" w:hAnsi="Arial"/>
                <w:b w:val="0"/>
                <w:color w:val="000000"/>
                <w:sz w:val="16"/>
              </w:rPr>
              <w:t>Assessor name</w:t>
            </w:r>
          </w:p>
        </w:tc>
        <w:tc>
          <w:tcPr>
            <w:tcW w:type="dxa" w:w="5184"/>
            <w:vAlign w:val="center"/>
            <w:shd w:fill="F3FFF1"/>
          </w:tcPr>
          <w:p>
            <w:r/>
            <w:r>
              <w:rPr>
                <w:rFonts w:ascii="Arial" w:hAnsi="Arial"/>
                <w:b w:val="0"/>
                <w:color w:val="000000"/>
                <w:sz w:val="16"/>
              </w:rPr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rFonts w:ascii="Arial" w:hAnsi="Arial"/>
                <w:b w:val="0"/>
                <w:color w:val="000000"/>
                <w:sz w:val="16"/>
              </w:rPr>
              <w:t>Assessor signature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rFonts w:ascii="Arial" w:hAnsi="Arial"/>
                <w:b w:val="0"/>
                <w:color w:val="000000"/>
                <w:sz w:val="16"/>
              </w:rPr>
            </w:r>
          </w:p>
        </w:tc>
      </w:tr>
      <w:tr>
        <w:tc>
          <w:tcPr>
            <w:tcW w:type="dxa" w:w="5184"/>
            <w:vAlign w:val="center"/>
            <w:shd w:fill="F3FFF1"/>
          </w:tcPr>
          <w:p>
            <w:r/>
            <w:r>
              <w:rPr>
                <w:rFonts w:ascii="Arial" w:hAnsi="Arial"/>
                <w:b w:val="0"/>
                <w:color w:val="000000"/>
                <w:sz w:val="16"/>
              </w:rPr>
              <w:t>Date</w:t>
            </w:r>
          </w:p>
        </w:tc>
        <w:tc>
          <w:tcPr>
            <w:tcW w:type="dxa" w:w="5184"/>
            <w:vAlign w:val="center"/>
            <w:shd w:fill="F3FFF1"/>
          </w:tcPr>
          <w:p>
            <w:r/>
            <w:r>
              <w:rPr>
                <w:rFonts w:ascii="Arial" w:hAnsi="Arial"/>
                <w:b w:val="0"/>
                <w:color w:val="000000"/>
                <w:sz w:val="16"/>
              </w:rPr>
              <w:t>01/07/2026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505050"/>
        <w:sz w:val="16"/>
      </w:rPr>
      <w:t xml:space="preserve">TQUK Observation Record | Page 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Arial" w:hAnsi="Arial"/>
        <w:b/>
        <w:color w:val="26802D"/>
        <w:sz w:val="20"/>
      </w:rPr>
      <w:t xml:space="preserve">   Unit 4 Assessment 5 - TQUK Observation Record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