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sz w:val="20"/>
        </w:rPr>
        <w:t>Unit 4 Lesson 5 Deep Learning Training Project Observation Record</w:t>
      </w:r>
    </w:p>
    <w:p>
      <w:pPr>
        <w:jc w:val="left"/>
      </w:pPr>
      <w:r>
        <w:rPr>
          <w:rFonts w:ascii="Arial" w:hAnsi="Arial"/>
          <w:b/>
          <w:color w:val="00723A"/>
          <w:sz w:val="44"/>
        </w:rPr>
        <w:t>Unit 4 Lesson 5 - Deep Learning Training Project</w:t>
      </w:r>
    </w:p>
    <w:p>
      <w:r>
        <w:rPr>
          <w:rFonts w:ascii="Arial" w:hAnsi="Arial"/>
          <w:sz w:val="20"/>
        </w:rPr>
        <w:t>TQUK Observation Record for Iris dataset training, validation-set hyperparameter tuning and inference evidence.</w:t>
      </w:r>
    </w:p>
    <w:tbl>
      <w:tblPr>
        <w:tblW w:type="auto" w:w="0"/>
        <w:jc w:val="center"/>
        <w:tblLook w:firstColumn="1" w:firstRow="1" w:lastColumn="0" w:lastRow="0" w:noHBand="0" w:noVBand="1" w:val="04A0"/>
      </w:tblPr>
      <w:tblGrid>
        <w:gridCol w:w="5184"/>
        <w:gridCol w:w="5184"/>
      </w:tblGrid>
      <w:tr>
        <w:tc>
          <w:tcPr>
            <w:tcW w:type="dxa" w:w="5184"/>
            <w:vAlign w:val="center"/>
            <w:shd w:fill="000000"/>
          </w:tcPr>
          <w:p>
            <w:r>
              <w:rPr>
                <w:rFonts w:ascii="Arial" w:hAnsi="Arial"/>
                <w:b/>
                <w:color w:val="FFFFFF"/>
                <w:sz w:val="19"/>
              </w:rPr>
            </w:r>
            <w:r>
              <w:rPr>
                <w:rFonts w:ascii="Arial" w:hAnsi="Arial"/>
                <w:b/>
                <w:color w:val="FFFFFF"/>
                <w:sz w:val="19"/>
              </w:rPr>
              <w:t>Document type</w:t>
            </w:r>
          </w:p>
        </w:tc>
        <w:tc>
          <w:tcPr>
            <w:tcW w:type="dxa" w:w="5184"/>
            <w:vAlign w:val="center"/>
            <w:shd w:fill="000000"/>
          </w:tcPr>
          <w:p>
            <w:r>
              <w:rPr>
                <w:rFonts w:ascii="Arial" w:hAnsi="Arial"/>
                <w:b/>
                <w:color w:val="FFFFFF"/>
                <w:sz w:val="19"/>
              </w:rPr>
            </w:r>
            <w:r>
              <w:rPr>
                <w:rFonts w:ascii="Arial" w:hAnsi="Arial"/>
                <w:b/>
                <w:color w:val="FFFFFF"/>
                <w:sz w:val="19"/>
              </w:rPr>
              <w:t>TQUK Observation Record</w:t>
            </w:r>
          </w:p>
        </w:tc>
      </w:tr>
      <w:tr>
        <w:tc>
          <w:tcPr>
            <w:tcW w:type="dxa" w:w="5184"/>
            <w:vAlign w:val="center"/>
            <w:shd w:fill="EEF7EC"/>
          </w:tcPr>
          <w:p>
            <w:r>
              <w:rPr>
                <w:rFonts w:ascii="Arial" w:hAnsi="Arial"/>
                <w:sz w:val="19"/>
              </w:rPr>
            </w:r>
            <w:r>
              <w:rPr>
                <w:rFonts w:ascii="Arial" w:hAnsi="Arial"/>
                <w:b w:val="0"/>
                <w:sz w:val="19"/>
              </w:rPr>
              <w:t>Learner</w:t>
            </w:r>
          </w:p>
        </w:tc>
        <w:tc>
          <w:tcPr>
            <w:tcW w:type="dxa" w:w="5184"/>
            <w:vAlign w:val="center"/>
            <w:shd w:fill="EEF7EC"/>
          </w:tcPr>
          <w:p>
            <w:r>
              <w:rPr>
                <w:rFonts w:ascii="Arial" w:hAnsi="Arial"/>
                <w:sz w:val="19"/>
              </w:rPr>
            </w:r>
            <w:r>
              <w:rPr>
                <w:rFonts w:ascii="Arial" w:hAnsi="Arial"/>
                <w:b w:val="0"/>
                <w:sz w:val="19"/>
              </w:rPr>
              <w:t>Rob Johnston</w:t>
            </w:r>
          </w:p>
        </w:tc>
      </w:tr>
      <w:tr>
        <w:tc>
          <w:tcPr>
            <w:tcW w:type="dxa" w:w="5184"/>
            <w:vAlign w:val="center"/>
            <w:shd w:fill="EEF7EC"/>
          </w:tcPr>
          <w:p>
            <w:r>
              <w:rPr>
                <w:rFonts w:ascii="Arial" w:hAnsi="Arial"/>
                <w:sz w:val="19"/>
              </w:rPr>
            </w:r>
            <w:r>
              <w:rPr>
                <w:rFonts w:ascii="Arial" w:hAnsi="Arial"/>
                <w:b w:val="0"/>
                <w:sz w:val="19"/>
              </w:rPr>
              <w:t>Unit</w:t>
            </w:r>
          </w:p>
        </w:tc>
        <w:tc>
          <w:tcPr>
            <w:tcW w:type="dxa" w:w="5184"/>
            <w:vAlign w:val="center"/>
            <w:shd w:fill="EEF7EC"/>
          </w:tcPr>
          <w:p>
            <w:r>
              <w:rPr>
                <w:rFonts w:ascii="Arial" w:hAnsi="Arial"/>
                <w:sz w:val="19"/>
              </w:rPr>
            </w:r>
            <w:r>
              <w:rPr>
                <w:rFonts w:ascii="Arial" w:hAnsi="Arial"/>
                <w:b w:val="0"/>
                <w:sz w:val="19"/>
              </w:rPr>
              <w:t>Unit 4 - Deep Learning</w:t>
            </w:r>
          </w:p>
        </w:tc>
      </w:tr>
      <w:tr>
        <w:tc>
          <w:tcPr>
            <w:tcW w:type="dxa" w:w="5184"/>
            <w:vAlign w:val="center"/>
            <w:shd w:fill="EEF7EC"/>
          </w:tcPr>
          <w:p>
            <w:r>
              <w:rPr>
                <w:rFonts w:ascii="Arial" w:hAnsi="Arial"/>
                <w:sz w:val="19"/>
              </w:rPr>
            </w:r>
            <w:r>
              <w:rPr>
                <w:rFonts w:ascii="Arial" w:hAnsi="Arial"/>
                <w:b w:val="0"/>
                <w:sz w:val="19"/>
              </w:rPr>
              <w:t>Assessment</w:t>
            </w:r>
          </w:p>
        </w:tc>
        <w:tc>
          <w:tcPr>
            <w:tcW w:type="dxa" w:w="5184"/>
            <w:vAlign w:val="center"/>
            <w:shd w:fill="EEF7EC"/>
          </w:tcPr>
          <w:p>
            <w:r>
              <w:rPr>
                <w:rFonts w:ascii="Arial" w:hAnsi="Arial"/>
                <w:sz w:val="19"/>
              </w:rPr>
            </w:r>
            <w:r>
              <w:rPr>
                <w:rFonts w:ascii="Arial" w:hAnsi="Arial"/>
                <w:b w:val="0"/>
                <w:sz w:val="19"/>
              </w:rPr>
              <w:t>Lesson 5 - Deep Learning Training Project</w:t>
            </w:r>
          </w:p>
        </w:tc>
      </w:tr>
      <w:tr>
        <w:tc>
          <w:tcPr>
            <w:tcW w:type="dxa" w:w="5184"/>
            <w:vAlign w:val="center"/>
            <w:shd w:fill="EEF7EC"/>
          </w:tcPr>
          <w:p>
            <w:r>
              <w:rPr>
                <w:rFonts w:ascii="Arial" w:hAnsi="Arial"/>
                <w:sz w:val="19"/>
              </w:rPr>
            </w:r>
            <w:r>
              <w:rPr>
                <w:rFonts w:ascii="Arial" w:hAnsi="Arial"/>
                <w:b w:val="0"/>
                <w:sz w:val="19"/>
              </w:rPr>
              <w:t>Submission pack</w:t>
            </w:r>
          </w:p>
        </w:tc>
        <w:tc>
          <w:tcPr>
            <w:tcW w:type="dxa" w:w="5184"/>
            <w:vAlign w:val="center"/>
            <w:shd w:fill="EEF7EC"/>
          </w:tcPr>
          <w:p>
            <w:r>
              <w:rPr>
                <w:rFonts w:ascii="Arial" w:hAnsi="Arial"/>
                <w:sz w:val="19"/>
              </w:rPr>
            </w:r>
            <w:r>
              <w:rPr>
                <w:rFonts w:ascii="Arial" w:hAnsi="Arial"/>
                <w:b w:val="0"/>
                <w:sz w:val="19"/>
              </w:rPr>
              <w:t>Unit 4 Assessment 5 - Submission Pack - Rob Johnston.zip</w:t>
            </w:r>
          </w:p>
        </w:tc>
      </w:tr>
      <w:tr>
        <w:tc>
          <w:tcPr>
            <w:tcW w:type="dxa" w:w="5184"/>
            <w:vAlign w:val="center"/>
            <w:shd w:fill="EEF7EC"/>
          </w:tcPr>
          <w:p>
            <w:r>
              <w:rPr>
                <w:rFonts w:ascii="Arial" w:hAnsi="Arial"/>
                <w:sz w:val="19"/>
              </w:rPr>
            </w:r>
            <w:r>
              <w:rPr>
                <w:rFonts w:ascii="Arial" w:hAnsi="Arial"/>
                <w:b w:val="0"/>
                <w:sz w:val="19"/>
              </w:rPr>
              <w:t>Evidence focus</w:t>
            </w:r>
          </w:p>
        </w:tc>
        <w:tc>
          <w:tcPr>
            <w:tcW w:type="dxa" w:w="5184"/>
            <w:vAlign w:val="center"/>
            <w:shd w:fill="EEF7EC"/>
          </w:tcPr>
          <w:p>
            <w:r>
              <w:rPr>
                <w:rFonts w:ascii="Arial" w:hAnsi="Arial"/>
                <w:sz w:val="19"/>
              </w:rPr>
            </w:r>
            <w:r>
              <w:rPr>
                <w:rFonts w:ascii="Arial" w:hAnsi="Arial"/>
                <w:b w:val="0"/>
                <w:sz w:val="19"/>
              </w:rPr>
              <w:t>Iris dataset training, validation tuning and inference</w:t>
            </w:r>
          </w:p>
        </w:tc>
      </w:tr>
    </w:tbl>
    <w:p/>
    <w:tbl>
      <w:tblPr>
        <w:tblW w:type="auto" w:w="0"/>
        <w:jc w:val="center"/>
        <w:tblLook w:firstColumn="1" w:firstRow="1" w:lastColumn="0" w:lastRow="0" w:noHBand="0" w:noVBand="1" w:val="04A0"/>
      </w:tblPr>
      <w:tblGrid>
        <w:gridCol w:w="5184"/>
        <w:gridCol w:w="5184"/>
      </w:tblGrid>
      <w:tr>
        <w:tc>
          <w:tcPr>
            <w:tcW w:type="dxa" w:w="5184"/>
            <w:vAlign w:val="center"/>
            <w:shd w:fill="000000"/>
          </w:tcPr>
          <w:p>
            <w:r>
              <w:rPr>
                <w:rFonts w:ascii="Arial" w:hAnsi="Arial"/>
                <w:b/>
                <w:color w:val="FFFFFF"/>
                <w:sz w:val="19"/>
              </w:rPr>
            </w:r>
            <w:r>
              <w:rPr>
                <w:rFonts w:ascii="Arial" w:hAnsi="Arial"/>
                <w:b/>
                <w:color w:val="FFFFFF"/>
                <w:sz w:val="19"/>
              </w:rPr>
              <w:t>Learner Name</w:t>
            </w:r>
          </w:p>
        </w:tc>
        <w:tc>
          <w:tcPr>
            <w:tcW w:type="dxa" w:w="5184"/>
            <w:vAlign w:val="center"/>
            <w:shd w:fill="000000"/>
          </w:tcPr>
          <w:p>
            <w:r>
              <w:rPr>
                <w:rFonts w:ascii="Arial" w:hAnsi="Arial"/>
                <w:b/>
                <w:color w:val="FFFFFF"/>
                <w:sz w:val="19"/>
              </w:rPr>
            </w:r>
            <w:r>
              <w:rPr>
                <w:rFonts w:ascii="Arial" w:hAnsi="Arial"/>
                <w:b/>
                <w:color w:val="FFFFFF"/>
                <w:sz w:val="19"/>
              </w:rPr>
              <w:t>Rob Johnston</w:t>
            </w:r>
          </w:p>
        </w:tc>
      </w:tr>
      <w:tr>
        <w:tc>
          <w:tcPr>
            <w:tcW w:type="dxa" w:w="5184"/>
            <w:vAlign w:val="center"/>
            <w:shd w:fill="EEF7EC"/>
          </w:tcPr>
          <w:p>
            <w:r>
              <w:rPr>
                <w:rFonts w:ascii="Arial" w:hAnsi="Arial"/>
                <w:sz w:val="19"/>
              </w:rPr>
            </w:r>
            <w:r>
              <w:rPr>
                <w:rFonts w:ascii="Arial" w:hAnsi="Arial"/>
                <w:b w:val="0"/>
                <w:sz w:val="19"/>
              </w:rPr>
              <w:t>Unit Name</w:t>
            </w:r>
          </w:p>
        </w:tc>
        <w:tc>
          <w:tcPr>
            <w:tcW w:type="dxa" w:w="5184"/>
            <w:vAlign w:val="center"/>
            <w:shd w:fill="EEF7EC"/>
          </w:tcPr>
          <w:p>
            <w:r>
              <w:rPr>
                <w:rFonts w:ascii="Arial" w:hAnsi="Arial"/>
                <w:sz w:val="19"/>
              </w:rPr>
            </w:r>
            <w:r>
              <w:rPr>
                <w:rFonts w:ascii="Arial" w:hAnsi="Arial"/>
                <w:b w:val="0"/>
                <w:sz w:val="19"/>
              </w:rPr>
              <w:t>Unit 4 - Deep Learning</w:t>
            </w:r>
          </w:p>
        </w:tc>
      </w:tr>
      <w:tr>
        <w:tc>
          <w:tcPr>
            <w:tcW w:type="dxa" w:w="5184"/>
            <w:vAlign w:val="center"/>
            <w:shd w:fill="EEF7EC"/>
          </w:tcPr>
          <w:p>
            <w:r>
              <w:rPr>
                <w:rFonts w:ascii="Arial" w:hAnsi="Arial"/>
                <w:sz w:val="19"/>
              </w:rPr>
            </w:r>
            <w:r>
              <w:rPr>
                <w:rFonts w:ascii="Arial" w:hAnsi="Arial"/>
                <w:b w:val="0"/>
                <w:sz w:val="19"/>
              </w:rPr>
              <w:t>Assessment Name</w:t>
            </w:r>
          </w:p>
        </w:tc>
        <w:tc>
          <w:tcPr>
            <w:tcW w:type="dxa" w:w="5184"/>
            <w:vAlign w:val="center"/>
            <w:shd w:fill="EEF7EC"/>
          </w:tcPr>
          <w:p>
            <w:r>
              <w:rPr>
                <w:rFonts w:ascii="Arial" w:hAnsi="Arial"/>
                <w:sz w:val="19"/>
              </w:rPr>
            </w:r>
            <w:r>
              <w:rPr>
                <w:rFonts w:ascii="Arial" w:hAnsi="Arial"/>
                <w:b w:val="0"/>
                <w:sz w:val="19"/>
              </w:rPr>
              <w:t>Lesson 5 - Deep Learning Training Project</w:t>
            </w:r>
          </w:p>
        </w:tc>
      </w:tr>
      <w:tr>
        <w:tc>
          <w:tcPr>
            <w:tcW w:type="dxa" w:w="5184"/>
            <w:vAlign w:val="center"/>
            <w:shd w:fill="EEF7EC"/>
          </w:tcPr>
          <w:p>
            <w:r>
              <w:rPr>
                <w:rFonts w:ascii="Arial" w:hAnsi="Arial"/>
                <w:sz w:val="19"/>
              </w:rPr>
            </w:r>
            <w:r>
              <w:rPr>
                <w:rFonts w:ascii="Arial" w:hAnsi="Arial"/>
                <w:b w:val="0"/>
                <w:sz w:val="19"/>
              </w:rPr>
              <w:t>Tutor/Assessor Name</w:t>
            </w:r>
          </w:p>
        </w:tc>
        <w:tc>
          <w:tcPr>
            <w:tcW w:type="dxa" w:w="5184"/>
            <w:vAlign w:val="center"/>
            <w:shd w:fill="EEF7EC"/>
          </w:tcPr>
          <w:p>
            <w:r>
              <w:rPr>
                <w:rFonts w:ascii="Arial" w:hAnsi="Arial"/>
                <w:sz w:val="19"/>
              </w:rPr>
            </w:r>
            <w:r>
              <w:rPr>
                <w:rFonts w:ascii="Arial" w:hAnsi="Arial"/>
                <w:b w:val="0"/>
                <w:sz w:val="19"/>
              </w:rPr>
              <w:t>Mohammad Ali Afgan</w:t>
            </w:r>
          </w:p>
        </w:tc>
      </w:tr>
      <w:tr>
        <w:tc>
          <w:tcPr>
            <w:tcW w:type="dxa" w:w="5184"/>
            <w:vAlign w:val="center"/>
            <w:shd w:fill="EEF7EC"/>
          </w:tcPr>
          <w:p>
            <w:r>
              <w:rPr>
                <w:rFonts w:ascii="Arial" w:hAnsi="Arial"/>
                <w:sz w:val="19"/>
              </w:rPr>
            </w:r>
            <w:r>
              <w:rPr>
                <w:rFonts w:ascii="Arial" w:hAnsi="Arial"/>
                <w:b w:val="0"/>
                <w:sz w:val="19"/>
              </w:rPr>
              <w:t>Date</w:t>
            </w:r>
          </w:p>
        </w:tc>
        <w:tc>
          <w:tcPr>
            <w:tcW w:type="dxa" w:w="5184"/>
            <w:vAlign w:val="center"/>
            <w:shd w:fill="EEF7EC"/>
          </w:tcPr>
          <w:p>
            <w:r>
              <w:rPr>
                <w:rFonts w:ascii="Arial" w:hAnsi="Arial"/>
                <w:sz w:val="19"/>
              </w:rPr>
            </w:r>
            <w:r>
              <w:rPr>
                <w:rFonts w:ascii="Arial" w:hAnsi="Arial"/>
                <w:b w:val="0"/>
                <w:sz w:val="19"/>
              </w:rPr>
              <w:t>2 July 2026</w:t>
            </w:r>
          </w:p>
        </w:tc>
      </w:tr>
      <w:tr>
        <w:tc>
          <w:tcPr>
            <w:tcW w:type="dxa" w:w="5184"/>
            <w:vAlign w:val="center"/>
            <w:shd w:fill="EEF7EC"/>
          </w:tcPr>
          <w:p>
            <w:r>
              <w:rPr>
                <w:rFonts w:ascii="Arial" w:hAnsi="Arial"/>
                <w:sz w:val="19"/>
              </w:rPr>
            </w:r>
            <w:r>
              <w:rPr>
                <w:rFonts w:ascii="Arial" w:hAnsi="Arial"/>
                <w:b w:val="0"/>
                <w:sz w:val="19"/>
              </w:rPr>
              <w:t>Evidence Type</w:t>
            </w:r>
          </w:p>
        </w:tc>
        <w:tc>
          <w:tcPr>
            <w:tcW w:type="dxa" w:w="5184"/>
            <w:vAlign w:val="center"/>
            <w:shd w:fill="EEF7EC"/>
          </w:tcPr>
          <w:p>
            <w:r>
              <w:rPr>
                <w:rFonts w:ascii="Arial" w:hAnsi="Arial"/>
                <w:sz w:val="19"/>
              </w:rPr>
            </w:r>
            <w:r>
              <w:rPr>
                <w:rFonts w:ascii="Arial" w:hAnsi="Arial"/>
                <w:b w:val="0"/>
                <w:sz w:val="19"/>
              </w:rPr>
              <w:t>TQUK Observation Record supporting project evidence</w:t>
            </w:r>
          </w:p>
        </w:tc>
      </w:tr>
      <w:tr>
        <w:tc>
          <w:tcPr>
            <w:tcW w:type="dxa" w:w="5184"/>
            <w:vAlign w:val="center"/>
            <w:shd w:fill="EEF7EC"/>
          </w:tcPr>
          <w:p>
            <w:r>
              <w:rPr>
                <w:rFonts w:ascii="Arial" w:hAnsi="Arial"/>
                <w:sz w:val="19"/>
              </w:rPr>
            </w:r>
            <w:r>
              <w:rPr>
                <w:rFonts w:ascii="Arial" w:hAnsi="Arial"/>
                <w:b w:val="0"/>
                <w:sz w:val="19"/>
              </w:rPr>
              <w:t>Criteria Covered</w:t>
            </w:r>
          </w:p>
        </w:tc>
        <w:tc>
          <w:tcPr>
            <w:tcW w:type="dxa" w:w="5184"/>
            <w:vAlign w:val="center"/>
            <w:shd w:fill="EEF7EC"/>
          </w:tcPr>
          <w:p>
            <w:r>
              <w:rPr>
                <w:rFonts w:ascii="Arial" w:hAnsi="Arial"/>
                <w:sz w:val="19"/>
              </w:rPr>
            </w:r>
            <w:r>
              <w:rPr>
                <w:rFonts w:ascii="Arial" w:hAnsi="Arial"/>
                <w:b w:val="0"/>
                <w:sz w:val="19"/>
              </w:rPr>
              <w:t>3.1, 3.2 and 3.3</w:t>
            </w:r>
          </w:p>
        </w:tc>
      </w:tr>
    </w:tbl>
    <w:p>
      <w:r>
        <w:br w:type="page"/>
      </w:r>
    </w:p>
    <w:p>
      <w:pPr>
        <w:jc w:val="center"/>
      </w:pPr>
      <w:r>
        <w:rPr>
          <w:rFonts w:ascii="Arial" w:hAnsi="Arial"/>
          <w:b/>
          <w:color w:val="00723A"/>
          <w:sz w:val="36"/>
        </w:rPr>
        <w:t>TQUK Observation Record</w:t>
      </w:r>
    </w:p>
    <w:tbl>
      <w:tblPr>
        <w:tblW w:type="auto" w:w="0"/>
        <w:jc w:val="center"/>
        <w:tblLook w:firstColumn="1" w:firstRow="1" w:lastColumn="0" w:lastRow="0" w:noHBand="0" w:noVBand="1" w:val="04A0"/>
      </w:tblPr>
      <w:tblGrid>
        <w:gridCol w:w="3456"/>
        <w:gridCol w:w="3456"/>
        <w:gridCol w:w="3456"/>
      </w:tblGrid>
      <w:tr>
        <w:tc>
          <w:tcPr>
            <w:tcW w:type="dxa" w:w="3456"/>
            <w:vAlign w:val="center"/>
            <w:shd w:fill="000000"/>
          </w:tcPr>
          <w:p>
            <w:r>
              <w:rPr>
                <w:rFonts w:ascii="Arial" w:hAnsi="Arial"/>
                <w:b/>
                <w:color w:val="FFFFFF"/>
                <w:sz w:val="19"/>
              </w:rPr>
            </w:r>
            <w:r>
              <w:rPr>
                <w:rFonts w:ascii="Arial" w:hAnsi="Arial"/>
                <w:b/>
                <w:color w:val="FFFFFF"/>
                <w:sz w:val="19"/>
              </w:rPr>
              <w:t>Criterion</w:t>
            </w:r>
          </w:p>
        </w:tc>
        <w:tc>
          <w:tcPr>
            <w:tcW w:type="dxa" w:w="3456"/>
            <w:vAlign w:val="center"/>
            <w:shd w:fill="000000"/>
          </w:tcPr>
          <w:p>
            <w:r>
              <w:rPr>
                <w:rFonts w:ascii="Arial" w:hAnsi="Arial"/>
                <w:b/>
                <w:color w:val="FFFFFF"/>
                <w:sz w:val="19"/>
              </w:rPr>
            </w:r>
            <w:r>
              <w:rPr>
                <w:rFonts w:ascii="Arial" w:hAnsi="Arial"/>
                <w:b/>
                <w:color w:val="FFFFFF"/>
                <w:sz w:val="19"/>
              </w:rPr>
              <w:t>Observed / prepared evidence</w:t>
            </w:r>
          </w:p>
        </w:tc>
        <w:tc>
          <w:tcPr>
            <w:tcW w:type="dxa" w:w="3456"/>
            <w:vAlign w:val="center"/>
            <w:shd w:fill="000000"/>
          </w:tcPr>
          <w:p>
            <w:r>
              <w:rPr>
                <w:rFonts w:ascii="Arial" w:hAnsi="Arial"/>
                <w:b/>
                <w:color w:val="FFFFFF"/>
                <w:sz w:val="19"/>
              </w:rPr>
            </w:r>
            <w:r>
              <w:rPr>
                <w:rFonts w:ascii="Arial" w:hAnsi="Arial"/>
                <w:b/>
                <w:color w:val="FFFFFF"/>
                <w:sz w:val="19"/>
              </w:rPr>
              <w:t>Status</w:t>
            </w:r>
          </w:p>
        </w:tc>
      </w:tr>
      <w:tr>
        <w:tc>
          <w:tcPr>
            <w:tcW w:type="dxa" w:w="3456"/>
            <w:vAlign w:val="center"/>
            <w:shd w:fill="EEF7EC"/>
          </w:tcPr>
          <w:p>
            <w:r>
              <w:rPr>
                <w:rFonts w:ascii="Arial" w:hAnsi="Arial"/>
                <w:sz w:val="19"/>
              </w:rPr>
            </w:r>
            <w:r>
              <w:rPr>
                <w:rFonts w:ascii="Arial" w:hAnsi="Arial"/>
                <w:b w:val="0"/>
                <w:sz w:val="19"/>
              </w:rPr>
              <w:t>3.1</w:t>
            </w:r>
          </w:p>
        </w:tc>
        <w:tc>
          <w:tcPr>
            <w:tcW w:type="dxa" w:w="3456"/>
            <w:vAlign w:val="center"/>
            <w:shd w:fill="EEF7EC"/>
          </w:tcPr>
          <w:p>
            <w:r>
              <w:t>Two training routes are shown: a baseline Iris neural network and a validation-tuned Iris neural network.</w:t>
            </w:r>
          </w:p>
        </w:tc>
        <w:tc>
          <w:tcPr>
            <w:tcW w:type="dxa" w:w="3456"/>
            <w:vAlign w:val="center"/>
            <w:shd w:fill="EEF7EC"/>
          </w:tcPr>
          <w:p>
            <w:r>
              <w:rPr>
                <w:rFonts w:ascii="Arial" w:hAnsi="Arial"/>
                <w:sz w:val="19"/>
              </w:rPr>
            </w:r>
            <w:r>
              <w:rPr>
                <w:rFonts w:ascii="Arial" w:hAnsi="Arial"/>
                <w:b w:val="0"/>
                <w:sz w:val="19"/>
              </w:rPr>
              <w:t>Prepared</w:t>
            </w:r>
          </w:p>
        </w:tc>
      </w:tr>
      <w:tr>
        <w:tc>
          <w:tcPr>
            <w:tcW w:type="dxa" w:w="3456"/>
            <w:vAlign w:val="center"/>
            <w:shd w:fill="EEF7EC"/>
          </w:tcPr>
          <w:p>
            <w:r>
              <w:rPr>
                <w:rFonts w:ascii="Arial" w:hAnsi="Arial"/>
                <w:sz w:val="19"/>
              </w:rPr>
            </w:r>
            <w:r>
              <w:rPr>
                <w:rFonts w:ascii="Arial" w:hAnsi="Arial"/>
                <w:b w:val="0"/>
                <w:sz w:val="19"/>
              </w:rPr>
              <w:t>3.2</w:t>
            </w:r>
          </w:p>
        </w:tc>
        <w:tc>
          <w:tcPr>
            <w:tcW w:type="dxa" w:w="3456"/>
            <w:vAlign w:val="center"/>
            <w:shd w:fill="EEF7EC"/>
          </w:tcPr>
          <w:p>
            <w:r>
              <w:t>Validation loss is used to compare hidden-size and learning-rate settings before the final test check.</w:t>
            </w:r>
          </w:p>
        </w:tc>
        <w:tc>
          <w:tcPr>
            <w:tcW w:type="dxa" w:w="3456"/>
            <w:vAlign w:val="center"/>
            <w:shd w:fill="EEF7EC"/>
          </w:tcPr>
          <w:p>
            <w:r>
              <w:rPr>
                <w:rFonts w:ascii="Arial" w:hAnsi="Arial"/>
                <w:sz w:val="19"/>
              </w:rPr>
            </w:r>
            <w:r>
              <w:rPr>
                <w:rFonts w:ascii="Arial" w:hAnsi="Arial"/>
                <w:b w:val="0"/>
                <w:sz w:val="19"/>
              </w:rPr>
              <w:t>Prepared</w:t>
            </w:r>
          </w:p>
        </w:tc>
      </w:tr>
      <w:tr>
        <w:tc>
          <w:tcPr>
            <w:tcW w:type="dxa" w:w="3456"/>
            <w:vAlign w:val="center"/>
            <w:shd w:fill="EEF7EC"/>
          </w:tcPr>
          <w:p>
            <w:r>
              <w:rPr>
                <w:rFonts w:ascii="Arial" w:hAnsi="Arial"/>
                <w:sz w:val="19"/>
              </w:rPr>
            </w:r>
            <w:r>
              <w:rPr>
                <w:rFonts w:ascii="Arial" w:hAnsi="Arial"/>
                <w:b w:val="0"/>
                <w:sz w:val="19"/>
              </w:rPr>
              <w:t>3.3</w:t>
            </w:r>
          </w:p>
        </w:tc>
        <w:tc>
          <w:tcPr>
            <w:tcW w:type="dxa" w:w="3456"/>
            <w:vAlign w:val="center"/>
            <w:shd w:fill="EEF7EC"/>
          </w:tcPr>
          <w:p>
            <w:r>
              <w:t>A held-back Iris flower sample is passed through the selected network and class probabilities are recorded.</w:t>
            </w:r>
          </w:p>
        </w:tc>
        <w:tc>
          <w:tcPr>
            <w:tcW w:type="dxa" w:w="3456"/>
            <w:vAlign w:val="center"/>
            <w:shd w:fill="EEF7EC"/>
          </w:tcPr>
          <w:p>
            <w:r>
              <w:rPr>
                <w:rFonts w:ascii="Arial" w:hAnsi="Arial"/>
                <w:sz w:val="19"/>
              </w:rPr>
            </w:r>
            <w:r>
              <w:rPr>
                <w:rFonts w:ascii="Arial" w:hAnsi="Arial"/>
                <w:b w:val="0"/>
                <w:sz w:val="19"/>
              </w:rPr>
              <w:t>Prepared</w:t>
            </w:r>
          </w:p>
        </w:tc>
      </w:tr>
    </w:tbl>
    <w:p>
      <w:pPr>
        <w:jc w:val="left"/>
      </w:pPr>
      <w:r>
        <w:rPr>
          <w:rFonts w:ascii="Arial" w:hAnsi="Arial"/>
          <w:b/>
          <w:color w:val="00723A"/>
          <w:sz w:val="28"/>
        </w:rPr>
        <w:t>Evidence Route</w:t>
      </w:r>
    </w:p>
    <w:p>
      <w:r>
        <w:rPr>
          <w:rFonts w:ascii="Arial" w:hAnsi="Arial"/>
          <w:sz w:val="20"/>
        </w:rPr>
        <w:t>The prepared evidence route is the SS Evidence Collection document with embedded screenshots and annotations, the written answer sheet, the project notebook, the Kaggle notebook copy, two Python source files and the video walkthrough. The loose screenshot images are already embedded in the SS Evidence Collection and are not separate upload files.</w:t>
      </w:r>
    </w:p>
    <w:p>
      <w:pPr>
        <w:jc w:val="left"/>
      </w:pPr>
      <w:r>
        <w:rPr>
          <w:rFonts w:ascii="Arial" w:hAnsi="Arial"/>
          <w:b/>
          <w:color w:val="00723A"/>
          <w:sz w:val="28"/>
        </w:rPr>
        <w:t>Overall Summative Feedback</w:t>
      </w:r>
    </w:p>
    <w:p>
      <w:r>
        <w:rPr>
          <w:rFonts w:ascii="Arial" w:hAnsi="Arial"/>
          <w:sz w:val="20"/>
        </w:rPr>
        <w:t>The prepared evidence demonstrates model training, validation-set hyperparameter tuning and inference through the Iris dataset task. The evidence is structured in the OG Web.site branded pack format and supports the Lesson 5 criteria 3.1, 3.2 and 3.3.</w:t>
      </w:r>
    </w:p>
    <w:tbl>
      <w:tblPr>
        <w:tblW w:type="auto" w:w="0"/>
        <w:jc w:val="center"/>
        <w:tblLook w:firstColumn="1" w:firstRow="1" w:lastColumn="0" w:lastRow="0" w:noHBand="0" w:noVBand="1" w:val="04A0"/>
      </w:tblPr>
      <w:tblGrid>
        <w:gridCol w:w="5184"/>
        <w:gridCol w:w="5184"/>
      </w:tblGrid>
      <w:tr>
        <w:tc>
          <w:tcPr>
            <w:tcW w:type="dxa" w:w="5184"/>
            <w:vAlign w:val="center"/>
            <w:shd w:fill="000000"/>
          </w:tcPr>
          <w:p>
            <w:r>
              <w:rPr>
                <w:rFonts w:ascii="Arial" w:hAnsi="Arial"/>
                <w:b/>
                <w:color w:val="FFFFFF"/>
                <w:sz w:val="19"/>
              </w:rPr>
            </w:r>
            <w:r>
              <w:rPr>
                <w:rFonts w:ascii="Arial" w:hAnsi="Arial"/>
                <w:b/>
                <w:color w:val="FFFFFF"/>
                <w:sz w:val="19"/>
              </w:rPr>
              <w:t>Sign-off field</w:t>
            </w:r>
          </w:p>
        </w:tc>
        <w:tc>
          <w:tcPr>
            <w:tcW w:type="dxa" w:w="5184"/>
            <w:vAlign w:val="center"/>
            <w:shd w:fill="000000"/>
          </w:tcPr>
          <w:p>
            <w:r>
              <w:rPr>
                <w:rFonts w:ascii="Arial" w:hAnsi="Arial"/>
                <w:b/>
                <w:color w:val="FFFFFF"/>
                <w:sz w:val="19"/>
              </w:rPr>
            </w:r>
            <w:r>
              <w:rPr>
                <w:rFonts w:ascii="Arial" w:hAnsi="Arial"/>
                <w:b/>
                <w:color w:val="FFFFFF"/>
                <w:sz w:val="19"/>
              </w:rPr>
              <w:t>Entry</w:t>
            </w:r>
          </w:p>
        </w:tc>
      </w:tr>
      <w:tr>
        <w:tc>
          <w:tcPr>
            <w:tcW w:type="dxa" w:w="5184"/>
            <w:vAlign w:val="center"/>
            <w:shd w:fill="EEF7EC"/>
          </w:tcPr>
          <w:p>
            <w:r>
              <w:rPr>
                <w:rFonts w:ascii="Arial" w:hAnsi="Arial"/>
                <w:sz w:val="19"/>
              </w:rPr>
            </w:r>
            <w:r>
              <w:rPr>
                <w:rFonts w:ascii="Arial" w:hAnsi="Arial"/>
                <w:b w:val="0"/>
                <w:sz w:val="19"/>
              </w:rPr>
              <w:t>Learner name</w:t>
            </w:r>
          </w:p>
        </w:tc>
        <w:tc>
          <w:tcPr>
            <w:tcW w:type="dxa" w:w="5184"/>
            <w:vAlign w:val="center"/>
            <w:shd w:fill="EEF7EC"/>
          </w:tcPr>
          <w:p>
            <w:r>
              <w:rPr>
                <w:rFonts w:ascii="Arial" w:hAnsi="Arial"/>
                <w:sz w:val="19"/>
              </w:rPr>
            </w:r>
            <w:r>
              <w:rPr>
                <w:rFonts w:ascii="Arial" w:hAnsi="Arial"/>
                <w:b w:val="0"/>
                <w:sz w:val="19"/>
              </w:rPr>
              <w:t>Rob Johnston</w:t>
            </w:r>
          </w:p>
        </w:tc>
      </w:tr>
      <w:tr>
        <w:tc>
          <w:tcPr>
            <w:tcW w:type="dxa" w:w="5184"/>
            <w:vAlign w:val="center"/>
            <w:shd w:fill="EEF7EC"/>
          </w:tcPr>
          <w:p>
            <w:r>
              <w:rPr>
                <w:rFonts w:ascii="Arial" w:hAnsi="Arial"/>
                <w:sz w:val="19"/>
              </w:rPr>
            </w:r>
            <w:r>
              <w:rPr>
                <w:rFonts w:ascii="Arial" w:hAnsi="Arial"/>
                <w:b w:val="0"/>
                <w:sz w:val="19"/>
              </w:rPr>
              <w:t>Learner signature</w:t>
            </w:r>
          </w:p>
        </w:tc>
        <w:tc>
          <w:tcPr>
            <w:tcW w:type="dxa" w:w="5184"/>
            <w:vAlign w:val="center"/>
            <w:shd w:fill="EEF7EC"/>
          </w:tcPr>
          <w:p>
            <w:r>
              <w:rPr>
                <w:rFonts w:ascii="Arial" w:hAnsi="Arial"/>
                <w:sz w:val="19"/>
              </w:rPr>
            </w:r>
            <w:r>
              <w:rPr>
                <w:rFonts w:ascii="Arial" w:hAnsi="Arial"/>
                <w:b w:val="0"/>
                <w:sz w:val="19"/>
              </w:rPr>
            </w:r>
          </w:p>
        </w:tc>
      </w:tr>
      <w:tr>
        <w:tc>
          <w:tcPr>
            <w:tcW w:type="dxa" w:w="5184"/>
            <w:vAlign w:val="center"/>
            <w:shd w:fill="EEF7EC"/>
          </w:tcPr>
          <w:p>
            <w:r>
              <w:rPr>
                <w:rFonts w:ascii="Arial" w:hAnsi="Arial"/>
                <w:sz w:val="19"/>
              </w:rPr>
            </w:r>
            <w:r>
              <w:rPr>
                <w:rFonts w:ascii="Arial" w:hAnsi="Arial"/>
                <w:b w:val="0"/>
                <w:sz w:val="19"/>
              </w:rPr>
              <w:t>Tutor/assessor signature</w:t>
            </w:r>
          </w:p>
        </w:tc>
        <w:tc>
          <w:tcPr>
            <w:tcW w:type="dxa" w:w="5184"/>
            <w:vAlign w:val="center"/>
            <w:shd w:fill="EEF7EC"/>
          </w:tcPr>
          <w:p>
            <w:r>
              <w:rPr>
                <w:rFonts w:ascii="Arial" w:hAnsi="Arial"/>
                <w:sz w:val="19"/>
              </w:rPr>
            </w:r>
            <w:r>
              <w:rPr>
                <w:rFonts w:ascii="Arial" w:hAnsi="Arial"/>
                <w:b w:val="0"/>
                <w:sz w:val="19"/>
              </w:rPr>
            </w:r>
          </w:p>
        </w:tc>
      </w:tr>
    </w:tbl>
    <w:sectPr w:rsidR="00FC693F" w:rsidRPr="0006063C" w:rsidSect="00034616">
      <w:headerReference w:type="default" r:id="rId9"/>
      <w:footerReference w:type="default" r:id="rId10"/>
      <w:pgSz w:w="12240" w:h="15840"/>
      <w:pgMar w:top="893"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OG Web.site | www.og-web.site | OG-Website GitHub</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drawing>
        <wp:inline xmlns:a="http://schemas.openxmlformats.org/drawingml/2006/main" xmlns:pic="http://schemas.openxmlformats.org/drawingml/2006/picture">
          <wp:extent cx="1170432" cy="568308"/>
          <wp:docPr id="1" name="Picture 1"/>
          <wp:cNvGraphicFramePr>
            <a:graphicFrameLocks noChangeAspect="1"/>
          </wp:cNvGraphicFramePr>
          <a:graphic>
            <a:graphicData uri="http://schemas.openxmlformats.org/drawingml/2006/picture">
              <pic:pic>
                <pic:nvPicPr>
                  <pic:cNvPr id="0" name="og_header.png"/>
                  <pic:cNvPicPr/>
                </pic:nvPicPr>
                <pic:blipFill>
                  <a:blip r:embed="rId1"/>
                  <a:stretch>
                    <a:fillRect/>
                  </a:stretch>
                </pic:blipFill>
                <pic:spPr>
                  <a:xfrm>
                    <a:off x="0" y="0"/>
                    <a:ext cx="1170432" cy="568308"/>
                  </a:xfrm>
                  <a:prstGeom prst="rect"/>
                </pic:spPr>
              </pic:pic>
            </a:graphicData>
          </a:graphic>
        </wp:inline>
      </w:drawing>
    </w:r>
  </w:p>
  <w:p>
    <w:pPr>
      <w:jc w:val="right"/>
    </w:pPr>
    <w:r>
      <w:rPr>
        <w:rFonts w:ascii="Arial" w:hAnsi="Arial"/>
        <w:b/>
        <w:sz w:val="16"/>
      </w:rPr>
      <w:t>AI PROGRAMMING / GITHUB EVIDENCE PACK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