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rial" w:hAnsi="Arial"/>
          <w:b/>
          <w:color w:val="26802D"/>
          <w:sz w:val="18"/>
        </w:rPr>
        <w:t>TQUK Observation Record</w:t>
      </w:r>
    </w:p>
    <w:p>
      <w:pPr>
        <w:spacing w:after="120"/>
      </w:pPr>
      <w:r>
        <w:t>Unit 4 Assessment 5 - TQUK Observation Record</w:t>
      </w:r>
    </w:p>
    <w:p>
      <w:pPr>
        <w:spacing w:after="120"/>
      </w:pPr>
      <w:r>
        <w:rPr>
          <w:rFonts w:ascii="Arial" w:hAnsi="Arial"/>
          <w:b w:val="0"/>
          <w:color w:val="464646"/>
          <w:sz w:val="20"/>
        </w:rPr>
        <w:t>Rob Johnston | TQUK Level 3 Certificate in AI Programming with Python</w:t>
      </w:r>
    </w:p>
    <w:p>
      <w:pPr>
        <w:spacing w:after="120"/>
      </w:pPr>
      <w:r>
        <w:t>Deep Learning Training Project</w:t>
      </w:r>
    </w:p>
    <w:p>
      <w:pPr>
        <w:spacing w:after="120"/>
      </w:pPr>
      <w:r>
        <w:t>Criteria covered: 3.1, 3.2, 3.3</w:t>
      </w:r>
    </w:p>
    <w:p>
      <w:pPr>
        <w:spacing w:after="120"/>
      </w:pPr>
      <w:r>
        <w:t>Date: 02/07/2026</w:t>
      </w:r>
    </w:p>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6B2A"/>
          </w:tcPr>
          <w:p>
            <w:r>
              <w:t>Field</w:t>
            </w:r>
          </w:p>
        </w:tc>
        <w:tc>
          <w:tcPr>
            <w:tcW w:type="dxa" w:w="5184"/>
            <w:vAlign w:val="center"/>
            <w:shd w:fill="1F6B2A"/>
          </w:tcPr>
          <w:p>
            <w:r>
              <w:t>Entry</w:t>
            </w:r>
          </w:p>
        </w:tc>
      </w:tr>
      <w:tr>
        <w:tc>
          <w:tcPr>
            <w:tcW w:type="dxa" w:w="5184"/>
            <w:vAlign w:val="center"/>
            <w:shd w:fill="F3FFF1"/>
          </w:tcPr>
          <w:p>
            <w:r>
              <w:t>Learner name</w:t>
            </w:r>
          </w:p>
        </w:tc>
        <w:tc>
          <w:tcPr>
            <w:tcW w:type="dxa" w:w="5184"/>
            <w:vAlign w:val="center"/>
            <w:shd w:fill="F3FFF1"/>
          </w:tcPr>
          <w:p>
            <w:r>
              <w:t>Rob Johnston</w:t>
            </w:r>
          </w:p>
        </w:tc>
      </w:tr>
      <w:tr>
        <w:tc>
          <w:tcPr>
            <w:tcW w:type="dxa" w:w="5184"/>
            <w:vAlign w:val="center"/>
          </w:tcPr>
          <w:p>
            <w:r>
              <w:t>Qualification</w:t>
            </w:r>
          </w:p>
        </w:tc>
        <w:tc>
          <w:tcPr>
            <w:tcW w:type="dxa" w:w="5184"/>
            <w:vAlign w:val="center"/>
          </w:tcPr>
          <w:p>
            <w:r>
              <w:t>TQUK Level 3 Certificate in AI Programming with Python</w:t>
            </w:r>
          </w:p>
        </w:tc>
      </w:tr>
      <w:tr>
        <w:tc>
          <w:tcPr>
            <w:tcW w:type="dxa" w:w="5184"/>
            <w:vAlign w:val="center"/>
            <w:shd w:fill="F3FFF1"/>
          </w:tcPr>
          <w:p>
            <w:r>
              <w:t>Unit</w:t>
            </w:r>
          </w:p>
        </w:tc>
        <w:tc>
          <w:tcPr>
            <w:tcW w:type="dxa" w:w="5184"/>
            <w:vAlign w:val="center"/>
            <w:shd w:fill="F3FFF1"/>
          </w:tcPr>
          <w:p>
            <w:r>
              <w:t>Deep Learning (D/650/0764, A/650/0763 and Y/650/0762)</w:t>
            </w:r>
          </w:p>
        </w:tc>
      </w:tr>
      <w:tr>
        <w:tc>
          <w:tcPr>
            <w:tcW w:type="dxa" w:w="5184"/>
            <w:vAlign w:val="center"/>
          </w:tcPr>
          <w:p>
            <w:r>
              <w:t>Assessment</w:t>
            </w:r>
          </w:p>
        </w:tc>
        <w:tc>
          <w:tcPr>
            <w:tcW w:type="dxa" w:w="5184"/>
            <w:vAlign w:val="center"/>
          </w:tcPr>
          <w:p>
            <w:r>
              <w:t>Unit 4 Lesson 5 - Project</w:t>
            </w:r>
          </w:p>
        </w:tc>
      </w:tr>
      <w:tr>
        <w:tc>
          <w:tcPr>
            <w:tcW w:type="dxa" w:w="5184"/>
            <w:vAlign w:val="center"/>
            <w:shd w:fill="F3FFF1"/>
          </w:tcPr>
          <w:p>
            <w:r>
              <w:t>Evidence route</w:t>
            </w:r>
          </w:p>
        </w:tc>
        <w:tc>
          <w:tcPr>
            <w:tcW w:type="dxa" w:w="5184"/>
            <w:vAlign w:val="center"/>
            <w:shd w:fill="F3FFF1"/>
          </w:tcPr>
          <w:p>
            <w:r>
              <w:t>SS Evidence Collection, Kaggle notebook, video walkthrough and Python source files</w:t>
            </w:r>
          </w:p>
        </w:tc>
      </w:tr>
    </w:tbl>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6B2A"/>
          </w:tcPr>
          <w:p>
            <w:r>
              <w:t>Criterion</w:t>
            </w:r>
          </w:p>
        </w:tc>
        <w:tc>
          <w:tcPr>
            <w:tcW w:type="dxa" w:w="5184"/>
            <w:vAlign w:val="center"/>
            <w:shd w:fill="1F6B2A"/>
          </w:tcPr>
          <w:p>
            <w:r>
              <w:t>Observed evidence / prepared evidence</w:t>
            </w:r>
          </w:p>
        </w:tc>
      </w:tr>
      <w:tr>
        <w:tc>
          <w:tcPr>
            <w:tcW w:type="dxa" w:w="5184"/>
            <w:vAlign w:val="center"/>
            <w:shd w:fill="F3FFF1"/>
          </w:tcPr>
          <w:p>
            <w:r>
              <w:t>3.1</w:t>
            </w:r>
          </w:p>
        </w:tc>
        <w:tc>
          <w:tcPr>
            <w:tcW w:type="dxa" w:w="5184"/>
            <w:vAlign w:val="center"/>
            <w:shd w:fill="F3FFF1"/>
          </w:tcPr>
          <w:p>
            <w:r>
              <w:t>Evidence demonstrates two ways to train a deep learning model using the Iris dataset: a baseline neural network route and a tuned neural network route.</w:t>
            </w:r>
          </w:p>
        </w:tc>
      </w:tr>
      <w:tr>
        <w:tc>
          <w:tcPr>
            <w:tcW w:type="dxa" w:w="5184"/>
            <w:vAlign w:val="center"/>
          </w:tcPr>
          <w:p>
            <w:r>
              <w:t>3.2</w:t>
            </w:r>
          </w:p>
        </w:tc>
        <w:tc>
          <w:tcPr>
            <w:tcW w:type="dxa" w:w="5184"/>
            <w:vAlign w:val="center"/>
          </w:tcPr>
          <w:p>
            <w:r>
              <w:t>Evidence demonstrates validation-set hyperparameter tuning by comparing hidden-size and learning-rate settings using validation loss.</w:t>
            </w:r>
          </w:p>
        </w:tc>
      </w:tr>
      <w:tr>
        <w:tc>
          <w:tcPr>
            <w:tcW w:type="dxa" w:w="5184"/>
            <w:vAlign w:val="center"/>
            <w:shd w:fill="F3FFF1"/>
          </w:tcPr>
          <w:p>
            <w:r>
              <w:t>3.3</w:t>
            </w:r>
          </w:p>
        </w:tc>
        <w:tc>
          <w:tcPr>
            <w:tcW w:type="dxa" w:w="5184"/>
            <w:vAlign w:val="center"/>
            <w:shd w:fill="F3FFF1"/>
          </w:tcPr>
          <w:p>
            <w:r>
              <w:t>Evidence demonstrates inference by passing a held-back Iris sample through the selected trained model and recording the predicted class probabilities.</w:t>
            </w:r>
          </w:p>
        </w:tc>
      </w:tr>
      <w:tr>
        <w:tc>
          <w:tcPr>
            <w:tcW w:type="dxa" w:w="5184"/>
            <w:vAlign w:val="center"/>
          </w:tcPr>
          <w:p>
            <w:r/>
          </w:p>
        </w:tc>
        <w:tc>
          <w:tcPr>
            <w:tcW w:type="dxa" w:w="5184"/>
            <w:vAlign w:val="center"/>
          </w:tcPr>
          <w:p>
            <w:r/>
          </w:p>
        </w:tc>
      </w:tr>
      <w:tr>
        <w:tc>
          <w:tcPr>
            <w:tcW w:type="dxa" w:w="5184"/>
            <w:vAlign w:val="center"/>
            <w:shd w:fill="F3FFF1"/>
          </w:tcPr>
          <w:p>
            <w:r/>
          </w:p>
        </w:tc>
        <w:tc>
          <w:tcPr>
            <w:tcW w:type="dxa" w:w="5184"/>
            <w:vAlign w:val="center"/>
            <w:shd w:fill="F3FFF1"/>
          </w:tcPr>
          <w:p>
            <w:r/>
          </w:p>
        </w:tc>
      </w:tr>
      <w:tr>
        <w:tc>
          <w:tcPr>
            <w:tcW w:type="dxa" w:w="5184"/>
            <w:vAlign w:val="center"/>
          </w:tcPr>
          <w:p>
            <w:r/>
          </w:p>
        </w:tc>
        <w:tc>
          <w:tcPr>
            <w:tcW w:type="dxa" w:w="5184"/>
            <w:vAlign w:val="center"/>
          </w:tcPr>
          <w:p>
            <w:r/>
          </w:p>
        </w:tc>
      </w:tr>
      <w:tr>
        <w:tc>
          <w:tcPr>
            <w:tcW w:type="dxa" w:w="5184"/>
            <w:vAlign w:val="center"/>
            <w:shd w:fill="F3FFF1"/>
          </w:tcPr>
          <w:p>
            <w:r/>
          </w:p>
        </w:tc>
        <w:tc>
          <w:tcPr>
            <w:tcW w:type="dxa" w:w="5184"/>
            <w:vAlign w:val="center"/>
            <w:shd w:fill="F3FFF1"/>
          </w:tcPr>
          <w:p>
            <w:r/>
          </w:p>
        </w:tc>
      </w:tr>
      <w:tr>
        <w:tc>
          <w:tcPr>
            <w:tcW w:type="dxa" w:w="5184"/>
            <w:vAlign w:val="center"/>
          </w:tcPr>
          <w:p>
            <w:r/>
          </w:p>
        </w:tc>
        <w:tc>
          <w:tcPr>
            <w:tcW w:type="dxa" w:w="5184"/>
            <w:vAlign w:val="center"/>
          </w:tcPr>
          <w:p>
            <w:r/>
          </w:p>
        </w:tc>
      </w:tr>
    </w:tbl>
    <w:p/>
    <w:p>
      <w:pPr>
        <w:spacing w:after="120"/>
      </w:pPr>
      <w:r>
        <w:rPr>
          <w:rFonts w:ascii="Arial" w:hAnsi="Arial"/>
          <w:b/>
          <w:color w:val="26802D"/>
          <w:sz w:val="26"/>
        </w:rPr>
        <w:t>Overall Summative Feedback</w:t>
      </w:r>
    </w:p>
    <w:p>
      <w:pPr>
        <w:spacing w:after="120"/>
      </w:pPr>
      <w:r>
        <w:t>The prepared evidence demonstrates model training, validation tuning and inference through the answer sheet, SS Evidence Collection, project notebook, Kaggle notebook, two Iris Python source files and video walkthrough. The live Kaggle notebook is available at https://www.kaggle.com/code/ogwebsite/unit-4-assessment-5-deep-learning-project.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6B2A"/>
          </w:tcPr>
          <w:p>
            <w:r>
              <w:t>Sign-off field</w:t>
            </w:r>
          </w:p>
        </w:tc>
        <w:tc>
          <w:tcPr>
            <w:tcW w:type="dxa" w:w="5184"/>
            <w:vAlign w:val="center"/>
            <w:shd w:fill="1F6B2A"/>
          </w:tcPr>
          <w:p>
            <w:r>
              <w:t>Entry</w:t>
            </w:r>
          </w:p>
        </w:tc>
      </w:tr>
      <w:tr>
        <w:tc>
          <w:tcPr>
            <w:tcW w:type="dxa" w:w="5184"/>
            <w:vAlign w:val="center"/>
            <w:shd w:fill="F3FFF1"/>
          </w:tcPr>
          <w:p>
            <w:r>
              <w:t>Learner name</w:t>
            </w:r>
          </w:p>
        </w:tc>
        <w:tc>
          <w:tcPr>
            <w:tcW w:type="dxa" w:w="5184"/>
            <w:vAlign w:val="center"/>
            <w:shd w:fill="F3FFF1"/>
          </w:tcPr>
          <w:p>
            <w:r>
              <w:t>Rob Johnston</w:t>
            </w:r>
          </w:p>
        </w:tc>
      </w:tr>
      <w:tr>
        <w:tc>
          <w:tcPr>
            <w:tcW w:type="dxa" w:w="5184"/>
            <w:vAlign w:val="center"/>
          </w:tcPr>
          <w:p>
            <w:r>
              <w:t>Learner signature</w:t>
            </w:r>
          </w:p>
        </w:tc>
        <w:tc>
          <w:tcPr>
            <w:tcW w:type="dxa" w:w="5184"/>
            <w:vAlign w:val="center"/>
          </w:tcPr>
          <w:p>
            <w:r/>
          </w:p>
        </w:tc>
      </w:tr>
      <w:tr>
        <w:tc>
          <w:tcPr>
            <w:tcW w:type="dxa" w:w="5184"/>
            <w:vAlign w:val="center"/>
            <w:shd w:fill="F3FFF1"/>
          </w:tcPr>
          <w:p>
            <w:r>
              <w:t>Assessor name</w:t>
            </w:r>
          </w:p>
        </w:tc>
        <w:tc>
          <w:tcPr>
            <w:tcW w:type="dxa" w:w="5184"/>
            <w:vAlign w:val="center"/>
            <w:shd w:fill="F3FFF1"/>
          </w:tcPr>
          <w:p>
            <w:r/>
          </w:p>
        </w:tc>
      </w:tr>
      <w:tr>
        <w:tc>
          <w:tcPr>
            <w:tcW w:type="dxa" w:w="5184"/>
            <w:vAlign w:val="center"/>
          </w:tcPr>
          <w:p>
            <w:r>
              <w:t>Assessor signature</w:t>
            </w:r>
          </w:p>
        </w:tc>
        <w:tc>
          <w:tcPr>
            <w:tcW w:type="dxa" w:w="5184"/>
            <w:vAlign w:val="center"/>
          </w:tcPr>
          <w:p>
            <w:r/>
          </w:p>
        </w:tc>
      </w:tr>
      <w:tr>
        <w:tc>
          <w:tcPr>
            <w:tcW w:type="dxa" w:w="5184"/>
            <w:vAlign w:val="center"/>
            <w:shd w:fill="F3FFF1"/>
          </w:tcPr>
          <w:p>
            <w:r>
              <w:t>Date</w:t>
            </w:r>
          </w:p>
        </w:tc>
        <w:tc>
          <w:tcPr>
            <w:tcW w:type="dxa" w:w="5184"/>
            <w:vAlign w:val="center"/>
            <w:shd w:fill="F3FFF1"/>
          </w:tcPr>
          <w:p>
            <w:r/>
          </w:p>
        </w:tc>
      </w:tr>
    </w:tbl>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05050"/>
        <w:sz w:val="16"/>
      </w:rPr>
      <w:t xml:space="preserve">TQUK Observation Record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drawing>
        <wp:inline xmlns:a="http://schemas.openxmlformats.org/drawingml/2006/main" xmlns:pic="http://schemas.openxmlformats.org/drawingml/2006/picture">
          <wp:extent cx="1143000" cy="554988"/>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3000" cy="554988"/>
                  </a:xfrm>
                  <a:prstGeom prst="rect"/>
                </pic:spPr>
              </pic:pic>
            </a:graphicData>
          </a:graphic>
        </wp:inline>
      </w:drawing>
    </w:r>
    <w:r>
      <w:rPr>
        <w:b/>
        <w:color w:val="06763D"/>
      </w:rPr>
      <w:t xml:space="preserve">   Unit 4 Assessment 5 - TQUK Observation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4 Assessment 5 - TQUK Observation Record - Rob Johnston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