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rFonts w:ascii="Arial" w:hAnsi="Arial" w:eastAsia="Arial"/>
          <w:b/>
          <w:color w:val="000000"/>
          <w:sz w:val="22"/>
        </w:rPr>
        <w:t>Software Development Course</w:t>
      </w:r>
    </w:p>
    <w:p>
      <w:pPr>
        <w:pStyle w:val="Title"/>
        <w:keepNext/>
        <w:spacing w:after="160" w:before="120"/>
        <w:jc w:val="center"/>
      </w:pPr>
      <w:r>
        <w:t>Software Development Level 3 Unit 1 Programming Implementation</w:t>
      </w:r>
    </w:p>
    <w:p>
      <w:pPr>
        <w:keepNext/>
        <w:spacing w:after="240" w:before="40"/>
        <w:jc w:val="center"/>
      </w:pPr>
      <w:r>
        <w:rPr>
          <w:b/>
          <w:sz w:val="30"/>
        </w:rPr>
        <w:t>Assessment 1</w:t>
      </w:r>
    </w:p>
    <w:p>
      <w:pPr>
        <w:pStyle w:val="Title"/>
        <w:keepNext/>
        <w:spacing w:after="240" w:before="80"/>
        <w:jc w:val="left"/>
      </w:pPr>
      <w:r>
        <w:t>Answer Sheet</w:t>
      </w:r>
    </w:p>
    <w:p>
      <w:pPr>
        <w:pStyle w:val="Heading1"/>
        <w:keepNext/>
        <w:spacing w:before="200" w:after="80"/>
      </w:pPr>
      <w:r>
        <w:rPr>
          <w:rFonts w:ascii="Arial" w:hAnsi="Arial" w:eastAsia="Arial"/>
          <w:b/>
          <w:color w:val="000000"/>
          <w:sz w:val="30"/>
        </w:rPr>
        <w:t>Document overview</w:t>
      </w:r>
    </w:p>
    <w:p>
      <w:pPr>
        <w:spacing w:after="120" w:line="252" w:lineRule="auto"/>
      </w:pPr>
      <w:r>
        <w:rPr>
          <w:sz w:val="20"/>
        </w:rPr>
        <w:t>This answer sheet explains the programming principles and techniques in Assessment 1. I have linked the theory to code I have written for this assessment and to work from Trade-A-Them, OG Labs, OG Code Central and KORA.</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3168"/>
            <w:shd w:fill="142C1C" w:val="clear"/>
            <w:tcMar>
              <w:top w:w="85" w:type="dxa"/>
              <w:start w:w="100" w:type="dxa"/>
              <w:bottom w:w="85" w:type="dxa"/>
              <w:end w:w="100" w:type="dxa"/>
            </w:tcMar>
            <w:vAlign w:val="center"/>
          </w:tcPr>
          <w:p>
            <w:pPr>
              <w:spacing w:after="0"/>
            </w:pPr>
            <w:r>
              <w:rPr>
                <w:rFonts w:ascii="Arial" w:hAnsi="Arial" w:eastAsia="Arial"/>
                <w:b/>
                <w:color w:val="FFFFFF"/>
                <w:sz w:val="19"/>
              </w:rPr>
              <w:t>Course information</w:t>
            </w:r>
          </w:p>
        </w:tc>
        <w:tc>
          <w:tcPr>
            <w:tcW w:type="dxa" w:w="7056"/>
            <w:shd w:fill="142C1C" w:val="clear"/>
            <w:tcMar>
              <w:top w:w="85" w:type="dxa"/>
              <w:start w:w="100" w:type="dxa"/>
              <w:bottom w:w="85" w:type="dxa"/>
              <w:end w:w="100" w:type="dxa"/>
            </w:tcMar>
            <w:vAlign w:val="center"/>
          </w:tcPr>
          <w:p>
            <w:pPr>
              <w:spacing w:after="0"/>
            </w:pPr>
            <w:r>
              <w:rPr>
                <w:rFonts w:ascii="Arial" w:hAnsi="Arial" w:eastAsia="Arial"/>
                <w:b/>
                <w:color w:val="FFFFFF"/>
                <w:sz w:val="19"/>
              </w:rPr>
              <w:t>Details</w:t>
            </w:r>
          </w:p>
        </w:tc>
      </w:tr>
      <w:tr>
        <w:trPr>
          <w:cantSplit/>
        </w:trPr>
        <w:tc>
          <w:tcPr>
            <w:tcW w:type="dxa" w:w="3168"/>
            <w:tcMar>
              <w:top w:w="85" w:type="dxa"/>
              <w:start w:w="100" w:type="dxa"/>
              <w:bottom w:w="85" w:type="dxa"/>
              <w:end w:w="100" w:type="dxa"/>
            </w:tcMar>
            <w:vAlign w:val="top"/>
            <w:shd w:fill="FFFFFF"/>
          </w:tcPr>
          <w:p>
            <w:pPr>
              <w:spacing w:after="0"/>
            </w:pPr>
            <w:r>
              <w:rPr>
                <w:rFonts w:ascii="Arial" w:hAnsi="Arial" w:eastAsia="Arial"/>
                <w:color w:val="000000"/>
                <w:sz w:val="19"/>
              </w:rPr>
              <w:t>Course</w:t>
            </w:r>
          </w:p>
        </w:tc>
        <w:tc>
          <w:tcPr>
            <w:tcW w:type="dxa" w:w="7056"/>
            <w:tcMar>
              <w:top w:w="85" w:type="dxa"/>
              <w:start w:w="100" w:type="dxa"/>
              <w:bottom w:w="85" w:type="dxa"/>
              <w:end w:w="100" w:type="dxa"/>
            </w:tcMar>
            <w:vAlign w:val="center"/>
            <w:shd w:fill="FFFFFF"/>
          </w:tcPr>
          <w:p>
            <w:pPr>
              <w:spacing w:before="20" w:after="20" w:line="250" w:lineRule="auto"/>
              <w:jc w:val="left"/>
            </w:pPr>
            <w:r>
              <w:rPr>
                <w:sz w:val="19"/>
              </w:rPr>
            </w:r>
            <w:r>
              <w:rPr>
                <w:b w:val="0"/>
                <w:sz w:val="19"/>
              </w:rPr>
              <w:t>Software Development Level 3</w:t>
            </w:r>
          </w:p>
        </w:tc>
      </w:tr>
      <w:tr>
        <w:trPr>
          <w:cantSplit/>
        </w:trPr>
        <w:tc>
          <w:tcPr>
            <w:tcW w:type="dxa" w:w="3168"/>
            <w:tcMar>
              <w:top w:w="85" w:type="dxa"/>
              <w:start w:w="100" w:type="dxa"/>
              <w:bottom w:w="85" w:type="dxa"/>
              <w:end w:w="100" w:type="dxa"/>
            </w:tcMar>
            <w:shd w:fill="EAF4EC" w:val="clear"/>
            <w:vAlign w:val="top"/>
          </w:tcPr>
          <w:p>
            <w:pPr>
              <w:spacing w:after="0"/>
            </w:pPr>
            <w:r>
              <w:rPr>
                <w:rFonts w:ascii="Arial" w:hAnsi="Arial" w:eastAsia="Arial"/>
                <w:color w:val="000000"/>
                <w:sz w:val="19"/>
              </w:rPr>
              <w:t>Document type</w:t>
            </w:r>
          </w:p>
        </w:tc>
        <w:tc>
          <w:tcPr>
            <w:tcW w:type="dxa" w:w="7056"/>
            <w:tcMar>
              <w:top w:w="85" w:type="dxa"/>
              <w:start w:w="100" w:type="dxa"/>
              <w:bottom w:w="85" w:type="dxa"/>
              <w:end w:w="100" w:type="dxa"/>
            </w:tcMar>
            <w:shd w:fill="EAF4EC" w:val="clear"/>
            <w:vAlign w:val="center"/>
          </w:tcPr>
          <w:p>
            <w:pPr>
              <w:spacing w:before="20" w:after="20" w:line="250" w:lineRule="auto"/>
              <w:jc w:val="left"/>
            </w:pPr>
            <w:r>
              <w:rPr>
                <w:sz w:val="19"/>
              </w:rPr>
            </w:r>
            <w:r>
              <w:rPr>
                <w:b w:val="0"/>
                <w:sz w:val="19"/>
              </w:rPr>
              <w:t>College answer sheet</w:t>
            </w:r>
          </w:p>
        </w:tc>
      </w:tr>
      <w:tr>
        <w:trPr>
          <w:cantSplit/>
        </w:trPr>
        <w:tc>
          <w:tcPr>
            <w:tcW w:type="dxa" w:w="3168"/>
            <w:tcMar>
              <w:top w:w="85" w:type="dxa"/>
              <w:start w:w="100" w:type="dxa"/>
              <w:bottom w:w="85" w:type="dxa"/>
              <w:end w:w="100" w:type="dxa"/>
            </w:tcMar>
            <w:vAlign w:val="top"/>
            <w:shd w:fill="FFFFFF"/>
          </w:tcPr>
          <w:p>
            <w:pPr>
              <w:spacing w:after="0"/>
            </w:pPr>
            <w:r>
              <w:rPr>
                <w:rFonts w:ascii="Arial" w:hAnsi="Arial" w:eastAsia="Arial"/>
                <w:color w:val="000000"/>
                <w:sz w:val="19"/>
              </w:rPr>
              <w:t>Learner</w:t>
            </w:r>
          </w:p>
        </w:tc>
        <w:tc>
          <w:tcPr>
            <w:tcW w:type="dxa" w:w="7056"/>
            <w:tcMar>
              <w:top w:w="85" w:type="dxa"/>
              <w:start w:w="100" w:type="dxa"/>
              <w:bottom w:w="85" w:type="dxa"/>
              <w:end w:w="100" w:type="dxa"/>
            </w:tcMar>
            <w:vAlign w:val="center"/>
            <w:shd w:fill="FFFFFF"/>
          </w:tcPr>
          <w:p>
            <w:pPr>
              <w:spacing w:before="20" w:after="20" w:line="250" w:lineRule="auto"/>
              <w:jc w:val="left"/>
            </w:pPr>
            <w:r>
              <w:rPr>
                <w:sz w:val="19"/>
              </w:rPr>
            </w:r>
            <w:r>
              <w:rPr>
                <w:b w:val="0"/>
                <w:sz w:val="19"/>
              </w:rPr>
              <w:t>Rob Johnston</w:t>
            </w:r>
          </w:p>
        </w:tc>
      </w:tr>
      <w:tr>
        <w:trPr>
          <w:cantSplit/>
        </w:trPr>
        <w:tc>
          <w:tcPr>
            <w:tcW w:type="dxa" w:w="3168"/>
            <w:tcMar>
              <w:top w:w="85" w:type="dxa"/>
              <w:start w:w="100" w:type="dxa"/>
              <w:bottom w:w="85" w:type="dxa"/>
              <w:end w:w="100" w:type="dxa"/>
            </w:tcMar>
            <w:shd w:fill="EAF4EC" w:val="clear"/>
            <w:vAlign w:val="top"/>
          </w:tcPr>
          <w:p>
            <w:pPr>
              <w:spacing w:after="0"/>
            </w:pPr>
            <w:r>
              <w:rPr>
                <w:rFonts w:ascii="Arial" w:hAnsi="Arial" w:eastAsia="Arial"/>
                <w:color w:val="000000"/>
                <w:sz w:val="19"/>
              </w:rPr>
              <w:t>Unit</w:t>
            </w:r>
          </w:p>
        </w:tc>
        <w:tc>
          <w:tcPr>
            <w:tcW w:type="dxa" w:w="7056"/>
            <w:tcMar>
              <w:top w:w="85" w:type="dxa"/>
              <w:start w:w="100" w:type="dxa"/>
              <w:bottom w:w="85" w:type="dxa"/>
              <w:end w:w="100" w:type="dxa"/>
            </w:tcMar>
            <w:shd w:fill="EAF4EC" w:val="clear"/>
            <w:vAlign w:val="center"/>
          </w:tcPr>
          <w:p>
            <w:pPr>
              <w:spacing w:before="20" w:after="20" w:line="250" w:lineRule="auto"/>
              <w:jc w:val="left"/>
            </w:pPr>
            <w:r>
              <w:rPr>
                <w:sz w:val="19"/>
              </w:rPr>
            </w:r>
            <w:r>
              <w:rPr>
                <w:b w:val="0"/>
                <w:sz w:val="19"/>
              </w:rPr>
              <w:t>Unit 1 Programming Implementation</w:t>
            </w:r>
          </w:p>
        </w:tc>
      </w:tr>
      <w:tr>
        <w:trPr>
          <w:cantSplit/>
        </w:trPr>
        <w:tc>
          <w:tcPr>
            <w:tcW w:type="dxa" w:w="3168"/>
            <w:tcMar>
              <w:top w:w="85" w:type="dxa"/>
              <w:start w:w="100" w:type="dxa"/>
              <w:bottom w:w="85" w:type="dxa"/>
              <w:end w:w="100" w:type="dxa"/>
            </w:tcMar>
            <w:vAlign w:val="top"/>
            <w:shd w:fill="FFFFFF"/>
          </w:tcPr>
          <w:p>
            <w:pPr>
              <w:spacing w:after="0"/>
            </w:pPr>
            <w:r>
              <w:rPr>
                <w:rFonts w:ascii="Arial" w:hAnsi="Arial" w:eastAsia="Arial"/>
                <w:color w:val="000000"/>
                <w:sz w:val="19"/>
              </w:rPr>
              <w:t>Assessment</w:t>
            </w:r>
          </w:p>
        </w:tc>
        <w:tc>
          <w:tcPr>
            <w:tcW w:type="dxa" w:w="7056"/>
            <w:tcMar>
              <w:top w:w="85" w:type="dxa"/>
              <w:start w:w="100" w:type="dxa"/>
              <w:bottom w:w="85" w:type="dxa"/>
              <w:end w:w="100" w:type="dxa"/>
            </w:tcMar>
            <w:vAlign w:val="center"/>
            <w:shd w:fill="FFFFFF"/>
          </w:tcPr>
          <w:p>
            <w:pPr>
              <w:spacing w:before="20" w:after="20" w:line="250" w:lineRule="auto"/>
              <w:jc w:val="left"/>
            </w:pPr>
            <w:r>
              <w:rPr>
                <w:sz w:val="19"/>
              </w:rPr>
            </w:r>
            <w:r>
              <w:rPr>
                <w:b w:val="0"/>
                <w:sz w:val="19"/>
              </w:rPr>
              <w:t>Assessment 1</w:t>
            </w:r>
          </w:p>
        </w:tc>
      </w:tr>
      <w:tr>
        <w:trPr>
          <w:cantSplit/>
        </w:trPr>
        <w:tc>
          <w:tcPr>
            <w:tcW w:type="dxa" w:w="3168"/>
            <w:tcMar>
              <w:top w:w="85" w:type="dxa"/>
              <w:start w:w="100" w:type="dxa"/>
              <w:bottom w:w="85" w:type="dxa"/>
              <w:end w:w="100" w:type="dxa"/>
            </w:tcMar>
            <w:shd w:fill="EAF4EC" w:val="clear"/>
            <w:vAlign w:val="top"/>
          </w:tcPr>
          <w:p>
            <w:pPr>
              <w:spacing w:after="0"/>
            </w:pPr>
            <w:r>
              <w:rPr>
                <w:rFonts w:ascii="Arial" w:hAnsi="Arial" w:eastAsia="Arial"/>
                <w:color w:val="000000"/>
                <w:sz w:val="19"/>
              </w:rPr>
              <w:t>Assessor</w:t>
            </w:r>
          </w:p>
        </w:tc>
        <w:tc>
          <w:tcPr>
            <w:tcW w:type="dxa" w:w="7056"/>
            <w:tcMar>
              <w:top w:w="85" w:type="dxa"/>
              <w:start w:w="100" w:type="dxa"/>
              <w:bottom w:w="85" w:type="dxa"/>
              <w:end w:w="100" w:type="dxa"/>
            </w:tcMar>
            <w:shd w:fill="EAF4EC" w:val="clear"/>
            <w:vAlign w:val="center"/>
          </w:tcPr>
          <w:p>
            <w:pPr>
              <w:spacing w:before="20" w:after="20" w:line="250" w:lineRule="auto"/>
              <w:jc w:val="left"/>
            </w:pPr>
            <w:r>
              <w:rPr>
                <w:sz w:val="19"/>
              </w:rPr>
            </w:r>
            <w:r>
              <w:rPr>
                <w:b w:val="0"/>
                <w:sz w:val="19"/>
              </w:rPr>
              <w:t>Alex Richards</w:t>
            </w:r>
          </w:p>
        </w:tc>
      </w:tr>
      <w:tr>
        <w:trPr>
          <w:cantSplit/>
        </w:trPr>
        <w:tc>
          <w:tcPr>
            <w:tcW w:type="dxa" w:w="3168"/>
            <w:tcMar>
              <w:top w:w="85" w:type="dxa"/>
              <w:start w:w="100" w:type="dxa"/>
              <w:bottom w:w="85" w:type="dxa"/>
              <w:end w:w="100" w:type="dxa"/>
            </w:tcMar>
            <w:vAlign w:val="top"/>
            <w:shd w:fill="FFFFFF"/>
          </w:tcPr>
          <w:p>
            <w:pPr>
              <w:spacing w:after="0"/>
            </w:pPr>
            <w:r>
              <w:rPr>
                <w:rFonts w:ascii="Arial" w:hAnsi="Arial" w:eastAsia="Arial"/>
                <w:color w:val="000000"/>
                <w:sz w:val="19"/>
              </w:rPr>
              <w:t>Submission date</w:t>
            </w:r>
          </w:p>
        </w:tc>
        <w:tc>
          <w:tcPr>
            <w:tcW w:type="dxa" w:w="7056"/>
            <w:tcMar>
              <w:top w:w="85" w:type="dxa"/>
              <w:start w:w="100" w:type="dxa"/>
              <w:bottom w:w="85" w:type="dxa"/>
              <w:end w:w="100" w:type="dxa"/>
            </w:tcMar>
            <w:vAlign w:val="center"/>
            <w:shd w:fill="FFFFFF"/>
          </w:tcPr>
          <w:p>
            <w:pPr>
              <w:spacing w:before="20" w:after="20" w:line="250" w:lineRule="auto"/>
              <w:jc w:val="left"/>
            </w:pPr>
            <w:r>
              <w:rPr>
                <w:sz w:val="19"/>
              </w:rPr>
            </w:r>
            <w:r>
              <w:rPr>
                <w:b w:val="0"/>
                <w:sz w:val="19"/>
              </w:rPr>
              <w:t>29/09/2026</w:t>
            </w:r>
          </w:p>
        </w:tc>
      </w:tr>
    </w:tbl>
    <w:p>
      <w:pPr>
        <w:pStyle w:val="Heading1"/>
        <w:keepNext/>
        <w:spacing w:before="200" w:after="80"/>
      </w:pPr>
      <w:r>
        <w:rPr>
          <w:rFonts w:ascii="Arial" w:hAnsi="Arial" w:eastAsia="Arial"/>
          <w:b/>
          <w:color w:val="000000"/>
          <w:sz w:val="30"/>
        </w:rPr>
        <w:t>Assessment response</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2376"/>
            <w:shd w:fill="142C1C" w:val="clear"/>
            <w:tcMar>
              <w:top w:w="85" w:type="dxa"/>
              <w:start w:w="100" w:type="dxa"/>
              <w:bottom w:w="85" w:type="dxa"/>
              <w:end w:w="100" w:type="dxa"/>
            </w:tcMar>
            <w:vAlign w:val="center"/>
          </w:tcPr>
          <w:p>
            <w:pPr>
              <w:spacing w:after="0"/>
            </w:pPr>
            <w:r>
              <w:rPr>
                <w:rFonts w:ascii="Arial" w:hAnsi="Arial" w:eastAsia="Arial"/>
                <w:b/>
                <w:color w:val="FFFFFF"/>
                <w:sz w:val="19"/>
              </w:rPr>
              <w:t>Assessment criterion</w:t>
            </w:r>
          </w:p>
        </w:tc>
        <w:tc>
          <w:tcPr>
            <w:tcW w:type="dxa" w:w="7848"/>
            <w:shd w:fill="142C1C" w:val="clear"/>
            <w:tcMar>
              <w:top w:w="85" w:type="dxa"/>
              <w:start w:w="100" w:type="dxa"/>
              <w:bottom w:w="85" w:type="dxa"/>
              <w:end w:w="100" w:type="dxa"/>
            </w:tcMar>
            <w:vAlign w:val="center"/>
          </w:tcPr>
          <w:p>
            <w:pPr>
              <w:spacing w:after="0"/>
            </w:pPr>
            <w:r>
              <w:rPr>
                <w:rFonts w:ascii="Arial" w:hAnsi="Arial" w:eastAsia="Arial"/>
                <w:b/>
                <w:color w:val="FFFFFF"/>
                <w:sz w:val="19"/>
              </w:rPr>
              <w:t>My answer and explanation</w:t>
            </w:r>
          </w:p>
        </w:tc>
      </w:tr>
      <w:tr>
        <w:trPr>
          <w:cantSplit/>
        </w:trPr>
        <w:tc>
          <w:tcPr>
            <w:tcW w:type="dxa" w:w="2376"/>
            <w:tcMar>
              <w:top w:w="85" w:type="dxa"/>
              <w:start w:w="100" w:type="dxa"/>
              <w:bottom w:w="85" w:type="dxa"/>
              <w:end w:w="100" w:type="dxa"/>
            </w:tcMar>
            <w:vAlign w:val="center"/>
            <w:shd w:fill="FFFFFF"/>
          </w:tcPr>
          <w:p>
            <w:pPr>
              <w:spacing w:before="20" w:after="20" w:line="250" w:lineRule="auto"/>
              <w:jc w:val="left"/>
            </w:pPr>
            <w:r>
              <w:rPr>
                <w:sz w:val="17"/>
              </w:rPr>
            </w:r>
            <w:r>
              <w:rPr>
                <w:b/>
                <w:sz w:val="17"/>
              </w:rPr>
              <w:t>PI 1.1 Procedural</w:t>
            </w:r>
          </w:p>
        </w:tc>
        <w:tc>
          <w:tcPr>
            <w:tcW w:type="dxa" w:w="7848"/>
            <w:tcMar>
              <w:top w:w="85" w:type="dxa"/>
              <w:start w:w="100" w:type="dxa"/>
              <w:bottom w:w="85" w:type="dxa"/>
              <w:end w:w="100" w:type="dxa"/>
            </w:tcMar>
            <w:vAlign w:val="center"/>
            <w:shd w:fill="FFFFFF"/>
          </w:tcPr>
          <w:p>
            <w:pPr>
              <w:spacing w:before="20" w:after="20" w:line="250" w:lineRule="auto"/>
              <w:jc w:val="left"/>
            </w:pPr>
            <w:r>
              <w:rPr>
                <w:sz w:val="17"/>
              </w:rPr>
            </w:r>
            <w:r>
              <w:rPr>
                <w:b w:val="0"/>
                <w:sz w:val="17"/>
              </w:rPr>
              <w:t>Procedural programming organises a program as ordered statements and reusable procedures. Each statement changes or uses the program state, while a procedure groups a task so it can be called without repeating the same code. In Trade-A-Them, the calculate_macd procedure calculates the short and long exponential moving averages before using them to produce the MACD and signal values, so the order matters. The calculate_order_total procedure in my assessment code follows the same principle: it calculates VAT first, adds that value to the net price and then returns the rounded total. My earlier Level 3 coding work used this approach whenever a task was easiest to understand as a controlled sequence of steps.</w:t>
            </w:r>
          </w:p>
        </w:tc>
      </w:tr>
      <w:tr>
        <w:trPr>
          <w:cantSplit/>
        </w:trPr>
        <w:tc>
          <w:tcPr>
            <w:tcW w:type="dxa" w:w="2376"/>
            <w:tcMar>
              <w:top w:w="85" w:type="dxa"/>
              <w:start w:w="100" w:type="dxa"/>
              <w:bottom w:w="85" w:type="dxa"/>
              <w:end w:w="100" w:type="dxa"/>
            </w:tcMar>
            <w:shd w:fill="EAF4EC" w:val="clear"/>
            <w:vAlign w:val="center"/>
          </w:tcPr>
          <w:p>
            <w:pPr>
              <w:spacing w:before="20" w:after="20" w:line="250" w:lineRule="auto"/>
              <w:jc w:val="left"/>
            </w:pPr>
            <w:r>
              <w:rPr>
                <w:sz w:val="17"/>
              </w:rPr>
            </w:r>
            <w:r>
              <w:rPr>
                <w:b/>
                <w:sz w:val="17"/>
              </w:rPr>
              <w:t>PI 1.1 Object oriented</w:t>
            </w:r>
          </w:p>
        </w:tc>
        <w:tc>
          <w:tcPr>
            <w:tcW w:type="dxa" w:w="7848"/>
            <w:tcMar>
              <w:top w:w="85" w:type="dxa"/>
              <w:start w:w="100" w:type="dxa"/>
              <w:bottom w:w="85" w:type="dxa"/>
              <w:end w:w="100" w:type="dxa"/>
            </w:tcMar>
            <w:shd w:fill="EAF4EC" w:val="clear"/>
            <w:vAlign w:val="center"/>
          </w:tcPr>
          <w:p>
            <w:pPr>
              <w:spacing w:before="20" w:after="20" w:line="250" w:lineRule="auto"/>
              <w:jc w:val="left"/>
            </w:pPr>
            <w:r>
              <w:rPr>
                <w:sz w:val="17"/>
              </w:rPr>
            </w:r>
            <w:r>
              <w:rPr>
                <w:b w:val="0"/>
                <w:sz w:val="17"/>
              </w:rPr>
              <w:t>Object-oriented programming uses classes as blueprints and objects as working instances of those classes. A class defines the data and behaviour that belong together; each object can then hold its own values while using the same methods. KORA uses classes such as KoraModelConfig to keep model settings together and RMSNorm to provide reusable neural-network behaviour. When a model configuration or normalisation layer is created, it becomes an object with its own state. This also connects with my Level 3 AI Programming with Python work, where PyTorch models inherited from nn.Module and the instantiated model object was trained, evaluated and saved.</w:t>
            </w:r>
          </w:p>
        </w:tc>
      </w:tr>
      <w:tr>
        <w:trPr>
          <w:cantSplit/>
        </w:trPr>
        <w:tc>
          <w:tcPr>
            <w:tcW w:type="dxa" w:w="2376"/>
            <w:tcMar>
              <w:top w:w="85" w:type="dxa"/>
              <w:start w:w="100" w:type="dxa"/>
              <w:bottom w:w="85" w:type="dxa"/>
              <w:end w:w="100" w:type="dxa"/>
            </w:tcMar>
            <w:vAlign w:val="center"/>
            <w:shd w:fill="FFFFFF"/>
          </w:tcPr>
          <w:p>
            <w:pPr>
              <w:spacing w:before="20" w:after="20" w:line="250" w:lineRule="auto"/>
              <w:jc w:val="left"/>
            </w:pPr>
            <w:r>
              <w:rPr>
                <w:sz w:val="17"/>
              </w:rPr>
            </w:r>
            <w:r>
              <w:rPr>
                <w:b/>
                <w:sz w:val="17"/>
              </w:rPr>
              <w:t>PI 1.1 Event driven</w:t>
            </w:r>
          </w:p>
        </w:tc>
        <w:tc>
          <w:tcPr>
            <w:tcW w:type="dxa" w:w="7848"/>
            <w:tcMar>
              <w:top w:w="85" w:type="dxa"/>
              <w:start w:w="100" w:type="dxa"/>
              <w:bottom w:w="85" w:type="dxa"/>
              <w:end w:w="100" w:type="dxa"/>
            </w:tcMar>
            <w:vAlign w:val="center"/>
            <w:shd w:fill="FFFFFF"/>
          </w:tcPr>
          <w:p>
            <w:pPr>
              <w:spacing w:before="20" w:after="20" w:line="250" w:lineRule="auto"/>
              <w:jc w:val="left"/>
            </w:pPr>
            <w:r>
              <w:rPr>
                <w:sz w:val="17"/>
              </w:rPr>
            </w:r>
            <w:r>
              <w:rPr>
                <w:b w:val="0"/>
                <w:sz w:val="17"/>
              </w:rPr>
              <w:t>Event-driven programming waits for an event and then runs the handler registered for it. The trigger may be a button click, a message or a change in state; the handler contains the response. In OG Labs, renderer buttons use click listeners so selecting Start Lab calls the function that begins the chosen lab, while the Stop Lab control triggers the matching shutdown action. KORA follows the same pattern when an interface action or incoming application message calls the relevant handler instead of running every feature in a fixed sequence. This suits interactive software because the user and the system decide when each part runs.</w:t>
            </w:r>
          </w:p>
        </w:tc>
      </w:tr>
      <w:tr>
        <w:trPr>
          <w:cantSplit/>
        </w:trPr>
        <w:tc>
          <w:tcPr>
            <w:tcW w:type="dxa" w:w="2376"/>
            <w:tcMar>
              <w:top w:w="85" w:type="dxa"/>
              <w:start w:w="100" w:type="dxa"/>
              <w:bottom w:w="85" w:type="dxa"/>
              <w:end w:w="100" w:type="dxa"/>
            </w:tcMar>
            <w:shd w:fill="EAF4EC" w:val="clear"/>
            <w:vAlign w:val="center"/>
          </w:tcPr>
          <w:p>
            <w:pPr>
              <w:spacing w:before="20" w:after="20" w:line="250" w:lineRule="auto"/>
              <w:jc w:val="left"/>
            </w:pPr>
            <w:r>
              <w:rPr>
                <w:sz w:val="17"/>
              </w:rPr>
            </w:r>
            <w:r>
              <w:rPr>
                <w:b/>
                <w:sz w:val="17"/>
              </w:rPr>
              <w:t>PI 2.1 Variables</w:t>
            </w:r>
          </w:p>
        </w:tc>
        <w:tc>
          <w:tcPr>
            <w:tcW w:type="dxa" w:w="7848"/>
            <w:tcMar>
              <w:top w:w="85" w:type="dxa"/>
              <w:start w:w="100" w:type="dxa"/>
              <w:bottom w:w="85" w:type="dxa"/>
              <w:end w:w="100" w:type="dxa"/>
            </w:tcMar>
            <w:shd w:fill="EAF4EC" w:val="clear"/>
            <w:vAlign w:val="center"/>
          </w:tcPr>
          <w:p>
            <w:pPr>
              <w:spacing w:before="20" w:after="20" w:line="250" w:lineRule="auto"/>
              <w:jc w:val="left"/>
            </w:pPr>
            <w:r>
              <w:rPr>
                <w:sz w:val="17"/>
              </w:rPr>
            </w:r>
            <w:r>
              <w:rPr>
                <w:b w:val="0"/>
                <w:sz w:val="17"/>
              </w:rPr>
              <w:t>A variable is a named reference to a value that a program needs to store and use. Its name should describe the value, while its data type controls which operations make sense. In the supplied code, name stores the string "Alice", age stores the integer 16 and is_student stores the Boolean value True. My assessment function returns those three values and the tests confirm their types. Trade-A-Them uses the same idea with names such as ema12, ema26 and macd for calculated numerical series, while KORA configuration objects store values such as model dimensions and dropout settings. My previous Python qualifications made the practical reason clear: meaningful variables make code easier to check, reuse and debug.</w:t>
            </w:r>
          </w:p>
        </w:tc>
      </w:tr>
      <w:tr>
        <w:trPr>
          <w:cantSplit/>
        </w:trPr>
        <w:tc>
          <w:tcPr>
            <w:tcW w:type="dxa" w:w="2376"/>
            <w:tcMar>
              <w:top w:w="85" w:type="dxa"/>
              <w:start w:w="100" w:type="dxa"/>
              <w:bottom w:w="85" w:type="dxa"/>
              <w:end w:w="100" w:type="dxa"/>
            </w:tcMar>
            <w:vAlign w:val="center"/>
            <w:shd w:fill="FFFFFF"/>
          </w:tcPr>
          <w:p>
            <w:pPr>
              <w:spacing w:before="20" w:after="20" w:line="250" w:lineRule="auto"/>
              <w:jc w:val="left"/>
            </w:pPr>
            <w:r>
              <w:rPr>
                <w:sz w:val="17"/>
              </w:rPr>
            </w:r>
            <w:r>
              <w:rPr>
                <w:b/>
                <w:sz w:val="17"/>
              </w:rPr>
              <w:t>PI 2.2 Sequence</w:t>
            </w:r>
          </w:p>
        </w:tc>
        <w:tc>
          <w:tcPr>
            <w:tcW w:type="dxa" w:w="7848"/>
            <w:tcMar>
              <w:top w:w="85" w:type="dxa"/>
              <w:start w:w="100" w:type="dxa"/>
              <w:bottom w:w="85" w:type="dxa"/>
              <w:end w:w="100" w:type="dxa"/>
            </w:tcMar>
            <w:vAlign w:val="center"/>
            <w:shd w:fill="FFFFFF"/>
          </w:tcPr>
          <w:p>
            <w:pPr>
              <w:spacing w:before="20" w:after="20" w:line="250" w:lineRule="auto"/>
              <w:jc w:val="left"/>
            </w:pPr>
            <w:r>
              <w:rPr>
                <w:sz w:val="17"/>
              </w:rPr>
            </w:r>
            <w:r>
              <w:rPr>
                <w:b w:val="0"/>
                <w:sz w:val="17"/>
              </w:rPr>
              <w:t>Sequence means that statements run in a defined order. Lines 12 to 16 of the submitted program calculate the VAT amount before adding it to the net price; reversing those steps would leave gross_price without the value it needs. Trade-A-Them uses the same dependency when calculate_macd creates ema12 and ema26 before subtracting them to obtain the MACD line. Both examples show that sequence is about data dependency as well as reading from top to bottom. The relevant code is shown in Evidence E01.</w:t>
            </w:r>
          </w:p>
        </w:tc>
      </w:tr>
      <w:tr>
        <w:trPr>
          <w:cantSplit/>
        </w:trPr>
        <w:tc>
          <w:tcPr>
            <w:tcW w:type="dxa" w:w="2376"/>
            <w:tcMar>
              <w:top w:w="85" w:type="dxa"/>
              <w:start w:w="100" w:type="dxa"/>
              <w:bottom w:w="85" w:type="dxa"/>
              <w:end w:w="100" w:type="dxa"/>
            </w:tcMar>
            <w:shd w:fill="EAF4EC" w:val="clear"/>
            <w:vAlign w:val="center"/>
          </w:tcPr>
          <w:p>
            <w:pPr>
              <w:spacing w:before="20" w:after="20" w:line="250" w:lineRule="auto"/>
              <w:jc w:val="left"/>
            </w:pPr>
            <w:r>
              <w:rPr>
                <w:sz w:val="17"/>
              </w:rPr>
            </w:r>
            <w:r>
              <w:rPr>
                <w:b/>
                <w:sz w:val="17"/>
              </w:rPr>
              <w:t>PI 2.2 Selection and iteration</w:t>
            </w:r>
          </w:p>
        </w:tc>
        <w:tc>
          <w:tcPr>
            <w:tcW w:type="dxa" w:w="7848"/>
            <w:tcMar>
              <w:top w:w="85" w:type="dxa"/>
              <w:start w:w="100" w:type="dxa"/>
              <w:bottom w:w="85" w:type="dxa"/>
              <w:end w:w="100" w:type="dxa"/>
            </w:tcMar>
            <w:shd w:fill="EAF4EC" w:val="clear"/>
            <w:vAlign w:val="center"/>
          </w:tcPr>
          <w:p>
            <w:pPr>
              <w:spacing w:before="20" w:after="20" w:line="250" w:lineRule="auto"/>
              <w:jc w:val="left"/>
            </w:pPr>
            <w:r>
              <w:rPr>
                <w:sz w:val="17"/>
              </w:rPr>
            </w:r>
            <w:r>
              <w:rPr>
                <w:b w:val="0"/>
                <w:sz w:val="17"/>
              </w:rPr>
              <w:t>Selection chooses a route after testing a condition. The OG Labs inspired lab_access_message function checks that access is authorised and isolated, then returns either an approval or a block. A similar check in Trade-A-Them can reject missing or unsuitable market data before calculations continue. Iteration repeats instructions over a collection or while a condition remains true. The format_recent_alerts loop processes every KORA alert in the supplied list, and my earlier AI Python work used loops to run through training batches and epochs. Evidence E01 and E02 show the selection and iteration code with the required # annotations.</w:t>
            </w:r>
          </w:p>
        </w:tc>
      </w:tr>
    </w:tbl>
    <w:p>
      <w:r>
        <w:br w:type="page"/>
      </w:r>
    </w:p>
    <w:p>
      <w:pPr>
        <w:pStyle w:val="Heading1"/>
        <w:keepNext/>
        <w:spacing w:before="200" w:after="80"/>
      </w:pPr>
      <w:r>
        <w:rPr>
          <w:rFonts w:ascii="Arial" w:hAnsi="Arial" w:eastAsia="Arial"/>
          <w:b/>
          <w:color w:val="000000"/>
          <w:sz w:val="30"/>
        </w:rPr>
        <w:t>Additional answer space</w:t>
      </w:r>
    </w:p>
    <w:tbl>
      <w:tblPr>
        <w:tblW w:type="auto" w:w="0"/>
        <w:jc w:val="center"/>
        <w:tblLayout w:type="autofit"/>
        <w:tblLook w:firstColumn="1" w:firstRow="1" w:lastColumn="0" w:lastRow="0" w:noHBand="0" w:noVBand="1" w:val="04A0"/>
      </w:tblPr>
      <w:tblGrid>
        <w:gridCol w:w="5298"/>
        <w:gridCol w:w="5298"/>
      </w:tblGrid>
      <w:tr>
        <w:trPr>
          <w:tblHeader w:val="true"/>
          <w:cantSplit/>
        </w:trPr>
        <w:tc>
          <w:tcPr>
            <w:tcW w:type="dxa" w:w="2376"/>
            <w:shd w:fill="142C1C" w:val="clear"/>
            <w:tcMar>
              <w:top w:w="85" w:type="dxa"/>
              <w:start w:w="100" w:type="dxa"/>
              <w:bottom w:w="85" w:type="dxa"/>
              <w:end w:w="100" w:type="dxa"/>
            </w:tcMar>
            <w:vAlign w:val="center"/>
          </w:tcPr>
          <w:p>
            <w:pPr>
              <w:spacing w:after="0"/>
            </w:pPr>
            <w:r>
              <w:rPr>
                <w:rFonts w:ascii="Arial" w:hAnsi="Arial" w:eastAsia="Arial"/>
                <w:b/>
                <w:color w:val="FFFFFF"/>
                <w:sz w:val="19"/>
              </w:rPr>
              <w:t>Criterion or question</w:t>
            </w:r>
          </w:p>
        </w:tc>
        <w:tc>
          <w:tcPr>
            <w:tcW w:type="dxa" w:w="7848"/>
            <w:shd w:fill="142C1C" w:val="clear"/>
            <w:tcMar>
              <w:top w:w="85" w:type="dxa"/>
              <w:start w:w="100" w:type="dxa"/>
              <w:bottom w:w="85" w:type="dxa"/>
              <w:end w:w="100" w:type="dxa"/>
            </w:tcMar>
            <w:vAlign w:val="center"/>
          </w:tcPr>
          <w:p>
            <w:pPr>
              <w:spacing w:after="0"/>
            </w:pPr>
            <w:r>
              <w:rPr>
                <w:rFonts w:ascii="Arial" w:hAnsi="Arial" w:eastAsia="Arial"/>
                <w:b/>
                <w:color w:val="FFFFFF"/>
                <w:sz w:val="19"/>
              </w:rPr>
              <w:t>Continuation of my answer</w:t>
            </w:r>
          </w:p>
        </w:tc>
      </w:tr>
      <w:tr>
        <w:trPr>
          <w:cantSplit/>
        </w:trPr>
        <w:tc>
          <w:tcPr>
            <w:tcW w:type="dxa" w:w="2376"/>
            <w:tcMar>
              <w:top w:w="85" w:type="dxa"/>
              <w:start w:w="100" w:type="dxa"/>
              <w:bottom w:w="85" w:type="dxa"/>
              <w:end w:w="100" w:type="dxa"/>
            </w:tcMar>
            <w:vAlign w:val="center"/>
            <w:shd w:fill="FFFFFF"/>
          </w:tcPr>
          <w:p>
            <w:pPr>
              <w:spacing w:before="20" w:after="20" w:line="250" w:lineRule="auto"/>
              <w:jc w:val="left"/>
            </w:pPr>
            <w:r>
              <w:rPr>
                <w:sz w:val="17"/>
              </w:rPr>
            </w:r>
            <w:r>
              <w:rPr>
                <w:b/>
                <w:sz w:val="17"/>
              </w:rPr>
              <w:t>PI 2.3 Arrays and stacks</w:t>
            </w:r>
          </w:p>
        </w:tc>
        <w:tc>
          <w:tcPr>
            <w:tcW w:type="dxa" w:w="7848"/>
            <w:tcMar>
              <w:top w:w="85" w:type="dxa"/>
              <w:start w:w="100" w:type="dxa"/>
              <w:bottom w:w="85" w:type="dxa"/>
              <w:end w:w="100" w:type="dxa"/>
            </w:tcMar>
            <w:vAlign w:val="center"/>
            <w:shd w:fill="FFFFFF"/>
          </w:tcPr>
          <w:p>
            <w:pPr>
              <w:spacing w:before="20" w:after="20" w:line="250" w:lineRule="auto"/>
              <w:jc w:val="left"/>
            </w:pPr>
            <w:r>
              <w:rPr>
                <w:sz w:val="17"/>
              </w:rPr>
            </w:r>
            <w:r>
              <w:rPr>
                <w:b w:val="0"/>
                <w:sz w:val="17"/>
              </w:rPr>
              <w:t>An array stores an ordered collection whose items are accessed by an index, normally beginning at zero. In my AI Programming with Python work, NumPy arrays and tensors held training values so the code could select rows, columns and batches efficiently; KORA uses the same indexed idea for tensors passed through its model. A stack is an ordered structure that follows last in, first out: push adds an item, pop removes the newest item and peek reads it without removal. An undo history in OG Code Central is a suitable stack because the most recent edit should be reversed first, while KORA can use a stack when the latest pending action needs to be handled before older ones.</w:t>
            </w:r>
          </w:p>
        </w:tc>
      </w:tr>
      <w:tr>
        <w:trPr>
          <w:cantSplit/>
        </w:trPr>
        <w:tc>
          <w:tcPr>
            <w:tcW w:type="dxa" w:w="2376"/>
            <w:tcMar>
              <w:top w:w="85" w:type="dxa"/>
              <w:start w:w="100" w:type="dxa"/>
              <w:bottom w:w="85" w:type="dxa"/>
              <w:end w:w="100" w:type="dxa"/>
            </w:tcMar>
            <w:shd w:fill="EAF4EC" w:val="clear"/>
            <w:vAlign w:val="center"/>
          </w:tcPr>
          <w:p>
            <w:pPr>
              <w:spacing w:before="20" w:after="20" w:line="250" w:lineRule="auto"/>
              <w:jc w:val="left"/>
            </w:pPr>
            <w:r>
              <w:rPr>
                <w:sz w:val="17"/>
              </w:rPr>
            </w:r>
            <w:r>
              <w:rPr>
                <w:b/>
                <w:sz w:val="17"/>
              </w:rPr>
              <w:t>PI 2.4 Algorithms</w:t>
            </w:r>
          </w:p>
        </w:tc>
        <w:tc>
          <w:tcPr>
            <w:tcW w:type="dxa" w:w="7848"/>
            <w:tcMar>
              <w:top w:w="85" w:type="dxa"/>
              <w:start w:w="100" w:type="dxa"/>
              <w:bottom w:w="85" w:type="dxa"/>
              <w:end w:w="100" w:type="dxa"/>
            </w:tcMar>
            <w:shd w:fill="EAF4EC" w:val="clear"/>
            <w:vAlign w:val="center"/>
          </w:tcPr>
          <w:p>
            <w:pPr>
              <w:spacing w:before="20" w:after="20" w:line="250" w:lineRule="auto"/>
              <w:jc w:val="left"/>
            </w:pPr>
            <w:r>
              <w:rPr>
                <w:sz w:val="17"/>
              </w:rPr>
            </w:r>
            <w:r>
              <w:rPr>
                <w:b w:val="0"/>
                <w:sz w:val="17"/>
              </w:rPr>
              <w:t>An algorithm is a finite set of instructions for solving a problem. A sorting algorithm rearranges data into an order; bubble sort repeatedly compares neighbouring values and swaps them until no further swaps are required. Trade-A-Them could sort strategy results by return or risk before presenting them. A searching algorithm locates a target value; linear search checks each item until it finds a match or reaches the end. OG Labs uses the same practical idea when a guide or lab record is found from a name or pattern. KORA also filters learning sources before ranking relevant results, which combines searching with ordering rather than checking records at random.</w:t>
            </w:r>
          </w:p>
        </w:tc>
      </w:tr>
      <w:tr>
        <w:trPr>
          <w:cantSplit/>
        </w:trPr>
        <w:tc>
          <w:tcPr>
            <w:tcW w:type="dxa" w:w="2376"/>
            <w:tcMar>
              <w:top w:w="85" w:type="dxa"/>
              <w:start w:w="100" w:type="dxa"/>
              <w:bottom w:w="85" w:type="dxa"/>
              <w:end w:w="100" w:type="dxa"/>
            </w:tcMar>
            <w:vAlign w:val="center"/>
            <w:shd w:fill="FFFFFF"/>
          </w:tcPr>
          <w:p>
            <w:pPr>
              <w:spacing w:before="20" w:after="20" w:line="250" w:lineRule="auto"/>
              <w:jc w:val="left"/>
            </w:pPr>
            <w:r>
              <w:rPr>
                <w:sz w:val="17"/>
              </w:rPr>
            </w:r>
            <w:r>
              <w:rPr>
                <w:b/>
                <w:sz w:val="17"/>
              </w:rPr>
              <w:t>PI 2.5 Testing</w:t>
            </w:r>
          </w:p>
        </w:tc>
        <w:tc>
          <w:tcPr>
            <w:tcW w:type="dxa" w:w="7848"/>
            <w:tcMar>
              <w:top w:w="85" w:type="dxa"/>
              <w:start w:w="100" w:type="dxa"/>
              <w:bottom w:w="85" w:type="dxa"/>
              <w:end w:w="100" w:type="dxa"/>
            </w:tcMar>
            <w:vAlign w:val="center"/>
            <w:shd w:fill="FFFFFF"/>
          </w:tcPr>
          <w:p>
            <w:pPr>
              <w:spacing w:before="20" w:after="20" w:line="250" w:lineRule="auto"/>
              <w:jc w:val="left"/>
            </w:pPr>
            <w:r>
              <w:rPr>
                <w:sz w:val="17"/>
              </w:rPr>
            </w:r>
            <w:r>
              <w:rPr>
                <w:b w:val="0"/>
                <w:sz w:val="17"/>
              </w:rPr>
              <w:t>Testing checks whether software behaves as expected, including normal, boundary and invalid cases. I wrote four unit tests for this assessment. They confirm the string, integer and Boolean variable types, the VAT sequence, both outcomes of the lab-access selection and every item produced by the alert loop. The captured run reports that all four tests passed. This follows the method used in my previous Level 3 coding and AI work, where individual functions were tested before they were relied on by the wider program; Trade-A-Them calculations and KORA model utilities both benefit from that separation.</w:t>
            </w:r>
          </w:p>
        </w:tc>
      </w:tr>
      <w:tr>
        <w:trPr>
          <w:cantSplit/>
        </w:trPr>
        <w:tc>
          <w:tcPr>
            <w:tcW w:type="dxa" w:w="2376"/>
            <w:tcMar>
              <w:top w:w="85" w:type="dxa"/>
              <w:start w:w="100" w:type="dxa"/>
              <w:bottom w:w="85" w:type="dxa"/>
              <w:end w:w="100" w:type="dxa"/>
            </w:tcMar>
            <w:shd w:fill="EAF4EC" w:val="clear"/>
            <w:vAlign w:val="center"/>
          </w:tcPr>
          <w:p>
            <w:pPr>
              <w:spacing w:before="20" w:after="20" w:line="250" w:lineRule="auto"/>
              <w:jc w:val="left"/>
            </w:pPr>
            <w:r>
              <w:rPr>
                <w:sz w:val="17"/>
              </w:rPr>
            </w:r>
            <w:r>
              <w:rPr>
                <w:b/>
                <w:sz w:val="17"/>
              </w:rPr>
              <w:t>PI 2.5 Debugging</w:t>
            </w:r>
          </w:p>
        </w:tc>
        <w:tc>
          <w:tcPr>
            <w:tcW w:type="dxa" w:w="7848"/>
            <w:tcMar>
              <w:top w:w="85" w:type="dxa"/>
              <w:start w:w="100" w:type="dxa"/>
              <w:bottom w:w="85" w:type="dxa"/>
              <w:end w:w="100" w:type="dxa"/>
            </w:tcMar>
            <w:shd w:fill="EAF4EC" w:val="clear"/>
            <w:vAlign w:val="center"/>
          </w:tcPr>
          <w:p>
            <w:pPr>
              <w:spacing w:before="20" w:after="20" w:line="250" w:lineRule="auto"/>
              <w:jc w:val="left"/>
            </w:pPr>
            <w:r>
              <w:rPr>
                <w:sz w:val="17"/>
              </w:rPr>
            </w:r>
            <w:r>
              <w:rPr>
                <w:b w:val="0"/>
                <w:sz w:val="17"/>
              </w:rPr>
              <w:t>Debugging finds the cause of a fault after testing or use reveals that something is wrong. A breakpoint pauses execution at a chosen line so values and the route through the program can be inspected. I could place one on the Boolean condition in lab_access_message to check why access was approved or blocked, or pause inside Trade-A-Them before MACD is calculated to inspect the input data. Step into opens a called procedure line by line, so it can follow calculate_order_total from main; step out finishes that procedure and returns to the calling code. These controls isolate the faulty step without changing several parts of the program at once.</w:t>
            </w:r>
          </w:p>
        </w:tc>
      </w:tr>
    </w:tbl>
    <w:p>
      <w:pPr>
        <w:pStyle w:val="Heading1"/>
        <w:keepNext/>
        <w:spacing w:before="200" w:after="80"/>
      </w:pPr>
      <w:r>
        <w:rPr>
          <w:rFonts w:ascii="Arial" w:hAnsi="Arial" w:eastAsia="Arial"/>
          <w:b/>
          <w:color w:val="000000"/>
          <w:sz w:val="30"/>
        </w:rPr>
        <w:t>Final review</w:t>
      </w:r>
    </w:p>
    <w:p>
      <w:pPr>
        <w:spacing w:after="120" w:line="252" w:lineRule="auto"/>
      </w:pPr>
      <w:r>
        <w:rPr>
          <w:sz w:val="20"/>
        </w:rPr>
        <w:t>I checked each response against the assessment wording and the Unit 1 teaching slides. The submitted code ran successfully and all four unit tests passed. The evidence collection links every screenshot and annotation to the relevant criterion.</w:t>
      </w:r>
    </w:p>
    <w:sectPr w:rsidR="00DC5823" w:rsidSect="00034616">
      <w:headerReference w:type="default" r:id="rId34"/>
      <w:footerReference w:type="default" r:id="rId35"/>
      <w:headerReference w:type="first" r:id="rId38"/>
      <w:headerReference w:type="even" r:id="rId39"/>
      <w:pgSz w:w="12240" w:h="15840"/>
      <w:pgMar w:top="979" w:right="822" w:bottom="794" w:left="822" w:header="11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4585" w14:textId="77777777" w:rsidR="008D5ECF" w:rsidRDefault="008D5ECF">
      <w:pPr>
        <w:spacing w:after="0" w:line="240" w:lineRule="auto"/>
      </w:pPr>
      <w:r>
        <w:separator/>
      </w:r>
    </w:p>
  </w:endnote>
  <w:endnote w:type="continuationSeparator" w:id="0">
    <w:p w14:paraId="31638871" w14:textId="77777777" w:rsidR="008D5ECF" w:rsidRDefault="008D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D9" w14:textId="77777777" w:rsidR="00DC5823" w:rsidRDefault="00DC5823">
    <w:pPr>
      <w:pStyle w:val="Footer"/>
    </w:pPr>
  </w:p>
  <w:tbl>
    <w:tblPr>
      <w:tblW w:w="0" w:type="auto"/>
      <w:tblLayout w:type="fixed"/>
      <w:tblLook w:val="04A0" w:firstRow="1" w:lastRow="0" w:firstColumn="1" w:lastColumn="0" w:noHBand="0" w:noVBand="1"/>
    </w:tblPr>
    <w:tblGrid>
      <w:gridCol w:w="3360"/>
      <w:gridCol w:w="3360"/>
      <w:gridCol w:w="3360"/>
    </w:tblGrid>
    <w:tr w:rsidR="00DC5823" w14:paraId="0ED37694" w14:textId="77777777">
      <w:tc>
        <w:tcPr>
          <w:tcW w:w="3360" w:type="dxa"/>
        </w:tcPr>
        <w:p w14:paraId="77CE985A" w14:textId="77777777" w:rsidR="00DC5823" w:rsidRDefault="00000000">
          <w:r>
            <w:rPr>
              <w:noProof/>
            </w:rPr>
            <w:drawing>
              <wp:inline distT="0" distB="0" distL="0" distR="0" wp14:anchorId="6A25BBE8" wp14:editId="44A69357">
                <wp:extent cx="329184" cy="329184"/>
                <wp:effectExtent l="0" t="0" r="0" b="0"/>
                <wp:docPr id="1213031820" name="Picture 12130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29184" cy="329184"/>
                        </a:xfrm>
                        <a:prstGeom prst="rect">
                          <a:avLst/>
                        </a:prstGeom>
                      </pic:spPr>
                    </pic:pic>
                  </a:graphicData>
                </a:graphic>
              </wp:inline>
            </w:drawing>
          </w:r>
          <w:r>
            <w:rPr>
              <w:color w:val="566060"/>
              <w:sz w:val="11"/>
            </w:rPr>
            <w:t xml:space="preserve"> Trade-A-Them | www.tradeathem.co.uk | part of OG</w:t>
          </w:r>
        </w:p>
      </w:tc>
      <w:tc>
        <w:tcPr>
          <w:tcW w:w="3360" w:type="dxa"/>
        </w:tcPr>
        <w:p w14:paraId="4BB7A7B6" w14:textId="77777777" w:rsidR="00DC5823" w:rsidRDefault="00000000">
          <w:pPr>
            <w:jc w:val="center"/>
          </w:pPr>
          <w:r>
            <w:rPr>
              <w:color w:val="566060"/>
              <w:sz w:val="11"/>
            </w:rPr>
            <w:t>OG-</w:t>
          </w:r>
          <w:proofErr w:type="spellStart"/>
          <w:proofErr w:type="gramStart"/>
          <w:r>
            <w:rPr>
              <w:color w:val="566060"/>
              <w:sz w:val="11"/>
            </w:rPr>
            <w:t>web.site</w:t>
          </w:r>
          <w:proofErr w:type="spellEnd"/>
          <w:proofErr w:type="gramEnd"/>
          <w:r>
            <w:rPr>
              <w:color w:val="566060"/>
              <w:sz w:val="11"/>
            </w:rPr>
            <w:t xml:space="preserve"> | </w:t>
          </w:r>
          <w:proofErr w:type="spellStart"/>
          <w:r>
            <w:rPr>
              <w:color w:val="566060"/>
              <w:sz w:val="11"/>
            </w:rPr>
            <w:t>og@og-web.site</w:t>
          </w:r>
          <w:proofErr w:type="spellEnd"/>
          <w:r>
            <w:rPr>
              <w:color w:val="566060"/>
              <w:sz w:val="11"/>
            </w:rPr>
            <w:t xml:space="preserve"> | github.com/OG-Website</w:t>
          </w:r>
        </w:p>
      </w:tc>
      <w:tc>
        <w:tcPr>
          <w:tcW w:w="3360" w:type="dxa"/>
        </w:tcPr>
        <w:p w14:paraId="5FA9C410" w14:textId="77777777" w:rsidR="00DC5823" w:rsidRDefault="00000000">
          <w:pPr>
            <w:jc w:val="right"/>
          </w:pPr>
          <w:r>
            <w:rPr>
              <w:color w:val="566060"/>
              <w:sz w:val="12"/>
            </w:rPr>
            <w:t xml:space="preserve">Page </w:t>
          </w:r>
          <w:r>
            <w:rPr>
              <w:color w:val="566060"/>
              <w:sz w:val="12"/>
            </w:rPr>
            <w:fldChar w:fldCharType="begin"/>
          </w:r>
          <w:r>
            <w:rPr>
              <w:color w:val="566060"/>
              <w:sz w:val="12"/>
            </w:rPr>
            <w:instrText>PAGE</w:instrText>
          </w:r>
          <w:r>
            <w:rPr>
              <w:color w:val="566060"/>
              <w:sz w:val="12"/>
            </w:rPr>
            <w:fldChar w:fldCharType="separate"/>
          </w:r>
          <w:r w:rsidR="009E164F">
            <w:rPr>
              <w:noProof/>
              <w:color w:val="566060"/>
              <w:sz w:val="12"/>
            </w:rPr>
            <w:t>1</w:t>
          </w:r>
          <w:r>
            <w:rPr>
              <w:color w:val="566060"/>
              <w:sz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FF49" w14:textId="77777777" w:rsidR="008D5ECF" w:rsidRDefault="008D5ECF">
      <w:pPr>
        <w:spacing w:after="0" w:line="240" w:lineRule="auto"/>
      </w:pPr>
      <w:r>
        <w:separator/>
      </w:r>
    </w:p>
  </w:footnote>
  <w:footnote w:type="continuationSeparator" w:id="0">
    <w:p w14:paraId="72AB4D1C" w14:textId="77777777" w:rsidR="008D5ECF" w:rsidRDefault="008D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left"/>
    </w:pPr>
    <w:r>
      <w:drawing>
        <wp:inline xmlns:a="http://schemas.openxmlformats.org/drawingml/2006/main" xmlns:pic="http://schemas.openxmlformats.org/drawingml/2006/picture">
          <wp:extent cx="1097280" cy="532788"/>
          <wp:docPr id="1" name="Picture 1" descr="OG-Web.site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97280" cy="532788"/>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inline xmlns:a="http://schemas.openxmlformats.org/drawingml/2006/main" xmlns:pic="http://schemas.openxmlformats.org/drawingml/2006/picture">
          <wp:extent cx="1097280" cy="532788"/>
          <wp:docPr id="1" name="Picture 1" descr="OG-Web.site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97280" cy="532788"/>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left"/>
    </w:pPr>
    <w:r>
      <w:drawing>
        <wp:inline xmlns:a="http://schemas.openxmlformats.org/drawingml/2006/main" xmlns:pic="http://schemas.openxmlformats.org/drawingml/2006/picture">
          <wp:extent cx="1097280" cy="532788"/>
          <wp:docPr id="1" name="Picture 1" descr="OG-Web.site logo"/>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097280" cy="532788"/>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124849">
    <w:abstractNumId w:val="8"/>
  </w:num>
  <w:num w:numId="2" w16cid:durableId="1544251902">
    <w:abstractNumId w:val="6"/>
  </w:num>
  <w:num w:numId="3" w16cid:durableId="797332353">
    <w:abstractNumId w:val="5"/>
  </w:num>
  <w:num w:numId="4" w16cid:durableId="1221407762">
    <w:abstractNumId w:val="4"/>
  </w:num>
  <w:num w:numId="5" w16cid:durableId="506410211">
    <w:abstractNumId w:val="7"/>
  </w:num>
  <w:num w:numId="6" w16cid:durableId="1860654156">
    <w:abstractNumId w:val="3"/>
  </w:num>
  <w:num w:numId="7" w16cid:durableId="409548658">
    <w:abstractNumId w:val="2"/>
  </w:num>
  <w:num w:numId="8" w16cid:durableId="1537042059">
    <w:abstractNumId w:val="1"/>
  </w:num>
  <w:num w:numId="9" w16cid:durableId="163768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654"/>
    <w:rsid w:val="007344D6"/>
    <w:rsid w:val="00784F70"/>
    <w:rsid w:val="007B2489"/>
    <w:rsid w:val="008B0A90"/>
    <w:rsid w:val="008D5ECF"/>
    <w:rsid w:val="008E6EFE"/>
    <w:rsid w:val="009E164F"/>
    <w:rsid w:val="00A4573F"/>
    <w:rsid w:val="00AA1D8D"/>
    <w:rsid w:val="00B33764"/>
    <w:rsid w:val="00B47730"/>
    <w:rsid w:val="00CB0664"/>
    <w:rsid w:val="00D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9223"/>
  <w14:defaultImageDpi w14:val="300"/>
  <w15:docId w15:val="{D5336931-AD44-4FFA-B029-269EA596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C202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090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39C64A" w:themeColor="accent1"/>
      </w:pBdr>
      <w:spacing w:after="300" w:line="240" w:lineRule="auto"/>
      <w:contextualSpacing/>
    </w:pPr>
    <w:rPr>
      <w:rFonts w:asciiTheme="majorHAnsi" w:eastAsiaTheme="majorEastAsia" w:hAnsiTheme="majorHAnsi" w:cstheme="majorBidi"/>
      <w:b/>
      <w:color w:val="08090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38" Type="http://schemas.openxmlformats.org/officeDocument/2006/relationships/header" Target="header2.xml"/><Relationship Id="rId3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9.png"/><Relationship Id="rId3" Type="http://schemas.openxmlformats.org/officeDocument/2006/relationships/image" Target="media/image30.png"/><Relationship Id="rId4" Type="http://schemas.openxmlformats.org/officeDocument/2006/relationships/image" Target="media/image31.png"/><Relationship Id="rId5"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1523</Words>
  <Characters>8850</Characters>
  <Application>Microsoft Office Word</Application>
  <DocSecurity>0</DocSecurity>
  <Lines>340</Lines>
  <Paragraphs>144</Paragraphs>
  <ScaleCrop>false</ScaleCrop>
  <HeadingPairs>
    <vt:vector size="2" baseType="variant">
      <vt:variant>
        <vt:lpstr>Title</vt:lpstr>
      </vt:variant>
      <vt:variant>
        <vt:i4>1</vt:i4>
      </vt:variant>
    </vt:vector>
  </HeadingPairs>
  <TitlesOfParts>
    <vt:vector size="1" baseType="lpstr">
      <vt:lpstr>Unit 2 GitHub Evidence Collection - OG Web.site</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Assessment 1 Answer Sheet</dc:title>
  <dc:subject>Software Development Level 3</dc:subject>
  <dc:creator>Rob Johnston</dc:creator>
  <cp:keywords/>
  <dc:description>generated by python-docx</dc:description>
  <cp:lastModifiedBy>WoB BoB</cp:lastModifiedBy>
  <cp:revision>3</cp:revision>
  <dcterms:created xsi:type="dcterms:W3CDTF">2026-06-17T01:20:00Z</dcterms:created>
  <dcterms:modified xsi:type="dcterms:W3CDTF">2026-06-17T06:09:00Z</dcterms:modified>
  <cp:category/>
</cp:coreProperties>
</file>