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Übung 2-1</w:t>
      </w:r>
    </w:p>
    <w:p>
      <w:pPr>
        <w:pStyle w:val="Subtitle"/>
      </w:pPr>
      <w:r>
        <w:t xml:space="preserve">über das Bestimmte</w:t>
      </w:r>
    </w:p>
    <w:p>
      <w:pPr>
        <w:pStyle w:val="Author"/>
      </w:pPr>
      <w:r>
        <w:t xml:space="preserve">Autor</w:t>
      </w:r>
    </w:p>
    <w:p>
      <w:pPr>
        <w:pStyle w:val="Date"/>
      </w:pPr>
      <w:r>
        <w:t xml:space="preserve">2025-08-30</w:t>
      </w:r>
    </w:p>
    <w:bookmarkStart w:id="21" w:name="kurzüberblick"/>
    <w:p>
      <w:pPr>
        <w:pStyle w:val="Heading2"/>
      </w:pPr>
      <w:r>
        <w:t xml:space="preserve">Kurzüberblick</w:t>
      </w:r>
    </w:p>
    <w:p>
      <w:pPr>
        <w:pStyle w:val="FirstParagraph"/>
      </w:pPr>
      <w:r>
        <w:t xml:space="preserve">Diese Seite zeigt</w:t>
      </w:r>
      <w:r>
        <w:t xml:space="preserve"> </w:t>
      </w:r>
      <w:r>
        <w:rPr>
          <w:b/>
          <w:bCs/>
        </w:rPr>
        <w:t xml:space="preserve">Zitate</w:t>
      </w:r>
      <w:r>
        <w:t xml:space="preserve"> </w:t>
      </w:r>
      <w:r>
        <w:t xml:space="preserve">(Freericks 2017)</w:t>
      </w:r>
      <w:r>
        <w:t xml:space="preserve">, Fußnoten</w:t>
      </w:r>
      <w:r>
        <w:rPr>
          <w:rStyle w:val="FootnoteReference"/>
        </w:rPr>
        <w:footnoteReference w:id="20"/>
      </w:r>
      <w:r>
        <w:t xml:space="preserve">, Callouts und einfache Listen.</w:t>
      </w:r>
    </w:p>
    <w:bookmarkEnd w:id="21"/>
    <w:bookmarkStart w:id="22" w:name="aufzählungen"/>
    <w:p>
      <w:pPr>
        <w:pStyle w:val="Heading2"/>
      </w:pPr>
      <w:r>
        <w:t xml:space="preserve">Aufzählungen</w:t>
      </w:r>
    </w:p>
    <w:p>
      <w:pPr>
        <w:pStyle w:val="Compact"/>
        <w:numPr>
          <w:ilvl w:val="0"/>
          <w:numId w:val="1001"/>
        </w:numPr>
      </w:pPr>
      <w:r>
        <w:t xml:space="preserve">Ein normaler Listeneintrag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Wichtig:</w:t>
      </w:r>
      <w:r>
        <w:t xml:space="preserve"> </w:t>
      </w:r>
      <w:r>
        <w:t xml:space="preserve">klar formulieren</w:t>
      </w:r>
    </w:p>
    <w:p>
      <w:pPr>
        <w:pStyle w:val="Compact"/>
        <w:numPr>
          <w:ilvl w:val="0"/>
          <w:numId w:val="1001"/>
        </w:numPr>
      </w:pPr>
      <w:r>
        <w:t xml:space="preserve">Inline-Code</w:t>
      </w:r>
      <w:r>
        <w:t xml:space="preserve"> </w:t>
      </w:r>
      <w:r>
        <w:rPr>
          <w:rStyle w:val="VerbatimChar"/>
        </w:rPr>
        <w:t xml:space="preserve">x &lt;- 1</w:t>
      </w:r>
      <w:r>
        <w:t xml:space="preserve"> </w:t>
      </w:r>
      <w:r>
        <w:t xml:space="preserve">falls nötig</w:t>
      </w:r>
    </w:p>
    <w:p>
      <w:pPr>
        <w:pStyle w:val="Compact"/>
        <w:numPr>
          <w:ilvl w:val="0"/>
          <w:numId w:val="1002"/>
        </w:numPr>
      </w:pPr>
      <w:r>
        <w:t xml:space="preserve">Erstens</w:t>
      </w:r>
    </w:p>
    <w:p>
      <w:pPr>
        <w:pStyle w:val="Compact"/>
        <w:numPr>
          <w:ilvl w:val="0"/>
          <w:numId w:val="1002"/>
        </w:numPr>
      </w:pPr>
      <w:r>
        <w:t xml:space="preserve">Zweitens</w:t>
      </w:r>
    </w:p>
    <w:p>
      <w:pPr>
        <w:pStyle w:val="Compact"/>
        <w:numPr>
          <w:ilvl w:val="0"/>
          <w:numId w:val="1002"/>
        </w:numPr>
      </w:pPr>
      <w:r>
        <w:t xml:space="preserve">Drittens</w:t>
      </w:r>
    </w:p>
    <w:bookmarkEnd w:id="22"/>
    <w:bookmarkStart w:id="29" w:name="callouts"/>
    <w:p>
      <w:pPr>
        <w:pStyle w:val="Heading2"/>
      </w:pPr>
      <w:r>
        <w:t xml:space="preserve">Callouts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Hinweis:</w:t>
            </w:r>
            <w:r>
              <w:t xml:space="preserve"> </w:t>
            </w:r>
            <w:r>
              <w:t xml:space="preserve">Kurze Merkpunkte helfen beim Lesen.</w:t>
            </w:r>
          </w:p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EB9113"/>
          <w:left w:val="single" w:sz="24" w:space="0" w:color="EB9113"/>
          <w:bottom w:val="single" w:sz="4" w:space="0" w:color="EB9113"/>
          <w:right w:val="single" w:sz="4" w:space="0" w:color="EB9113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Warnung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Achtung:</w:t>
            </w:r>
            <w:r>
              <w:t xml:space="preserve"> </w:t>
            </w:r>
            <w:r>
              <w:t xml:space="preserve">Prüfe Bildpfade und nutze</w:t>
            </w:r>
            <w:r>
              <w:t xml:space="preserve"> </w:t>
            </w:r>
            <w:r>
              <w:rPr>
                <w:rStyle w:val="VerbatimChar"/>
              </w:rPr>
              <w:t xml:space="preserve">resource-path</w:t>
            </w:r>
            <w:r>
              <w:t xml:space="preserve"> </w:t>
            </w:r>
            <w:r>
              <w:t xml:space="preserve">für robuste Builds.</w:t>
            </w:r>
          </w:p>
          <w:p/>
        </w:tc>
      </w:tr>
    </w:tbl>
    <w:bookmarkEnd w:id="29"/>
    <w:bookmarkStart w:id="30" w:name="zitate-literatur"/>
    <w:p>
      <w:pPr>
        <w:pStyle w:val="Heading2"/>
      </w:pPr>
      <w:r>
        <w:t xml:space="preserve">Zitate &amp; Literatur</w:t>
      </w:r>
    </w:p>
    <w:p>
      <w:pPr>
        <w:pStyle w:val="FirstParagraph"/>
      </w:pPr>
      <w:r>
        <w:t xml:space="preserve">Ein Parenthese-Zitat</w:t>
      </w:r>
      <w:r>
        <w:t xml:space="preserve"> </w:t>
      </w:r>
      <w:r>
        <w:t xml:space="preserve">(Freericks 2017, 42)</w:t>
      </w:r>
      <w:r>
        <w:t xml:space="preserve"> </w:t>
      </w:r>
      <w:r>
        <w:t xml:space="preserve">und ein narrativer Verweis:</w:t>
      </w:r>
      <w:r>
        <w:t xml:space="preserve"> </w:t>
      </w:r>
      <w:r>
        <w:t xml:space="preserve">Freericks (2020)</w:t>
      </w:r>
      <w:r>
        <w:t xml:space="preserve"> </w:t>
      </w:r>
      <w:r>
        <w:t xml:space="preserve">argumentieren ausführlich zur Planung außerschulischer Lernorte.</w:t>
      </w:r>
    </w:p>
    <w:p>
      <w:pPr>
        <w:pStyle w:val="BlockText"/>
      </w:pPr>
      <w:r>
        <w:t xml:space="preserve">Blockzitat für längere, hervorgehobene Passagen – prägnant halten.</w:t>
      </w:r>
    </w:p>
    <w:bookmarkEnd w:id="30"/>
    <w:bookmarkStart w:id="35" w:name="interne-links-im-projekt"/>
    <w:p>
      <w:pPr>
        <w:pStyle w:val="Heading2"/>
      </w:pPr>
      <w:r>
        <w:t xml:space="preserve">Interne Links im Projekt</w:t>
      </w:r>
    </w:p>
    <w:p>
      <w:pPr>
        <w:pStyle w:val="FirstParagraph"/>
      </w:pPr>
      <w:r>
        <w:t xml:space="preserve">Zum</w:t>
      </w:r>
      <w:r>
        <w:t xml:space="preserve"> </w:t>
      </w:r>
      <w:r>
        <w:rPr>
          <w:b/>
          <w:bCs/>
        </w:rPr>
        <w:t xml:space="preserve">Impressum</w:t>
      </w:r>
      <w:r>
        <w:t xml:space="preserve">:</w:t>
      </w:r>
      <w:r>
        <w:t xml:space="preserve"> </w:t>
      </w:r>
      <w:hyperlink r:id="rId31">
        <w:r>
          <w:rPr>
            <w:rStyle w:val="Hyperlink"/>
          </w:rPr>
          <w:t xml:space="preserve">Impressum</w:t>
        </w:r>
      </w:hyperlink>
      <w:r>
        <w:t xml:space="preserve">.</w:t>
      </w:r>
    </w:p>
    <w:bookmarkStart w:id="34" w:name="refs"/>
    <w:bookmarkStart w:id="32" w:name="ref-Freericks2017"/>
    <w:p>
      <w:pPr>
        <w:pStyle w:val="Bibliography"/>
      </w:pPr>
      <w:r>
        <w:t xml:space="preserve">Freericks, R. 2017.</w:t>
      </w:r>
      <w:r>
        <w:t xml:space="preserve"> </w:t>
      </w:r>
      <w:r>
        <w:rPr>
          <w:i/>
          <w:iCs/>
        </w:rPr>
        <w:t xml:space="preserve">Didaktik außerschulischer Lernorte</w:t>
      </w:r>
      <w:r>
        <w:t xml:space="preserve">. Wiesbaden: Springer.</w:t>
      </w:r>
    </w:p>
    <w:bookmarkEnd w:id="32"/>
    <w:bookmarkStart w:id="33" w:name="ref-Freericks2020"/>
    <w:p>
      <w:pPr>
        <w:pStyle w:val="Bibliography"/>
      </w:pPr>
      <w:r>
        <w:t xml:space="preserve">———. 2020.</w:t>
      </w:r>
      <w:r>
        <w:t xml:space="preserve"> </w:t>
      </w:r>
      <w:r>
        <w:t xml:space="preserve">„Lernen am Ort: Konzepte und Perspektiven“</w:t>
      </w:r>
      <w:r>
        <w:t xml:space="preserve">. In</w:t>
      </w:r>
      <w:r>
        <w:t xml:space="preserve"> </w:t>
      </w:r>
      <w:r>
        <w:rPr>
          <w:i/>
          <w:iCs/>
        </w:rPr>
        <w:t xml:space="preserve">Handbuch Außerschulisches Lernen</w:t>
      </w:r>
      <w:r>
        <w:t xml:space="preserve">, herausgegeben von A. Muster und B. Beispiel, 101–20. Weinheim: Beltz.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Kurze Fußnote als Beispiel.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31" Target="../base/impressum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base/impressum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2-1</dc:title>
  <dc:creator>Autor</dc:creator>
  <dc:language>de</dc:language>
  <cp:keywords/>
  <dcterms:created xsi:type="dcterms:W3CDTF">2025-09-15T21:33:16Z</dcterms:created>
  <dcterms:modified xsi:type="dcterms:W3CDTF">2025-09-15T21:33:16Z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bibunit02-01.bib</vt:lpwstr>
  </property>
  <property fmtid="{D5CDD505-2E9C-101B-9397-08002B2CF9AE}" pid="5" name="by-author">
    <vt:lpwstr/>
  </property>
  <property fmtid="{D5CDD505-2E9C-101B-9397-08002B2CF9AE}" pid="6" name="citation">
    <vt:lpwstr/>
  </property>
  <property fmtid="{D5CDD505-2E9C-101B-9397-08002B2CF9AE}" pid="7" name="comments">
    <vt:lpwstr>False</vt:lpwstr>
  </property>
  <property fmtid="{D5CDD505-2E9C-101B-9397-08002B2CF9AE}" pid="8" name="date">
    <vt:lpwstr>2025-08-30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resources">
    <vt:lpwstr/>
  </property>
  <property fmtid="{D5CDD505-2E9C-101B-9397-08002B2CF9AE}" pid="14" name="subtitle">
    <vt:lpwstr>über das Bestimmte</vt:lpwstr>
  </property>
  <property fmtid="{D5CDD505-2E9C-101B-9397-08002B2CF9AE}" pid="15" name="title-block-banner">
    <vt:lpwstr>../images/freiraeume-sp.jpg</vt:lpwstr>
  </property>
  <property fmtid="{D5CDD505-2E9C-101B-9397-08002B2CF9AE}" pid="16" name="title-block-banner-color">
    <vt:lpwstr>black</vt:lpwstr>
  </property>
  <property fmtid="{D5CDD505-2E9C-101B-9397-08002B2CF9AE}" pid="17" name="toc-title">
    <vt:lpwstr>Inhaltsverzeichnis</vt:lpwstr>
  </property>
</Properties>
</file>