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60" w:after="0"/>
        <w:rPr/>
      </w:pPr>
      <w:r>
        <w:rPr/>
      </w:r>
    </w:p>
    <w:p>
      <w:pPr>
        <w:pStyle w:val="Normal"/>
        <w:spacing w:before="0" w:after="40"/>
        <w:jc w:val="center"/>
        <w:rPr/>
      </w:pPr>
      <w:r>
        <w:rPr>
          <w:rFonts w:eastAsia="Segoe UI Emoji" w:cs="Segoe UI Emoji" w:ascii="Segoe UI Emoji" w:hAnsi="Segoe UI Emoji"/>
          <w:color w:val="C9A84C"/>
          <w:sz w:val="120"/>
          <w:szCs w:val="120"/>
        </w:rPr>
        <w:t>⚖</w:t>
      </w:r>
    </w:p>
    <w:p>
      <w:pPr>
        <w:pStyle w:val="Normal"/>
        <w:spacing w:before="40" w:after="40"/>
        <w:jc w:val="center"/>
        <w:rPr/>
      </w:pPr>
      <w:r>
        <w:rPr>
          <w:rFonts w:eastAsia="Arial" w:cs="Arial"/>
          <w:b/>
          <w:bCs/>
          <w:color w:val="1A3A5C"/>
          <w:sz w:val="64"/>
          <w:szCs w:val="64"/>
        </w:rPr>
        <w:t>GLOBAL LEGAL RIGHTS</w:t>
      </w:r>
    </w:p>
    <w:p>
      <w:pPr>
        <w:pStyle w:val="Normal"/>
        <w:spacing w:before="0" w:after="60"/>
        <w:jc w:val="center"/>
        <w:rPr/>
      </w:pPr>
      <w:r>
        <w:rPr>
          <w:rFonts w:eastAsia="Arial" w:cs="Arial"/>
          <w:b/>
          <w:bCs/>
          <w:color w:val="0D7377"/>
          <w:sz w:val="64"/>
          <w:szCs w:val="64"/>
        </w:rPr>
        <w:t>&amp; JUSTICE PLATFORM</w:t>
      </w:r>
    </w:p>
    <w:p>
      <w:pPr>
        <w:pStyle w:val="Normal"/>
        <w:pBdr>
          <w:bottom w:val="single" w:sz="6" w:space="6" w:color="C9A84C"/>
        </w:pBdr>
        <w:spacing w:before="0" w:after="200"/>
        <w:jc w:val="center"/>
        <w:rPr/>
      </w:pPr>
      <w:r>
        <w:rPr>
          <w:rFonts w:eastAsia="Arial" w:cs="Arial"/>
          <w:i/>
          <w:iCs/>
          <w:color w:val="5A5A5A"/>
          <w:sz w:val="28"/>
          <w:szCs w:val="28"/>
        </w:rPr>
        <w:t>Democratising Justice Through Technology</w:t>
      </w:r>
    </w:p>
    <w:p>
      <w:pPr>
        <w:pStyle w:val="Normal"/>
        <w:spacing w:before="80" w:after="0"/>
        <w:rPr/>
      </w:pPr>
      <w:r>
        <w:rPr/>
      </w:r>
    </w:p>
    <w:p>
      <w:pPr>
        <w:pStyle w:val="Normal"/>
        <w:spacing w:before="0" w:after="80"/>
        <w:jc w:val="center"/>
        <w:rPr/>
      </w:pPr>
      <w:r>
        <w:rPr>
          <w:rFonts w:eastAsia="Arial" w:cs="Arial"/>
          <w:b/>
          <w:bCs/>
          <w:color w:val="1A3A5C"/>
          <w:sz w:val="26"/>
          <w:szCs w:val="26"/>
        </w:rPr>
        <w:t>Comprehensive Platform Proposal &amp; Research Report</w:t>
      </w:r>
    </w:p>
    <w:p>
      <w:pPr>
        <w:pStyle w:val="Normal"/>
        <w:spacing w:before="0" w:after="400"/>
        <w:jc w:val="center"/>
        <w:rPr/>
      </w:pPr>
      <w:r>
        <w:rPr>
          <w:rFonts w:eastAsia="Arial" w:cs="Arial"/>
          <w:color w:val="5A5A5A"/>
          <w:sz w:val="24"/>
          <w:szCs w:val="24"/>
        </w:rPr>
        <w:t>April 2026</w:t>
      </w:r>
    </w:p>
    <w:p>
      <w:pPr>
        <w:pStyle w:val="Normal"/>
        <w:spacing w:before="160" w:after="0"/>
        <w:rPr/>
      </w:pPr>
      <w:r>
        <w:rPr/>
      </w:r>
    </w:p>
    <w:tbl>
      <w:tblPr>
        <w:tblW w:w="9360" w:type="dxa"/>
        <w:jc w:val="left"/>
        <w:tblInd w:w="0" w:type="dxa"/>
        <w:tblLayout w:type="fixed"/>
        <w:tblCellMar>
          <w:top w:w="120" w:type="dxa"/>
          <w:left w:w="200" w:type="dxa"/>
          <w:bottom w:w="120" w:type="dxa"/>
          <w:right w:w="200" w:type="dxa"/>
        </w:tblCellMar>
      </w:tblPr>
      <w:tblGrid>
        <w:gridCol w:w="3120"/>
        <w:gridCol w:w="3120"/>
        <w:gridCol w:w="3120"/>
      </w:tblGrid>
      <w:tr>
        <w:trPr/>
        <w:tc>
          <w:tcPr>
            <w:tcW w:w="3120" w:type="dxa"/>
            <w:tcBorders/>
          </w:tcPr>
          <w:p>
            <w:pPr>
              <w:pStyle w:val="Normal"/>
              <w:jc w:val="center"/>
              <w:rPr/>
            </w:pPr>
            <w:r>
              <w:rPr>
                <w:rFonts w:eastAsia="Segoe UI Emoji" w:cs="Segoe UI Emoji" w:ascii="Segoe UI Emoji" w:hAnsi="Segoe UI Emoji"/>
                <w:sz w:val="40"/>
                <w:szCs w:val="40"/>
              </w:rPr>
              <w:t>🌍</w:t>
            </w:r>
          </w:p>
          <w:p>
            <w:pPr>
              <w:pStyle w:val="Normal"/>
              <w:spacing w:before="40" w:after="0"/>
              <w:jc w:val="center"/>
              <w:rPr/>
            </w:pPr>
            <w:r>
              <w:rPr>
                <w:rFonts w:eastAsia="Arial" w:cs="Arial"/>
                <w:b/>
                <w:bCs/>
                <w:color w:val="1A3A5C"/>
                <w:sz w:val="20"/>
                <w:szCs w:val="20"/>
              </w:rPr>
              <w:t>Global Reach</w:t>
            </w:r>
          </w:p>
          <w:p>
            <w:pPr>
              <w:pStyle w:val="Normal"/>
              <w:jc w:val="center"/>
              <w:rPr/>
            </w:pPr>
            <w:r>
              <w:rPr>
                <w:rFonts w:eastAsia="Arial" w:cs="Arial"/>
                <w:color w:val="5A5A5A"/>
                <w:sz w:val="18"/>
                <w:szCs w:val="18"/>
              </w:rPr>
              <w:t>Multi-country legal framework</w:t>
            </w:r>
          </w:p>
        </w:tc>
        <w:tc>
          <w:tcPr>
            <w:tcW w:w="3120" w:type="dxa"/>
            <w:tcBorders/>
          </w:tcPr>
          <w:p>
            <w:pPr>
              <w:pStyle w:val="Normal"/>
              <w:jc w:val="center"/>
              <w:rPr/>
            </w:pPr>
            <w:r>
              <w:rPr>
                <w:rFonts w:eastAsia="Segoe UI Emoji" w:cs="Segoe UI Emoji" w:ascii="Segoe UI Emoji" w:hAnsi="Segoe UI Emoji"/>
                <w:sz w:val="40"/>
                <w:szCs w:val="40"/>
              </w:rPr>
              <w:t>🤖</w:t>
            </w:r>
          </w:p>
          <w:p>
            <w:pPr>
              <w:pStyle w:val="Normal"/>
              <w:spacing w:before="40" w:after="0"/>
              <w:jc w:val="center"/>
              <w:rPr/>
            </w:pPr>
            <w:r>
              <w:rPr>
                <w:rFonts w:eastAsia="Arial" w:cs="Arial"/>
                <w:b/>
                <w:bCs/>
                <w:color w:val="1A3A5C"/>
                <w:sz w:val="20"/>
                <w:szCs w:val="20"/>
              </w:rPr>
              <w:t>AI-Powered</w:t>
            </w:r>
          </w:p>
          <w:p>
            <w:pPr>
              <w:pStyle w:val="Normal"/>
              <w:jc w:val="center"/>
              <w:rPr/>
            </w:pPr>
            <w:r>
              <w:rPr>
                <w:rFonts w:eastAsia="Arial" w:cs="Arial"/>
                <w:color w:val="5A5A5A"/>
                <w:sz w:val="18"/>
                <w:szCs w:val="18"/>
              </w:rPr>
              <w:t>Intelligent legal assistance</w:t>
            </w:r>
          </w:p>
        </w:tc>
        <w:tc>
          <w:tcPr>
            <w:tcW w:w="3120" w:type="dxa"/>
            <w:tcBorders/>
          </w:tcPr>
          <w:p>
            <w:pPr>
              <w:pStyle w:val="Normal"/>
              <w:jc w:val="center"/>
              <w:rPr/>
            </w:pPr>
            <w:r>
              <w:rPr>
                <w:rFonts w:eastAsia="Segoe UI Emoji" w:cs="Segoe UI Emoji" w:ascii="Segoe UI Emoji" w:hAnsi="Segoe UI Emoji"/>
                <w:sz w:val="40"/>
                <w:szCs w:val="40"/>
              </w:rPr>
              <w:t>💰</w:t>
            </w:r>
          </w:p>
          <w:p>
            <w:pPr>
              <w:pStyle w:val="Normal"/>
              <w:spacing w:before="40" w:after="0"/>
              <w:jc w:val="center"/>
              <w:rPr/>
            </w:pPr>
            <w:r>
              <w:rPr>
                <w:rFonts w:eastAsia="Arial" w:cs="Arial"/>
                <w:b/>
                <w:bCs/>
                <w:color w:val="1A3A5C"/>
                <w:sz w:val="20"/>
                <w:szCs w:val="20"/>
              </w:rPr>
              <w:t>Affordable</w:t>
            </w:r>
          </w:p>
          <w:p>
            <w:pPr>
              <w:pStyle w:val="Normal"/>
              <w:jc w:val="center"/>
              <w:rPr/>
            </w:pPr>
            <w:r>
              <w:rPr>
                <w:rFonts w:eastAsia="Arial" w:cs="Arial"/>
                <w:color w:val="5A5A5A"/>
                <w:sz w:val="18"/>
                <w:szCs w:val="18"/>
              </w:rPr>
              <w:t>Credit-based economy model</w:t>
            </w:r>
          </w:p>
        </w:tc>
      </w:tr>
    </w:tbl>
    <w:p>
      <w:pPr>
        <w:pStyle w:val="Normal"/>
        <w:spacing w:before="0" w:after="0"/>
        <w:rPr/>
      </w:pPr>
      <w:r>
        <w:rPr/>
      </w:r>
      <w:r>
        <w:br w:type="page"/>
      </w:r>
    </w:p>
    <w:p>
      <w:pPr>
        <w:pStyle w:val="Heading1"/>
        <w:pBdr>
          <w:bottom w:val="single" w:sz="8" w:space="4" w:color="C9A84C"/>
        </w:pBdr>
        <w:spacing w:before="0" w:after="160"/>
        <w:rPr/>
      </w:pPr>
      <w:r>
        <w:rPr>
          <w:rFonts w:eastAsia="Arial" w:cs="Arial" w:ascii="Arial" w:hAnsi="Arial"/>
          <w:b/>
          <w:bCs/>
          <w:color w:val="1A3A5C"/>
          <w:sz w:val="34"/>
          <w:szCs w:val="34"/>
        </w:rPr>
        <w:t>1. EXECUTIVE SUMMARY</w:t>
      </w:r>
    </w:p>
    <w:p>
      <w:pPr>
        <w:pStyle w:val="Normal"/>
        <w:spacing w:before="80" w:after="0"/>
        <w:rPr/>
      </w:pPr>
      <w:r>
        <w:rPr/>
      </w:r>
    </w:p>
    <w:p>
      <w:pPr>
        <w:pStyle w:val="Normal"/>
        <w:spacing w:lineRule="exact" w:line="320" w:before="80" w:after="80"/>
        <w:rPr/>
      </w:pPr>
      <w:r>
        <w:rPr>
          <w:rFonts w:eastAsia="Arial" w:cs="Arial"/>
          <w:color w:val="1C1C1C"/>
          <w:sz w:val="22"/>
          <w:szCs w:val="22"/>
        </w:rPr>
        <w:t>The Global Legal Rights &amp; Justice Platform is a transformative, AI-powered legal ecosystem designed to bridge the widening gap between citizens and the justice system. At its core, this platform addresses one of the world's most pressing equity challenges: access to justice is not a privilege — it is a fundamental human right, yet millions worldwide are denied it due to cost, geography, language barriers, and systemic corruption.</w:t>
      </w:r>
    </w:p>
    <w:p>
      <w:pPr>
        <w:pStyle w:val="Normal"/>
        <w:spacing w:before="80" w:after="0"/>
        <w:rPr/>
      </w:pPr>
      <w:r>
        <w:rPr/>
      </w:r>
    </w:p>
    <w:p>
      <w:pPr>
        <w:pStyle w:val="Normal"/>
        <w:spacing w:lineRule="exact" w:line="320" w:before="80" w:after="80"/>
        <w:rPr/>
      </w:pPr>
      <w:r>
        <w:rPr>
          <w:rFonts w:eastAsia="Arial" w:cs="Arial"/>
          <w:color w:val="1C1C1C"/>
          <w:sz w:val="22"/>
          <w:szCs w:val="22"/>
        </w:rPr>
        <w:t>Built on Kenya's world-class 2010 Constitution as its legal foundation — and extensible to any country's legal framework — this platform unifies citizens, lawyers, courts, and government systems into a single transparent, digital, and intelligent environment.</w:t>
      </w:r>
    </w:p>
    <w:p>
      <w:pPr>
        <w:pStyle w:val="Normal"/>
        <w:spacing w:before="80" w:after="0"/>
        <w:rPr/>
      </w:pPr>
      <w:r>
        <w:rPr/>
      </w:r>
    </w:p>
    <w:tbl>
      <w:tblPr>
        <w:tblW w:w="9360" w:type="dxa"/>
        <w:jc w:val="left"/>
        <w:tblInd w:w="0" w:type="dxa"/>
        <w:tblLayout w:type="fixed"/>
        <w:tblCellMar>
          <w:top w:w="160" w:type="dxa"/>
          <w:left w:w="180" w:type="dxa"/>
          <w:bottom w:w="160" w:type="dxa"/>
          <w:right w:w="180" w:type="dxa"/>
        </w:tblCellMar>
      </w:tblPr>
      <w:tblGrid>
        <w:gridCol w:w="3120"/>
        <w:gridCol w:w="3120"/>
        <w:gridCol w:w="3120"/>
      </w:tblGrid>
      <w:tr>
        <w:trPr/>
        <w:tc>
          <w:tcPr>
            <w:tcW w:w="3120" w:type="dxa"/>
            <w:tcBorders/>
            <w:shd w:fill="1A3A5C" w:val="clear"/>
          </w:tcPr>
          <w:p>
            <w:pPr>
              <w:pStyle w:val="Normal"/>
              <w:spacing w:before="0" w:after="40"/>
              <w:jc w:val="center"/>
              <w:rPr/>
            </w:pPr>
            <w:r>
              <w:rPr>
                <w:rFonts w:eastAsia="Arial" w:cs="Arial"/>
                <w:b/>
                <w:bCs/>
                <w:color w:val="FFFFFF"/>
                <w:sz w:val="40"/>
                <w:szCs w:val="40"/>
              </w:rPr>
              <w:t>$950B</w:t>
            </w:r>
          </w:p>
          <w:p>
            <w:pPr>
              <w:pStyle w:val="Normal"/>
              <w:spacing w:before="0" w:after="0"/>
              <w:jc w:val="center"/>
              <w:rPr/>
            </w:pPr>
            <w:r>
              <w:rPr>
                <w:rFonts w:eastAsia="Arial" w:cs="Arial"/>
                <w:color w:val="FFFFFF"/>
                <w:sz w:val="18"/>
                <w:szCs w:val="18"/>
              </w:rPr>
              <w:t>Global Legal Services Market (2024)</w:t>
            </w:r>
          </w:p>
        </w:tc>
        <w:tc>
          <w:tcPr>
            <w:tcW w:w="3120" w:type="dxa"/>
            <w:tcBorders/>
            <w:shd w:fill="0D7377" w:val="clear"/>
          </w:tcPr>
          <w:p>
            <w:pPr>
              <w:pStyle w:val="Normal"/>
              <w:spacing w:before="0" w:after="40"/>
              <w:jc w:val="center"/>
              <w:rPr/>
            </w:pPr>
            <w:r>
              <w:rPr>
                <w:rFonts w:eastAsia="Arial" w:cs="Arial"/>
                <w:b/>
                <w:bCs/>
                <w:color w:val="FFFFFF"/>
                <w:sz w:val="40"/>
                <w:szCs w:val="40"/>
              </w:rPr>
              <w:t>120M</w:t>
            </w:r>
          </w:p>
          <w:p>
            <w:pPr>
              <w:pStyle w:val="Normal"/>
              <w:spacing w:before="0" w:after="0"/>
              <w:jc w:val="center"/>
              <w:rPr/>
            </w:pPr>
            <w:r>
              <w:rPr>
                <w:rFonts w:eastAsia="Arial" w:cs="Arial"/>
                <w:color w:val="FFFFFF"/>
                <w:sz w:val="18"/>
                <w:szCs w:val="18"/>
              </w:rPr>
              <w:t>Legal Problems Unresolved Annually in the US Alone</w:t>
            </w:r>
          </w:p>
        </w:tc>
        <w:tc>
          <w:tcPr>
            <w:tcW w:w="3120" w:type="dxa"/>
            <w:tcBorders/>
            <w:shd w:fill="C9A84C" w:val="clear"/>
          </w:tcPr>
          <w:p>
            <w:pPr>
              <w:pStyle w:val="Normal"/>
              <w:spacing w:before="0" w:after="40"/>
              <w:jc w:val="center"/>
              <w:rPr/>
            </w:pPr>
            <w:r>
              <w:rPr>
                <w:rFonts w:eastAsia="Arial" w:cs="Arial"/>
                <w:b/>
                <w:bCs/>
                <w:color w:val="FFFFFF"/>
                <w:sz w:val="40"/>
                <w:szCs w:val="40"/>
              </w:rPr>
              <w:t>80%</w:t>
            </w:r>
          </w:p>
          <w:p>
            <w:pPr>
              <w:pStyle w:val="Normal"/>
              <w:spacing w:before="0" w:after="0"/>
              <w:jc w:val="center"/>
              <w:rPr/>
            </w:pPr>
            <w:r>
              <w:rPr>
                <w:rFonts w:eastAsia="Arial" w:cs="Arial"/>
                <w:color w:val="FFFFFF"/>
                <w:sz w:val="18"/>
                <w:szCs w:val="18"/>
              </w:rPr>
              <w:t>Eligible Indians Who Cannot Access Free Legal Aid</w:t>
            </w:r>
          </w:p>
        </w:tc>
      </w:tr>
    </w:tbl>
    <w:p>
      <w:pPr>
        <w:pStyle w:val="Normal"/>
        <w:spacing w:before="160" w:after="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FDF7E7" w:val="clear"/>
          </w:tcPr>
          <w:p>
            <w:pPr>
              <w:pStyle w:val="Normal"/>
              <w:spacing w:before="0" w:after="60"/>
              <w:rPr/>
            </w:pPr>
            <w:r>
              <w:rPr>
                <w:rFonts w:eastAsia="Arial" w:cs="Arial"/>
                <w:b/>
                <w:bCs/>
                <w:color w:val="C9A84C"/>
                <w:sz w:val="22"/>
                <w:szCs w:val="22"/>
              </w:rPr>
              <w:t xml:space="preserve">🔑 </w:t>
            </w:r>
            <w:r>
              <w:rPr>
                <w:rFonts w:eastAsia="Arial" w:cs="Arial"/>
                <w:b/>
                <w:bCs/>
                <w:color w:val="C9A84C"/>
                <w:sz w:val="22"/>
                <w:szCs w:val="22"/>
              </w:rPr>
              <w:t>The Core Mission</w:t>
            </w:r>
          </w:p>
          <w:p>
            <w:pPr>
              <w:pStyle w:val="Normal"/>
              <w:spacing w:before="0" w:after="0"/>
              <w:rPr/>
            </w:pPr>
            <w:r>
              <w:rPr>
                <w:rFonts w:eastAsia="Arial" w:cs="Arial"/>
                <w:color w:val="1C1C1C"/>
                <w:sz w:val="21"/>
                <w:szCs w:val="21"/>
              </w:rPr>
              <w:t>To make legal help truly universal: affordable, multilingual, mobile, and available 24/7 — regardless of a citizen's location, language, or income level. If 2024 was the year AI entered the legal mainstream, this platform ensures 2026 is the year it closes the justice gap in Africa and beyond.</w:t>
            </w:r>
          </w:p>
        </w:tc>
      </w:tr>
    </w:tbl>
    <w:p>
      <w:pPr>
        <w:pStyle w:val="Normal"/>
        <w:spacing w:before="160" w:after="0"/>
        <w:rPr/>
      </w:pPr>
      <w:r>
        <w:rPr/>
      </w:r>
    </w:p>
    <w:p>
      <w:pPr>
        <w:pStyle w:val="Normal"/>
        <w:spacing w:lineRule="exact" w:line="320" w:before="80" w:after="80"/>
        <w:rPr/>
      </w:pPr>
      <w:r>
        <w:rPr>
          <w:rFonts w:eastAsia="Arial" w:cs="Arial"/>
          <w:color w:val="1C1C1C"/>
          <w:sz w:val="22"/>
          <w:szCs w:val="22"/>
        </w:rPr>
        <w:t>This document provides a comprehensive explanation of the platform's vision, architecture, legal foundation, revenue model, competitive advantage, and implementation roadmap — backed by the latest global research in legal technology.</w:t>
      </w:r>
    </w:p>
    <w:p>
      <w:pPr>
        <w:pStyle w:val="Normal"/>
        <w:pBdr>
          <w:bottom w:val="single" w:sz="4" w:space="1" w:color="CCCCCC"/>
        </w:pBdr>
        <w:spacing w:before="160" w:after="160"/>
        <w:rPr/>
      </w:pPr>
      <w:r>
        <w:rPr/>
      </w:r>
    </w:p>
    <w:p>
      <w:pPr>
        <w:pStyle w:val="Normal"/>
        <w:spacing w:before="0" w:after="0"/>
        <w:rPr/>
      </w:pPr>
      <w:r>
        <w:rPr/>
      </w:r>
      <w:r>
        <w:br w:type="page"/>
      </w:r>
    </w:p>
    <w:p>
      <w:pPr>
        <w:pStyle w:val="Heading1"/>
        <w:pBdr>
          <w:bottom w:val="single" w:sz="8" w:space="4" w:color="C9A84C"/>
        </w:pBdr>
        <w:spacing w:before="0" w:after="160"/>
        <w:rPr/>
      </w:pPr>
      <w:r>
        <w:rPr>
          <w:rFonts w:eastAsia="Arial" w:cs="Arial" w:ascii="Arial" w:hAnsi="Arial"/>
          <w:b/>
          <w:bCs/>
          <w:color w:val="1A3A5C"/>
          <w:sz w:val="34"/>
          <w:szCs w:val="34"/>
        </w:rPr>
        <w:t>2. THE GLOBAL JUSTICE CRISIS</w:t>
      </w:r>
    </w:p>
    <w:p>
      <w:pPr>
        <w:pStyle w:val="Normal"/>
        <w:spacing w:before="80" w:after="0"/>
        <w:rPr/>
      </w:pPr>
      <w:r>
        <w:rPr/>
      </w:r>
    </w:p>
    <w:p>
      <w:pPr>
        <w:pStyle w:val="Heading2"/>
        <w:spacing w:before="300" w:after="120"/>
        <w:rPr/>
      </w:pPr>
      <w:r>
        <w:rPr>
          <w:rFonts w:eastAsia="Arial" w:cs="Arial" w:ascii="Arial" w:hAnsi="Arial"/>
          <w:b/>
          <w:bCs/>
          <w:color w:val="0D7377"/>
          <w:sz w:val="26"/>
          <w:szCs w:val="26"/>
        </w:rPr>
        <w:t>2.1 The Scale of the Problem</w:t>
      </w:r>
    </w:p>
    <w:p>
      <w:pPr>
        <w:pStyle w:val="Normal"/>
        <w:spacing w:lineRule="exact" w:line="320" w:before="80" w:after="80"/>
        <w:rPr/>
      </w:pPr>
      <w:r>
        <w:rPr>
          <w:rFonts w:eastAsia="Arial" w:cs="Arial"/>
          <w:color w:val="1C1C1C"/>
          <w:sz w:val="22"/>
          <w:szCs w:val="22"/>
        </w:rPr>
        <w:t>The global justice gap is one of the defining equity crises of our era. Despite the universal recognition of the right to a fair hearing under the Universal Declaration of Human Rights (Article 10) and the International Covenant on Civil and Political Rights (Article 14), the reality for billions of people is that justice remains inaccessible.</w:t>
      </w:r>
    </w:p>
    <w:p>
      <w:pPr>
        <w:pStyle w:val="Normal"/>
        <w:spacing w:before="80" w:after="0"/>
        <w:rPr/>
      </w:pPr>
      <w:r>
        <w:rPr/>
      </w:r>
    </w:p>
    <w:tbl>
      <w:tblPr>
        <w:tblW w:w="9360" w:type="dxa"/>
        <w:jc w:val="left"/>
        <w:tblInd w:w="0" w:type="dxa"/>
        <w:tblLayout w:type="fixed"/>
        <w:tblCellMar>
          <w:top w:w="100" w:type="dxa"/>
          <w:left w:w="160" w:type="dxa"/>
          <w:bottom w:w="100" w:type="dxa"/>
          <w:right w:w="160" w:type="dxa"/>
        </w:tblCellMar>
      </w:tblPr>
      <w:tblGrid>
        <w:gridCol w:w="4199"/>
        <w:gridCol w:w="5160"/>
      </w:tblGrid>
      <w:tr>
        <w:trPr>
          <w:tblHeader w:val="true"/>
        </w:trPr>
        <w:tc>
          <w:tcPr>
            <w:tcW w:w="4199" w:type="dxa"/>
            <w:tcBorders>
              <w:top w:val="single" w:sz="4" w:space="0" w:color="CCCCCC"/>
              <w:left w:val="single" w:sz="4" w:space="0" w:color="CCCCCC"/>
              <w:bottom w:val="single" w:sz="4" w:space="0" w:color="CCCCCC"/>
              <w:right w:val="single" w:sz="4" w:space="0" w:color="CCCCCC"/>
            </w:tcBorders>
            <w:shd w:fill="1A3A5C" w:val="clear"/>
          </w:tcPr>
          <w:p>
            <w:pPr>
              <w:pStyle w:val="Normal"/>
              <w:rPr/>
            </w:pPr>
            <w:r>
              <w:rPr>
                <w:rFonts w:eastAsia="Arial" w:cs="Arial"/>
                <w:b/>
                <w:bCs/>
                <w:color w:val="FFFFFF"/>
                <w:sz w:val="21"/>
                <w:szCs w:val="21"/>
              </w:rPr>
              <w:t>Problem Area</w:t>
            </w:r>
          </w:p>
        </w:tc>
        <w:tc>
          <w:tcPr>
            <w:tcW w:w="5160" w:type="dxa"/>
            <w:tcBorders>
              <w:top w:val="single" w:sz="4" w:space="0" w:color="CCCCCC"/>
              <w:left w:val="single" w:sz="4" w:space="0" w:color="CCCCCC"/>
              <w:bottom w:val="single" w:sz="4" w:space="0" w:color="CCCCCC"/>
              <w:right w:val="single" w:sz="4" w:space="0" w:color="CCCCCC"/>
            </w:tcBorders>
            <w:shd w:fill="0D7377" w:val="clear"/>
          </w:tcPr>
          <w:p>
            <w:pPr>
              <w:pStyle w:val="Normal"/>
              <w:rPr/>
            </w:pPr>
            <w:r>
              <w:rPr>
                <w:rFonts w:eastAsia="Arial" w:cs="Arial"/>
                <w:b/>
                <w:bCs/>
                <w:color w:val="FFFFFF"/>
                <w:sz w:val="21"/>
                <w:szCs w:val="21"/>
              </w:rPr>
              <w:t>Real-World Impact</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Cost of Legal Services</w:t>
            </w:r>
          </w:p>
        </w:tc>
        <w:tc>
          <w:tcPr>
            <w:tcW w:w="51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A single hour with a lawyer in Kenya costs KES 5,000–50,000+, placing legal advice out of reach for most citizens</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Court Backlogs</w:t>
            </w:r>
          </w:p>
        </w:tc>
        <w:tc>
          <w:tcPr>
            <w:tcW w:w="51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Kenya's courts managed 2.13 million active cases in 2021–2022; developing nations face decades-long case delays</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Legal Illiteracy</w:t>
            </w:r>
          </w:p>
        </w:tc>
        <w:tc>
          <w:tcPr>
            <w:tcW w:w="51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Most citizens do not know their rights under the Constitution — they cannot fight what they do not understand</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Geographic Barriers</w:t>
            </w:r>
          </w:p>
        </w:tc>
        <w:tc>
          <w:tcPr>
            <w:tcW w:w="51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Rural communities often travel hundreds of kilometers to reach a courthouse, bearing prohibitive travel costs</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Corruption &amp; Opacity</w:t>
            </w:r>
          </w:p>
        </w:tc>
        <w:tc>
          <w:tcPr>
            <w:tcW w:w="51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Paper-based systems create opportunities for file manipulation, bribery, and loss of evidence</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Access to Information</w:t>
            </w:r>
          </w:p>
        </w:tc>
        <w:tc>
          <w:tcPr>
            <w:tcW w:w="51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Only a fraction of those who qualify for free legal aid actually receive it in most developing nations</w:t>
            </w:r>
          </w:p>
        </w:tc>
      </w:tr>
    </w:tbl>
    <w:p>
      <w:pPr>
        <w:pStyle w:val="Normal"/>
        <w:spacing w:before="160" w:after="0"/>
        <w:rPr/>
      </w:pPr>
      <w:r>
        <w:rPr/>
      </w:r>
    </w:p>
    <w:p>
      <w:pPr>
        <w:pStyle w:val="Heading2"/>
        <w:spacing w:before="300" w:after="120"/>
        <w:rPr/>
      </w:pPr>
      <w:r>
        <w:rPr>
          <w:rFonts w:eastAsia="Arial" w:cs="Arial" w:ascii="Arial" w:hAnsi="Arial"/>
          <w:b/>
          <w:bCs/>
          <w:color w:val="0D7377"/>
          <w:sz w:val="26"/>
          <w:szCs w:val="26"/>
        </w:rPr>
        <w:t>2.2 The African Context</w:t>
      </w:r>
    </w:p>
    <w:p>
      <w:pPr>
        <w:pStyle w:val="Normal"/>
        <w:spacing w:lineRule="exact" w:line="320" w:before="80" w:after="80"/>
        <w:rPr/>
      </w:pPr>
      <w:r>
        <w:rPr>
          <w:rFonts w:eastAsia="Arial" w:cs="Arial"/>
          <w:color w:val="1C1C1C"/>
          <w:sz w:val="22"/>
          <w:szCs w:val="22"/>
        </w:rPr>
        <w:t>In Africa, the problem is particularly acute. Despite strong constitutional frameworks  Kenya's 2010 Constitution is globally recognized as one of the most progressive  the gap between constitutional promise and on-the-ground justice delivery is wide. Research confirms:</w:t>
      </w:r>
    </w:p>
    <w:p>
      <w:pPr>
        <w:pStyle w:val="Normal"/>
        <w:spacing w:before="80" w:after="0"/>
        <w:rPr/>
      </w:pPr>
      <w:r>
        <w:rPr/>
      </w:r>
    </w:p>
    <w:p>
      <w:pPr>
        <w:pStyle w:val="ListParagraph"/>
        <w:numPr>
          <w:ilvl w:val="0"/>
          <w:numId w:val="3"/>
        </w:numPr>
        <w:spacing w:lineRule="exact" w:line="300" w:before="60" w:after="60"/>
        <w:rPr/>
      </w:pPr>
      <w:r>
        <w:rPr>
          <w:rFonts w:eastAsia="Arial" w:cs="Arial"/>
          <w:color w:val="1C1C1C"/>
          <w:sz w:val="21"/>
          <w:szCs w:val="21"/>
        </w:rPr>
        <w:t>The digital divide disproportionately affects lower-income and rural communities, limiting adoption of emerging digital court systems</w:t>
      </w:r>
    </w:p>
    <w:p>
      <w:pPr>
        <w:pStyle w:val="ListParagraph"/>
        <w:numPr>
          <w:ilvl w:val="0"/>
          <w:numId w:val="1"/>
        </w:numPr>
        <w:spacing w:lineRule="exact" w:line="300" w:before="60" w:after="60"/>
        <w:rPr/>
      </w:pPr>
      <w:r>
        <w:rPr>
          <w:rFonts w:eastAsia="Arial" w:cs="Arial"/>
          <w:color w:val="1C1C1C"/>
          <w:sz w:val="21"/>
          <w:szCs w:val="21"/>
        </w:rPr>
        <w:t>Traditional and customary justice systems, while accessible, often lack legal safeguards, particularly for women and marginalized groups</w:t>
      </w:r>
    </w:p>
    <w:p>
      <w:pPr>
        <w:pStyle w:val="ListParagraph"/>
        <w:numPr>
          <w:ilvl w:val="0"/>
          <w:numId w:val="1"/>
        </w:numPr>
        <w:spacing w:lineRule="exact" w:line="300" w:before="60" w:after="60"/>
        <w:rPr/>
      </w:pPr>
      <w:r>
        <w:rPr>
          <w:rFonts w:eastAsia="Arial" w:cs="Arial"/>
          <w:color w:val="1C1C1C"/>
          <w:sz w:val="21"/>
          <w:szCs w:val="21"/>
        </w:rPr>
        <w:t>Legal aid providers routinely turn away more than half of qualified applicants due to resource constraints</w:t>
      </w:r>
    </w:p>
    <w:p>
      <w:pPr>
        <w:pStyle w:val="ListParagraph"/>
        <w:numPr>
          <w:ilvl w:val="0"/>
          <w:numId w:val="1"/>
        </w:numPr>
        <w:spacing w:lineRule="exact" w:line="300" w:before="60" w:after="60"/>
        <w:rPr/>
      </w:pPr>
      <w:r>
        <w:rPr>
          <w:rFonts w:eastAsia="Arial" w:cs="Arial"/>
          <w:color w:val="1C1C1C"/>
          <w:sz w:val="21"/>
          <w:szCs w:val="21"/>
        </w:rPr>
        <w:t>The informal economy means millions of disputes  land, employment, family  go entirely unresolved</w:t>
      </w:r>
    </w:p>
    <w:p>
      <w:pPr>
        <w:pStyle w:val="Normal"/>
        <w:spacing w:before="160" w:after="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FDF7E7" w:val="clear"/>
          </w:tcPr>
          <w:p>
            <w:pPr>
              <w:pStyle w:val="Normal"/>
              <w:spacing w:before="0" w:after="60"/>
              <w:rPr/>
            </w:pPr>
            <w:r>
              <w:rPr>
                <w:rFonts w:eastAsia="Arial" w:cs="Arial"/>
                <w:b/>
                <w:bCs/>
                <w:color w:val="C9A84C"/>
                <w:sz w:val="22"/>
                <w:szCs w:val="22"/>
              </w:rPr>
              <w:t xml:space="preserve">🌍 </w:t>
            </w:r>
            <w:r>
              <w:rPr>
                <w:rFonts w:eastAsia="Arial" w:cs="Arial"/>
                <w:b/>
                <w:bCs/>
                <w:color w:val="C9A84C"/>
                <w:sz w:val="22"/>
                <w:szCs w:val="22"/>
              </w:rPr>
              <w:t>Kenya as a Proof of Concept</w:t>
            </w:r>
          </w:p>
          <w:p>
            <w:pPr>
              <w:pStyle w:val="Normal"/>
              <w:spacing w:before="0" w:after="0"/>
              <w:rPr/>
            </w:pPr>
            <w:r>
              <w:rPr>
                <w:rFonts w:eastAsia="Arial" w:cs="Arial"/>
                <w:color w:val="1C1C1C"/>
                <w:sz w:val="21"/>
                <w:szCs w:val="21"/>
              </w:rPr>
              <w:t>Kenya has already taken decisive steps: from July 2024, all courts went fully paperless under Chief Justice Martha Koome's directive. A KES 250 million LAN project connected 42 law courts nationwide in June 2025. The E-Judiciary mobile app  a 'virtual courthouse'  launched in May 2025 and allows citizens to join hearings, verify orders, and pay fees remotely. This platform builds directly on this momentum.</w:t>
            </w:r>
          </w:p>
        </w:tc>
      </w:tr>
    </w:tbl>
    <w:p>
      <w:pPr>
        <w:pStyle w:val="Normal"/>
        <w:spacing w:before="160" w:after="0"/>
        <w:rPr/>
      </w:pPr>
      <w:r>
        <w:rPr/>
      </w:r>
    </w:p>
    <w:p>
      <w:pPr>
        <w:pStyle w:val="Normal"/>
        <w:pBdr>
          <w:bottom w:val="single" w:sz="4" w:space="1" w:color="CCCCCC"/>
        </w:pBdr>
        <w:spacing w:before="160" w:after="160"/>
        <w:rPr/>
      </w:pPr>
      <w:r>
        <w:rPr/>
      </w:r>
    </w:p>
    <w:p>
      <w:pPr>
        <w:pStyle w:val="Normal"/>
        <w:spacing w:before="0" w:after="0"/>
        <w:rPr/>
      </w:pPr>
      <w:r>
        <w:rPr/>
      </w:r>
      <w:r>
        <w:br w:type="page"/>
      </w:r>
    </w:p>
    <w:p>
      <w:pPr>
        <w:pStyle w:val="Heading1"/>
        <w:pBdr>
          <w:bottom w:val="single" w:sz="8" w:space="4" w:color="C9A84C"/>
        </w:pBdr>
        <w:spacing w:before="0" w:after="160"/>
        <w:rPr/>
      </w:pPr>
      <w:r>
        <w:rPr>
          <w:rFonts w:eastAsia="Arial" w:cs="Arial" w:ascii="Arial" w:hAnsi="Arial"/>
          <w:b/>
          <w:bCs/>
          <w:color w:val="1A3A5C"/>
          <w:sz w:val="34"/>
          <w:szCs w:val="34"/>
        </w:rPr>
        <w:t>3. LEGAL RIGHTS FOUNDATION</w:t>
      </w:r>
    </w:p>
    <w:p>
      <w:pPr>
        <w:pStyle w:val="Normal"/>
        <w:spacing w:before="80" w:after="0"/>
        <w:rPr/>
      </w:pPr>
      <w:r>
        <w:rPr/>
      </w:r>
    </w:p>
    <w:p>
      <w:pPr>
        <w:pStyle w:val="Heading2"/>
        <w:spacing w:before="300" w:after="120"/>
        <w:rPr/>
      </w:pPr>
      <w:r>
        <w:rPr>
          <w:rFonts w:eastAsia="Arial" w:cs="Arial" w:ascii="Arial" w:hAnsi="Arial"/>
          <w:b/>
          <w:bCs/>
          <w:color w:val="0D7377"/>
          <w:sz w:val="26"/>
          <w:szCs w:val="26"/>
        </w:rPr>
        <w:t>3.1 Kenya's Constitutional Framework — The Gold Standard</w:t>
      </w:r>
    </w:p>
    <w:p>
      <w:pPr>
        <w:pStyle w:val="Normal"/>
        <w:spacing w:lineRule="exact" w:line="320" w:before="80" w:after="80"/>
        <w:rPr/>
      </w:pPr>
      <w:r>
        <w:rPr>
          <w:rFonts w:eastAsia="Arial" w:cs="Arial"/>
          <w:color w:val="1C1C1C"/>
          <w:sz w:val="22"/>
          <w:szCs w:val="22"/>
        </w:rPr>
        <w:t>The Constitution of Kenya 2010 provides one of the world's strongest human rights foundations. Chapter 4  the Bill of Rights  establishes enforceable fundamental rights that form the legal backbone of this platform. Critically, any person in Kenya can approach a court if their rights are violated, making the legal system citizen-centric by design.</w:t>
      </w:r>
    </w:p>
    <w:p>
      <w:pPr>
        <w:pStyle w:val="Normal"/>
        <w:spacing w:before="80" w:after="0"/>
        <w:rPr/>
      </w:pPr>
      <w:r>
        <w:rPr/>
      </w:r>
    </w:p>
    <w:tbl>
      <w:tblPr>
        <w:tblW w:w="9360" w:type="dxa"/>
        <w:jc w:val="left"/>
        <w:tblInd w:w="0" w:type="dxa"/>
        <w:tblLayout w:type="fixed"/>
        <w:tblCellMar>
          <w:top w:w="100" w:type="dxa"/>
          <w:left w:w="160" w:type="dxa"/>
          <w:bottom w:w="100" w:type="dxa"/>
          <w:right w:w="160" w:type="dxa"/>
        </w:tblCellMar>
      </w:tblPr>
      <w:tblGrid>
        <w:gridCol w:w="3599"/>
        <w:gridCol w:w="5760"/>
      </w:tblGrid>
      <w:tr>
        <w:trPr>
          <w:tblHeader w:val="true"/>
        </w:trPr>
        <w:tc>
          <w:tcPr>
            <w:tcW w:w="3599" w:type="dxa"/>
            <w:tcBorders/>
            <w:shd w:fill="1A3A5C" w:val="clear"/>
          </w:tcPr>
          <w:p>
            <w:pPr>
              <w:pStyle w:val="Normal"/>
              <w:rPr/>
            </w:pPr>
            <w:r>
              <w:rPr>
                <w:rFonts w:eastAsia="Arial" w:cs="Arial"/>
                <w:b/>
                <w:bCs/>
                <w:color w:val="FFFFFF"/>
                <w:sz w:val="21"/>
                <w:szCs w:val="21"/>
              </w:rPr>
              <w:t>Constitutional Right</w:t>
            </w:r>
          </w:p>
        </w:tc>
        <w:tc>
          <w:tcPr>
            <w:tcW w:w="5760" w:type="dxa"/>
            <w:tcBorders/>
            <w:shd w:fill="0D7377" w:val="clear"/>
          </w:tcPr>
          <w:p>
            <w:pPr>
              <w:pStyle w:val="Normal"/>
              <w:rPr/>
            </w:pPr>
            <w:r>
              <w:rPr>
                <w:rFonts w:eastAsia="Arial" w:cs="Arial"/>
                <w:b/>
                <w:bCs/>
                <w:color w:val="FFFFFF"/>
                <w:sz w:val="21"/>
                <w:szCs w:val="21"/>
              </w:rPr>
              <w:t>Platform Feature That Enforces It</w:t>
            </w:r>
          </w:p>
        </w:tc>
      </w:tr>
      <w:tr>
        <w:trPr/>
        <w:tc>
          <w:tcPr>
            <w:tcW w:w="35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Right to Life &amp; Dignity</w:t>
            </w:r>
          </w:p>
        </w:tc>
        <w:tc>
          <w:tcPr>
            <w:tcW w:w="57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Emergency Legal Button  instant lawyer + police connection with location sharing</w:t>
            </w:r>
          </w:p>
        </w:tc>
      </w:tr>
      <w:tr>
        <w:trPr/>
        <w:tc>
          <w:tcPr>
            <w:tcW w:w="35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Right to Fair Trial</w:t>
            </w:r>
          </w:p>
        </w:tc>
        <w:tc>
          <w:tcPr>
            <w:tcW w:w="57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Digital case tracking, transparent timelines, immutable evidence vault</w:t>
            </w:r>
          </w:p>
        </w:tc>
      </w:tr>
      <w:tr>
        <w:trPr/>
        <w:tc>
          <w:tcPr>
            <w:tcW w:w="35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Right to Privacy</w:t>
            </w:r>
          </w:p>
        </w:tc>
        <w:tc>
          <w:tcPr>
            <w:tcW w:w="57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End-to-end encryption, KYC verification, Kenya Data Protection Act compliance</w:t>
            </w:r>
          </w:p>
        </w:tc>
      </w:tr>
      <w:tr>
        <w:trPr/>
        <w:tc>
          <w:tcPr>
            <w:tcW w:w="35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Right to Property &amp; Land</w:t>
            </w:r>
          </w:p>
        </w:tc>
        <w:tc>
          <w:tcPr>
            <w:tcW w:w="57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Integrated land registry connections, AI-powered land dispute resolution</w:t>
            </w:r>
          </w:p>
        </w:tc>
      </w:tr>
      <w:tr>
        <w:trPr/>
        <w:tc>
          <w:tcPr>
            <w:tcW w:w="35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Right to Education</w:t>
            </w:r>
          </w:p>
        </w:tc>
        <w:tc>
          <w:tcPr>
            <w:tcW w:w="57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AI Legal Education Engine  rights explained in plain language, all languages</w:t>
            </w:r>
          </w:p>
        </w:tc>
      </w:tr>
      <w:tr>
        <w:trPr/>
        <w:tc>
          <w:tcPr>
            <w:tcW w:w="35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Right to Equal Treatment</w:t>
            </w:r>
          </w:p>
        </w:tc>
        <w:tc>
          <w:tcPr>
            <w:tcW w:w="57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Credit-based system removes financial barriers; all citizens access same tools</w:t>
            </w:r>
          </w:p>
        </w:tc>
      </w:tr>
      <w:tr>
        <w:trPr/>
        <w:tc>
          <w:tcPr>
            <w:tcW w:w="35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Freedom of Expression</w:t>
            </w:r>
          </w:p>
        </w:tc>
        <w:tc>
          <w:tcPr>
            <w:tcW w:w="57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Secure reporting tools for human rights violations, whistle-blower protection</w:t>
            </w:r>
          </w:p>
        </w:tc>
      </w:tr>
      <w:tr>
        <w:trPr/>
        <w:tc>
          <w:tcPr>
            <w:tcW w:w="35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Social &amp; Economic Rights</w:t>
            </w:r>
          </w:p>
        </w:tc>
        <w:tc>
          <w:tcPr>
            <w:tcW w:w="57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Housing, food, health rights  documented, filed, and tracked digitally</w:t>
            </w:r>
          </w:p>
        </w:tc>
      </w:tr>
    </w:tbl>
    <w:p>
      <w:pPr>
        <w:pStyle w:val="Normal"/>
        <w:spacing w:before="160" w:after="0"/>
        <w:rPr/>
      </w:pPr>
      <w:r>
        <w:rPr/>
      </w:r>
    </w:p>
    <w:p>
      <w:pPr>
        <w:pStyle w:val="Heading2"/>
        <w:spacing w:before="300" w:after="120"/>
        <w:rPr/>
      </w:pPr>
      <w:r>
        <w:rPr>
          <w:rFonts w:eastAsia="Arial" w:cs="Arial" w:ascii="Arial" w:hAnsi="Arial"/>
          <w:b/>
          <w:bCs/>
          <w:color w:val="0D7377"/>
          <w:sz w:val="26"/>
          <w:szCs w:val="26"/>
        </w:rPr>
        <w:t>3.2 International Legal Framework</w:t>
      </w:r>
    </w:p>
    <w:p>
      <w:pPr>
        <w:pStyle w:val="Normal"/>
        <w:spacing w:lineRule="exact" w:line="320" w:before="80" w:after="80"/>
        <w:rPr/>
      </w:pPr>
      <w:r>
        <w:rPr>
          <w:rFonts w:eastAsia="Arial" w:cs="Arial"/>
          <w:color w:val="1C1C1C"/>
          <w:sz w:val="22"/>
          <w:szCs w:val="22"/>
        </w:rPr>
        <w:t>The platform integrates and enforces rights guaranteed under internationally recognized instruments that Kenya has ratified and incorporated into domestic law:</w:t>
      </w:r>
    </w:p>
    <w:p>
      <w:pPr>
        <w:pStyle w:val="Normal"/>
        <w:spacing w:before="80" w:after="0"/>
        <w:rPr/>
      </w:pPr>
      <w:r>
        <w:rPr/>
      </w:r>
    </w:p>
    <w:p>
      <w:pPr>
        <w:pStyle w:val="ListParagraph"/>
        <w:numPr>
          <w:ilvl w:val="0"/>
          <w:numId w:val="1"/>
        </w:numPr>
        <w:spacing w:lineRule="exact" w:line="300" w:before="60" w:after="60"/>
        <w:rPr/>
      </w:pPr>
      <w:r>
        <w:rPr>
          <w:rFonts w:eastAsia="Arial" w:cs="Arial"/>
          <w:b/>
          <w:bCs/>
          <w:color w:val="1A3A5C"/>
          <w:sz w:val="21"/>
          <w:szCs w:val="21"/>
        </w:rPr>
        <w:t xml:space="preserve">Universal Declaration of Human Rights (1948): </w:t>
      </w:r>
      <w:r>
        <w:rPr>
          <w:rFonts w:eastAsia="Arial" w:cs="Arial"/>
          <w:color w:val="1C1C1C"/>
          <w:sz w:val="21"/>
          <w:szCs w:val="21"/>
        </w:rPr>
        <w:t>Articles 6–12 establish rights to legal recognition, equality before the law, and fair trial — the bedrock of the platform's citizen module.</w:t>
      </w:r>
    </w:p>
    <w:p>
      <w:pPr>
        <w:pStyle w:val="ListParagraph"/>
        <w:numPr>
          <w:ilvl w:val="0"/>
          <w:numId w:val="1"/>
        </w:numPr>
        <w:spacing w:lineRule="exact" w:line="300" w:before="60" w:after="60"/>
        <w:rPr/>
      </w:pPr>
      <w:r>
        <w:rPr>
          <w:rFonts w:eastAsia="Arial" w:cs="Arial"/>
          <w:b/>
          <w:bCs/>
          <w:color w:val="1A3A5C"/>
          <w:sz w:val="21"/>
          <w:szCs w:val="21"/>
        </w:rPr>
        <w:t xml:space="preserve">International Covenant on Civil and Political Rights (ICCPR): </w:t>
      </w:r>
      <w:r>
        <w:rPr>
          <w:rFonts w:eastAsia="Arial" w:cs="Arial"/>
          <w:color w:val="1C1C1C"/>
          <w:sz w:val="21"/>
          <w:szCs w:val="21"/>
        </w:rPr>
        <w:t>Guarantees the right to a public hearing by a competent, independent, and impartial tribunal — enforced through our digital court module.</w:t>
      </w:r>
    </w:p>
    <w:p>
      <w:pPr>
        <w:pStyle w:val="ListParagraph"/>
        <w:numPr>
          <w:ilvl w:val="0"/>
          <w:numId w:val="1"/>
        </w:numPr>
        <w:spacing w:lineRule="exact" w:line="300" w:before="60" w:after="60"/>
        <w:rPr/>
      </w:pPr>
      <w:r>
        <w:rPr>
          <w:rFonts w:eastAsia="Arial" w:cs="Arial"/>
          <w:b/>
          <w:bCs/>
          <w:color w:val="1A3A5C"/>
          <w:sz w:val="21"/>
          <w:szCs w:val="21"/>
        </w:rPr>
        <w:t xml:space="preserve">International Covenant on Economic, Social and Cultural Rights (ICESCR): </w:t>
      </w:r>
      <w:r>
        <w:rPr>
          <w:rFonts w:eastAsia="Arial" w:cs="Arial"/>
          <w:color w:val="1C1C1C"/>
          <w:sz w:val="21"/>
          <w:szCs w:val="21"/>
        </w:rPr>
        <w:t>Rights to work, health, education, and housing — all actionable through the platform's case filing system.</w:t>
      </w:r>
    </w:p>
    <w:p>
      <w:pPr>
        <w:pStyle w:val="Normal"/>
        <w:spacing w:before="80" w:after="0"/>
        <w:rPr/>
      </w:pPr>
      <w:r>
        <w:rPr/>
      </w:r>
    </w:p>
    <w:p>
      <w:pPr>
        <w:pStyle w:val="Normal"/>
        <w:spacing w:lineRule="exact" w:line="320" w:before="80" w:after="80"/>
        <w:rPr/>
      </w:pPr>
      <w:r>
        <w:rPr>
          <w:rFonts w:eastAsia="Arial" w:cs="Arial"/>
          <w:color w:val="1C1C1C"/>
          <w:sz w:val="22"/>
          <w:szCs w:val="22"/>
        </w:rPr>
        <w:t>Kenya's Constitution Article 2(6) makes ratified treaties part of domestic law, giving these international standards direct legal force on Kenyan soil.</w:t>
      </w:r>
    </w:p>
    <w:p>
      <w:pPr>
        <w:pStyle w:val="Normal"/>
        <w:spacing w:before="80" w:after="0"/>
        <w:rPr/>
      </w:pPr>
      <w:r>
        <w:rPr/>
      </w:r>
    </w:p>
    <w:p>
      <w:pPr>
        <w:pStyle w:val="Heading2"/>
        <w:spacing w:before="300" w:after="120"/>
        <w:rPr/>
      </w:pPr>
      <w:r>
        <w:rPr>
          <w:rFonts w:eastAsia="Arial" w:cs="Arial" w:ascii="Arial" w:hAnsi="Arial"/>
          <w:b/>
          <w:bCs/>
          <w:color w:val="0D7377"/>
          <w:sz w:val="26"/>
          <w:szCs w:val="26"/>
        </w:rPr>
        <w:t>3.3 Kenya's Multi-Layer Legal System</w:t>
      </w:r>
    </w:p>
    <w:p>
      <w:pPr>
        <w:pStyle w:val="Normal"/>
        <w:spacing w:lineRule="exact" w:line="320" w:before="80" w:after="80"/>
        <w:rPr/>
      </w:pPr>
      <w:r>
        <w:rPr>
          <w:rFonts w:eastAsia="Arial" w:cs="Arial"/>
          <w:color w:val="1C1C1C"/>
          <w:sz w:val="22"/>
          <w:szCs w:val="22"/>
        </w:rPr>
        <w:t>The platform supports all four layers of Kenya's legal system, ensuring comprehensive coverage:</w:t>
      </w:r>
    </w:p>
    <w:p>
      <w:pPr>
        <w:pStyle w:val="Normal"/>
        <w:spacing w:before="80" w:after="0"/>
        <w:rPr/>
      </w:pPr>
      <w:r>
        <w:rPr/>
      </w:r>
    </w:p>
    <w:p>
      <w:pPr>
        <w:pStyle w:val="ListParagraph"/>
        <w:numPr>
          <w:ilvl w:val="0"/>
          <w:numId w:val="1"/>
        </w:numPr>
        <w:spacing w:lineRule="exact" w:line="300" w:before="60" w:after="60"/>
        <w:rPr/>
      </w:pPr>
      <w:r>
        <w:rPr>
          <w:rFonts w:eastAsia="Arial" w:cs="Arial"/>
          <w:color w:val="1C1C1C"/>
          <w:sz w:val="21"/>
          <w:szCs w:val="21"/>
        </w:rPr>
        <w:t>Common Law — case precedents searchable through the AI Legal Research Engine</w:t>
      </w:r>
    </w:p>
    <w:p>
      <w:pPr>
        <w:pStyle w:val="ListParagraph"/>
        <w:numPr>
          <w:ilvl w:val="0"/>
          <w:numId w:val="1"/>
        </w:numPr>
        <w:spacing w:lineRule="exact" w:line="300" w:before="60" w:after="60"/>
        <w:rPr/>
      </w:pPr>
      <w:r>
        <w:rPr>
          <w:rFonts w:eastAsia="Arial" w:cs="Arial"/>
          <w:color w:val="1C1C1C"/>
          <w:sz w:val="21"/>
          <w:szCs w:val="21"/>
        </w:rPr>
        <w:t>Statutory Law — all Acts of Parliament integrated into the Global Legal Database</w:t>
      </w:r>
    </w:p>
    <w:p>
      <w:pPr>
        <w:pStyle w:val="ListParagraph"/>
        <w:numPr>
          <w:ilvl w:val="0"/>
          <w:numId w:val="1"/>
        </w:numPr>
        <w:spacing w:lineRule="exact" w:line="300" w:before="60" w:after="60"/>
        <w:rPr/>
      </w:pPr>
      <w:r>
        <w:rPr>
          <w:rFonts w:eastAsia="Arial" w:cs="Arial"/>
          <w:color w:val="1C1C1C"/>
          <w:sz w:val="21"/>
          <w:szCs w:val="21"/>
        </w:rPr>
        <w:t>Customary Law — community and traditional dispute resolution modules with legal safeguards</w:t>
      </w:r>
    </w:p>
    <w:p>
      <w:pPr>
        <w:pStyle w:val="ListParagraph"/>
        <w:numPr>
          <w:ilvl w:val="0"/>
          <w:numId w:val="1"/>
        </w:numPr>
        <w:spacing w:lineRule="exact" w:line="300" w:before="60" w:after="60"/>
        <w:rPr/>
      </w:pPr>
      <w:r>
        <w:rPr>
          <w:rFonts w:eastAsia="Arial" w:cs="Arial"/>
          <w:color w:val="1C1C1C"/>
          <w:sz w:val="21"/>
          <w:szCs w:val="21"/>
        </w:rPr>
        <w:t>Islamic Law (Kadhis' Courts) — specialized module for personal status, marriage, inheritance matters</w:t>
      </w:r>
    </w:p>
    <w:p>
      <w:pPr>
        <w:pStyle w:val="Normal"/>
        <w:spacing w:before="80" w:after="0"/>
        <w:rPr/>
      </w:pPr>
      <w:r>
        <w:rPr/>
      </w:r>
    </w:p>
    <w:p>
      <w:pPr>
        <w:pStyle w:val="Heading2"/>
        <w:spacing w:before="300" w:after="120"/>
        <w:rPr/>
      </w:pPr>
      <w:r>
        <w:rPr>
          <w:rFonts w:eastAsia="Arial" w:cs="Arial" w:ascii="Arial" w:hAnsi="Arial"/>
          <w:b/>
          <w:bCs/>
          <w:color w:val="0D7377"/>
          <w:sz w:val="26"/>
          <w:szCs w:val="26"/>
        </w:rPr>
        <w:t>3.4 Court Hierarchy Integration</w:t>
      </w:r>
    </w:p>
    <w:p>
      <w:pPr>
        <w:pStyle w:val="Normal"/>
        <w:spacing w:lineRule="exact" w:line="320" w:before="80" w:after="80"/>
        <w:rPr/>
      </w:pPr>
      <w:r>
        <w:rPr>
          <w:rFonts w:eastAsia="Arial" w:cs="Arial"/>
          <w:color w:val="1C1C1C"/>
          <w:sz w:val="22"/>
          <w:szCs w:val="22"/>
        </w:rPr>
        <w:t>The platform integrates with every tier of Kenya's court system and is architected to connect with equivalent tiers in any country:</w:t>
      </w:r>
    </w:p>
    <w:p>
      <w:pPr>
        <w:pStyle w:val="Normal"/>
        <w:spacing w:before="80" w:after="0"/>
        <w:rPr/>
      </w:pPr>
      <w:r>
        <w:rPr/>
      </w:r>
    </w:p>
    <w:p>
      <w:pPr>
        <w:pStyle w:val="ListParagraph"/>
        <w:numPr>
          <w:ilvl w:val="0"/>
          <w:numId w:val="1"/>
        </w:numPr>
        <w:spacing w:lineRule="exact" w:line="300" w:before="60" w:after="60"/>
        <w:rPr/>
      </w:pPr>
      <w:r>
        <w:rPr>
          <w:rFonts w:eastAsia="Arial" w:cs="Arial"/>
          <w:color w:val="1C1C1C"/>
          <w:sz w:val="21"/>
          <w:szCs w:val="21"/>
        </w:rPr>
        <w:t>Supreme Court — constitutional matters, presidential election disputes</w:t>
      </w:r>
    </w:p>
    <w:p>
      <w:pPr>
        <w:pStyle w:val="ListParagraph"/>
        <w:numPr>
          <w:ilvl w:val="0"/>
          <w:numId w:val="1"/>
        </w:numPr>
        <w:spacing w:lineRule="exact" w:line="300" w:before="60" w:after="60"/>
        <w:rPr/>
      </w:pPr>
      <w:r>
        <w:rPr>
          <w:rFonts w:eastAsia="Arial" w:cs="Arial"/>
          <w:color w:val="1C1C1C"/>
          <w:sz w:val="21"/>
          <w:szCs w:val="21"/>
        </w:rPr>
        <w:t>Court of Appeal — appellate jurisdiction, legal precedent tracking</w:t>
      </w:r>
    </w:p>
    <w:p>
      <w:pPr>
        <w:pStyle w:val="ListParagraph"/>
        <w:numPr>
          <w:ilvl w:val="0"/>
          <w:numId w:val="1"/>
        </w:numPr>
        <w:spacing w:lineRule="exact" w:line="300" w:before="60" w:after="60"/>
        <w:rPr/>
      </w:pPr>
      <w:r>
        <w:rPr>
          <w:rFonts w:eastAsia="Arial" w:cs="Arial"/>
          <w:color w:val="1C1C1C"/>
          <w:sz w:val="21"/>
          <w:szCs w:val="21"/>
        </w:rPr>
        <w:t>High Court — constitutional, criminal, civil, family, and commercial divisions</w:t>
      </w:r>
    </w:p>
    <w:p>
      <w:pPr>
        <w:pStyle w:val="ListParagraph"/>
        <w:numPr>
          <w:ilvl w:val="0"/>
          <w:numId w:val="1"/>
        </w:numPr>
        <w:spacing w:lineRule="exact" w:line="300" w:before="60" w:after="60"/>
        <w:rPr/>
      </w:pPr>
      <w:r>
        <w:rPr>
          <w:rFonts w:eastAsia="Arial" w:cs="Arial"/>
          <w:color w:val="1C1C1C"/>
          <w:sz w:val="21"/>
          <w:szCs w:val="21"/>
        </w:rPr>
        <w:t>Environment &amp; Land Court / Employment &amp; Labour Court — specialized jurisdictions</w:t>
      </w:r>
    </w:p>
    <w:p>
      <w:pPr>
        <w:pStyle w:val="ListParagraph"/>
        <w:numPr>
          <w:ilvl w:val="0"/>
          <w:numId w:val="1"/>
        </w:numPr>
        <w:spacing w:lineRule="exact" w:line="300" w:before="60" w:after="60"/>
        <w:rPr/>
      </w:pPr>
      <w:r>
        <w:rPr>
          <w:rFonts w:eastAsia="Arial" w:cs="Arial"/>
          <w:color w:val="1C1C1C"/>
          <w:sz w:val="21"/>
          <w:szCs w:val="21"/>
        </w:rPr>
        <w:t>Magistrate Courts — most criminal and civil cases; primary interface for citizens</w:t>
      </w:r>
    </w:p>
    <w:p>
      <w:pPr>
        <w:pStyle w:val="ListParagraph"/>
        <w:numPr>
          <w:ilvl w:val="0"/>
          <w:numId w:val="1"/>
        </w:numPr>
        <w:spacing w:lineRule="exact" w:line="300" w:before="60" w:after="60"/>
        <w:rPr/>
      </w:pPr>
      <w:r>
        <w:rPr>
          <w:rFonts w:eastAsia="Arial" w:cs="Arial"/>
          <w:color w:val="1C1C1C"/>
          <w:sz w:val="21"/>
          <w:szCs w:val="21"/>
        </w:rPr>
        <w:t>Small Claims Court — fast-track resolution for claims under KES 1,000,000</w:t>
      </w:r>
    </w:p>
    <w:p>
      <w:pPr>
        <w:pStyle w:val="Normal"/>
        <w:pBdr>
          <w:bottom w:val="single" w:sz="4" w:space="1" w:color="CCCCCC"/>
        </w:pBdr>
        <w:spacing w:before="160" w:after="160"/>
        <w:rPr/>
      </w:pPr>
      <w:r>
        <w:rPr/>
      </w:r>
    </w:p>
    <w:p>
      <w:pPr>
        <w:pStyle w:val="Normal"/>
        <w:spacing w:before="0" w:after="0"/>
        <w:rPr/>
      </w:pPr>
      <w:r>
        <w:rPr/>
      </w:r>
      <w:r>
        <w:br w:type="page"/>
      </w:r>
    </w:p>
    <w:p>
      <w:pPr>
        <w:pStyle w:val="Heading1"/>
        <w:pBdr>
          <w:bottom w:val="single" w:sz="8" w:space="4" w:color="C9A84C"/>
        </w:pBdr>
        <w:spacing w:before="0" w:after="160"/>
        <w:rPr/>
      </w:pPr>
      <w:r>
        <w:rPr>
          <w:rFonts w:eastAsia="Arial" w:cs="Arial" w:ascii="Arial" w:hAnsi="Arial"/>
          <w:b/>
          <w:bCs/>
          <w:color w:val="1A3A5C"/>
          <w:sz w:val="34"/>
          <w:szCs w:val="34"/>
        </w:rPr>
        <w:t>4. PLATFORM ARCHITECTURE</w:t>
      </w:r>
    </w:p>
    <w:p>
      <w:pPr>
        <w:pStyle w:val="Normal"/>
        <w:spacing w:before="80" w:after="0"/>
        <w:rPr/>
      </w:pPr>
      <w:r>
        <w:rPr/>
      </w:r>
    </w:p>
    <w:p>
      <w:pPr>
        <w:pStyle w:val="Normal"/>
        <w:spacing w:lineRule="exact" w:line="320" w:before="80" w:after="80"/>
        <w:rPr/>
      </w:pPr>
      <w:r>
        <w:rPr>
          <w:rFonts w:eastAsia="Arial" w:cs="Arial"/>
          <w:color w:val="1C1C1C"/>
          <w:sz w:val="22"/>
          <w:szCs w:val="22"/>
        </w:rPr>
        <w:t>The platform is organized into five deeply integrated modules that interact in real time, creating a seamless experience for every user type  from a rural farmer with a land dispute to a Nairobi-based commercial attorney managing 50 active cases.</w:t>
      </w:r>
    </w:p>
    <w:p>
      <w:pPr>
        <w:pStyle w:val="Normal"/>
        <w:spacing w:before="160" w:after="0"/>
        <w:rPr/>
      </w:pPr>
      <w:r>
        <w:rPr/>
      </w:r>
    </w:p>
    <w:p>
      <w:pPr>
        <w:pStyle w:val="Heading2"/>
        <w:spacing w:before="300" w:after="120"/>
        <w:rPr/>
      </w:pPr>
      <w:r>
        <w:rPr>
          <w:rFonts w:eastAsia="Arial" w:cs="Arial" w:ascii="Arial" w:hAnsi="Arial"/>
          <w:b/>
          <w:bCs/>
          <w:color w:val="0D7377"/>
          <w:sz w:val="26"/>
          <w:szCs w:val="26"/>
        </w:rPr>
        <w:t>4.1 Citizens Module — Every Person's Legal Companion</w:t>
      </w:r>
    </w:p>
    <w:p>
      <w:pPr>
        <w:pStyle w:val="Normal"/>
        <w:spacing w:lineRule="exact" w:line="320" w:before="80" w:after="80"/>
        <w:rPr/>
      </w:pPr>
      <w:r>
        <w:rPr>
          <w:rFonts w:eastAsia="Arial" w:cs="Arial"/>
          <w:color w:val="1C1C1C"/>
          <w:sz w:val="22"/>
          <w:szCs w:val="22"/>
        </w:rPr>
        <w:t>The heart of the platform. Every citizen gets a personal legal vault and a 24/7 AI-powered guide to their rights.</w:t>
      </w:r>
    </w:p>
    <w:p>
      <w:pPr>
        <w:pStyle w:val="Normal"/>
        <w:spacing w:before="80" w:after="0"/>
        <w:rPr/>
      </w:pPr>
      <w:r>
        <w:rPr/>
      </w:r>
    </w:p>
    <w:p>
      <w:pPr>
        <w:pStyle w:val="ListParagraph"/>
        <w:numPr>
          <w:ilvl w:val="0"/>
          <w:numId w:val="1"/>
        </w:numPr>
        <w:spacing w:lineRule="exact" w:line="300" w:before="60" w:after="60"/>
        <w:rPr/>
      </w:pPr>
      <w:r>
        <w:rPr>
          <w:rFonts w:eastAsia="Arial" w:cs="Arial"/>
          <w:b/>
          <w:bCs/>
          <w:color w:val="1A3A5C"/>
          <w:sz w:val="21"/>
          <w:szCs w:val="21"/>
        </w:rPr>
        <w:t xml:space="preserve">Know Your Rights: </w:t>
      </w:r>
      <w:r>
        <w:rPr>
          <w:rFonts w:eastAsia="Arial" w:cs="Arial"/>
          <w:color w:val="1C1C1C"/>
          <w:sz w:val="21"/>
          <w:szCs w:val="21"/>
        </w:rPr>
        <w:t>Plain-language explanations of constitutional rights, searchable by situation (e.g., 'My landlord is evicting me' → triggers Tenant Rights module)</w:t>
      </w:r>
    </w:p>
    <w:p>
      <w:pPr>
        <w:pStyle w:val="ListParagraph"/>
        <w:numPr>
          <w:ilvl w:val="0"/>
          <w:numId w:val="1"/>
        </w:numPr>
        <w:spacing w:lineRule="exact" w:line="300" w:before="60" w:after="60"/>
        <w:rPr/>
      </w:pPr>
      <w:r>
        <w:rPr>
          <w:rFonts w:eastAsia="Arial" w:cs="Arial"/>
          <w:b/>
          <w:bCs/>
          <w:color w:val="1A3A5C"/>
          <w:sz w:val="21"/>
          <w:szCs w:val="21"/>
        </w:rPr>
        <w:t xml:space="preserve">Ask a Question: </w:t>
      </w:r>
      <w:r>
        <w:rPr>
          <w:rFonts w:eastAsia="Arial" w:cs="Arial"/>
          <w:color w:val="1C1C1C"/>
          <w:sz w:val="21"/>
          <w:szCs w:val="21"/>
        </w:rPr>
        <w:t>AI Legal Assistant provides instant, jurisdiction-specific guidance; escalates to real lawyer with one tap</w:t>
      </w:r>
    </w:p>
    <w:p>
      <w:pPr>
        <w:pStyle w:val="ListParagraph"/>
        <w:numPr>
          <w:ilvl w:val="0"/>
          <w:numId w:val="1"/>
        </w:numPr>
        <w:spacing w:lineRule="exact" w:line="300" w:before="60" w:after="60"/>
        <w:rPr/>
      </w:pPr>
      <w:r>
        <w:rPr>
          <w:rFonts w:eastAsia="Arial" w:cs="Arial"/>
          <w:b/>
          <w:bCs/>
          <w:color w:val="1A3A5C"/>
          <w:sz w:val="21"/>
          <w:szCs w:val="21"/>
        </w:rPr>
        <w:t xml:space="preserve">File a Report/Case: </w:t>
      </w:r>
      <w:r>
        <w:rPr>
          <w:rFonts w:eastAsia="Arial" w:cs="Arial"/>
          <w:color w:val="1C1C1C"/>
          <w:sz w:val="21"/>
          <w:szCs w:val="21"/>
        </w:rPr>
        <w:t>Guided case filing  the system asks questions, determines the right court, and auto-populates legal forms</w:t>
      </w:r>
    </w:p>
    <w:p>
      <w:pPr>
        <w:pStyle w:val="ListParagraph"/>
        <w:numPr>
          <w:ilvl w:val="0"/>
          <w:numId w:val="1"/>
        </w:numPr>
        <w:spacing w:lineRule="exact" w:line="300" w:before="60" w:after="60"/>
        <w:rPr/>
      </w:pPr>
      <w:r>
        <w:rPr>
          <w:rFonts w:eastAsia="Arial" w:cs="Arial"/>
          <w:b/>
          <w:bCs/>
          <w:color w:val="1A3A5C"/>
          <w:sz w:val="21"/>
          <w:szCs w:val="21"/>
        </w:rPr>
        <w:t xml:space="preserve">Real-Time Case Tracking: </w:t>
      </w:r>
      <w:r>
        <w:rPr>
          <w:rFonts w:eastAsia="Arial" w:cs="Arial"/>
          <w:color w:val="1C1C1C"/>
          <w:sz w:val="21"/>
          <w:szCs w:val="21"/>
        </w:rPr>
        <w:t>Hearing dates, judge notes, lawyer updates, and court decisions  all in one dashboard</w:t>
      </w:r>
    </w:p>
    <w:p>
      <w:pPr>
        <w:pStyle w:val="ListParagraph"/>
        <w:numPr>
          <w:ilvl w:val="0"/>
          <w:numId w:val="1"/>
        </w:numPr>
        <w:spacing w:lineRule="exact" w:line="300" w:before="60" w:after="60"/>
        <w:rPr/>
      </w:pPr>
      <w:r>
        <w:rPr>
          <w:rFonts w:eastAsia="Arial" w:cs="Arial"/>
          <w:b/>
          <w:bCs/>
          <w:color w:val="1A3A5C"/>
          <w:sz w:val="21"/>
          <w:szCs w:val="21"/>
        </w:rPr>
        <w:t xml:space="preserve">Personal Legal Vault: </w:t>
      </w:r>
      <w:r>
        <w:rPr>
          <w:rFonts w:eastAsia="Arial" w:cs="Arial"/>
          <w:color w:val="1C1C1C"/>
          <w:sz w:val="21"/>
          <w:szCs w:val="21"/>
        </w:rPr>
        <w:t>Encrypted storage for contracts, title deeds, affidavits, police reports, photos, and audio evidence</w:t>
      </w:r>
    </w:p>
    <w:p>
      <w:pPr>
        <w:pStyle w:val="ListParagraph"/>
        <w:numPr>
          <w:ilvl w:val="0"/>
          <w:numId w:val="1"/>
        </w:numPr>
        <w:spacing w:lineRule="exact" w:line="300" w:before="60" w:after="60"/>
        <w:rPr/>
      </w:pPr>
      <w:r>
        <w:rPr>
          <w:rFonts w:eastAsia="Arial" w:cs="Arial"/>
          <w:b/>
          <w:bCs/>
          <w:color w:val="1A3A5C"/>
          <w:sz w:val="21"/>
          <w:szCs w:val="21"/>
        </w:rPr>
        <w:t xml:space="preserve">Upload Evidence: </w:t>
      </w:r>
      <w:r>
        <w:rPr>
          <w:rFonts w:eastAsia="Arial" w:cs="Arial"/>
          <w:color w:val="1C1C1C"/>
          <w:sz w:val="21"/>
          <w:szCs w:val="21"/>
        </w:rPr>
        <w:t>Secure, timestamped upload of photos, videos, documents, and audio recordings  admissible as digital evidence</w:t>
      </w:r>
    </w:p>
    <w:p>
      <w:pPr>
        <w:pStyle w:val="ListParagraph"/>
        <w:numPr>
          <w:ilvl w:val="0"/>
          <w:numId w:val="1"/>
        </w:numPr>
        <w:spacing w:lineRule="exact" w:line="300" w:before="60" w:after="60"/>
        <w:rPr/>
      </w:pPr>
      <w:r>
        <w:rPr>
          <w:rFonts w:eastAsia="Arial" w:cs="Arial"/>
          <w:b/>
          <w:bCs/>
          <w:color w:val="1A3A5C"/>
          <w:sz w:val="21"/>
          <w:szCs w:val="21"/>
        </w:rPr>
        <w:t xml:space="preserve">Emergency Legal Button: </w:t>
      </w:r>
      <w:r>
        <w:rPr>
          <w:rFonts w:eastAsia="Arial" w:cs="Arial"/>
          <w:color w:val="1C1C1C"/>
          <w:sz w:val="21"/>
          <w:szCs w:val="21"/>
        </w:rPr>
        <w:t>Single tap → connects to on-call lawyer + notifies police + shares GPS location; critical for GBV, arrest, and rights violations</w:t>
      </w:r>
    </w:p>
    <w:p>
      <w:pPr>
        <w:pStyle w:val="ListParagraph"/>
        <w:numPr>
          <w:ilvl w:val="0"/>
          <w:numId w:val="1"/>
        </w:numPr>
        <w:spacing w:lineRule="exact" w:line="300" w:before="60" w:after="60"/>
        <w:rPr/>
      </w:pPr>
      <w:r>
        <w:rPr>
          <w:rFonts w:eastAsia="Arial" w:cs="Arial"/>
          <w:b/>
          <w:bCs/>
          <w:color w:val="1A3A5C"/>
          <w:sz w:val="21"/>
          <w:szCs w:val="21"/>
        </w:rPr>
        <w:t xml:space="preserve">Community Legal Forum: </w:t>
      </w:r>
      <w:r>
        <w:rPr>
          <w:rFonts w:eastAsia="Arial" w:cs="Arial"/>
          <w:color w:val="1C1C1C"/>
          <w:sz w:val="21"/>
          <w:szCs w:val="21"/>
        </w:rPr>
        <w:t>Moderated peer support platform where legal questions are answered by verified lawyers and experienced community members</w:t>
      </w:r>
    </w:p>
    <w:p>
      <w:pPr>
        <w:pStyle w:val="Normal"/>
        <w:spacing w:before="160" w:after="0"/>
        <w:rPr/>
      </w:pPr>
      <w:r>
        <w:rPr/>
      </w:r>
    </w:p>
    <w:p>
      <w:pPr>
        <w:pStyle w:val="Heading2"/>
        <w:spacing w:before="300" w:after="120"/>
        <w:rPr/>
      </w:pPr>
      <w:r>
        <w:rPr>
          <w:rFonts w:eastAsia="Arial" w:cs="Arial" w:ascii="Arial" w:hAnsi="Arial"/>
          <w:b/>
          <w:bCs/>
          <w:color w:val="0D7377"/>
          <w:sz w:val="26"/>
          <w:szCs w:val="26"/>
        </w:rPr>
        <w:t>4.2 Lawyer Module — A Digital Law Practice</w:t>
      </w:r>
    </w:p>
    <w:p>
      <w:pPr>
        <w:pStyle w:val="Normal"/>
        <w:spacing w:lineRule="exact" w:line="320" w:before="80" w:after="80"/>
        <w:rPr/>
      </w:pPr>
      <w:r>
        <w:rPr>
          <w:rFonts w:eastAsia="Arial" w:cs="Arial"/>
          <w:color w:val="1C1C1C"/>
          <w:sz w:val="22"/>
          <w:szCs w:val="22"/>
        </w:rPr>
        <w:t>For registered, verified advocates  a complete practice management suite that expands their reach and streamlines operations.</w:t>
      </w:r>
    </w:p>
    <w:p>
      <w:pPr>
        <w:pStyle w:val="Normal"/>
        <w:spacing w:before="80" w:after="0"/>
        <w:rPr/>
      </w:pPr>
      <w:r>
        <w:rPr/>
      </w:r>
    </w:p>
    <w:p>
      <w:pPr>
        <w:pStyle w:val="ListParagraph"/>
        <w:numPr>
          <w:ilvl w:val="0"/>
          <w:numId w:val="1"/>
        </w:numPr>
        <w:spacing w:lineRule="exact" w:line="300" w:before="60" w:after="60"/>
        <w:rPr/>
      </w:pPr>
      <w:r>
        <w:rPr>
          <w:rFonts w:eastAsia="Arial" w:cs="Arial"/>
          <w:b/>
          <w:bCs/>
          <w:color w:val="1A3A5C"/>
          <w:sz w:val="21"/>
          <w:szCs w:val="21"/>
        </w:rPr>
        <w:t xml:space="preserve">Case Marketplace: </w:t>
      </w:r>
      <w:r>
        <w:rPr>
          <w:rFonts w:eastAsia="Arial" w:cs="Arial"/>
          <w:color w:val="1C1C1C"/>
          <w:sz w:val="21"/>
          <w:szCs w:val="21"/>
        </w:rPr>
        <w:t>Lawyers browse, bid on, and accept cases based on specialization and capacity</w:t>
      </w:r>
    </w:p>
    <w:p>
      <w:pPr>
        <w:pStyle w:val="ListParagraph"/>
        <w:numPr>
          <w:ilvl w:val="0"/>
          <w:numId w:val="1"/>
        </w:numPr>
        <w:spacing w:lineRule="exact" w:line="300" w:before="60" w:after="60"/>
        <w:rPr/>
      </w:pPr>
      <w:r>
        <w:rPr>
          <w:rFonts w:eastAsia="Arial" w:cs="Arial"/>
          <w:b/>
          <w:bCs/>
          <w:color w:val="1A3A5C"/>
          <w:sz w:val="21"/>
          <w:szCs w:val="21"/>
        </w:rPr>
        <w:t xml:space="preserve">Client Communication: </w:t>
      </w:r>
      <w:r>
        <w:rPr>
          <w:rFonts w:eastAsia="Arial" w:cs="Arial"/>
          <w:color w:val="1C1C1C"/>
          <w:sz w:val="21"/>
          <w:szCs w:val="21"/>
        </w:rPr>
        <w:t>Secure, encrypted in-platform messaging with automatic document sharing</w:t>
      </w:r>
    </w:p>
    <w:p>
      <w:pPr>
        <w:pStyle w:val="ListParagraph"/>
        <w:numPr>
          <w:ilvl w:val="0"/>
          <w:numId w:val="1"/>
        </w:numPr>
        <w:spacing w:lineRule="exact" w:line="300" w:before="60" w:after="60"/>
        <w:rPr/>
      </w:pPr>
      <w:r>
        <w:rPr>
          <w:rFonts w:eastAsia="Arial" w:cs="Arial"/>
          <w:b/>
          <w:bCs/>
          <w:color w:val="1A3A5C"/>
          <w:sz w:val="21"/>
          <w:szCs w:val="21"/>
        </w:rPr>
        <w:t xml:space="preserve">Payment &amp; Escrow: </w:t>
      </w:r>
      <w:r>
        <w:rPr>
          <w:rFonts w:eastAsia="Arial" w:cs="Arial"/>
          <w:color w:val="1C1C1C"/>
          <w:sz w:val="21"/>
          <w:szCs w:val="21"/>
        </w:rPr>
        <w:t>Phased payment system (consultation → filing → hearing → judgment) with funds held in platform escrow</w:t>
      </w:r>
    </w:p>
    <w:p>
      <w:pPr>
        <w:pStyle w:val="ListParagraph"/>
        <w:numPr>
          <w:ilvl w:val="0"/>
          <w:numId w:val="1"/>
        </w:numPr>
        <w:spacing w:lineRule="exact" w:line="300" w:before="60" w:after="60"/>
        <w:rPr/>
      </w:pPr>
      <w:r>
        <w:rPr>
          <w:rFonts w:eastAsia="Arial" w:cs="Arial"/>
          <w:b/>
          <w:bCs/>
          <w:color w:val="1A3A5C"/>
          <w:sz w:val="21"/>
          <w:szCs w:val="21"/>
        </w:rPr>
        <w:t xml:space="preserve">Document Management: </w:t>
      </w:r>
      <w:r>
        <w:rPr>
          <w:rFonts w:eastAsia="Arial" w:cs="Arial"/>
          <w:color w:val="1C1C1C"/>
          <w:sz w:val="21"/>
          <w:szCs w:val="21"/>
        </w:rPr>
        <w:t>AI-assisted drafting, version control, and client-authorized sharing of legal documents</w:t>
      </w:r>
    </w:p>
    <w:p>
      <w:pPr>
        <w:pStyle w:val="ListParagraph"/>
        <w:numPr>
          <w:ilvl w:val="0"/>
          <w:numId w:val="1"/>
        </w:numPr>
        <w:spacing w:lineRule="exact" w:line="300" w:before="60" w:after="60"/>
        <w:rPr/>
      </w:pPr>
      <w:r>
        <w:rPr>
          <w:rFonts w:eastAsia="Arial" w:cs="Arial"/>
          <w:b/>
          <w:bCs/>
          <w:color w:val="1A3A5C"/>
          <w:sz w:val="21"/>
          <w:szCs w:val="21"/>
        </w:rPr>
        <w:t xml:space="preserve">Reputation &amp; Analytics: </w:t>
      </w:r>
      <w:r>
        <w:rPr>
          <w:rFonts w:eastAsia="Arial" w:cs="Arial"/>
          <w:color w:val="1C1C1C"/>
          <w:sz w:val="21"/>
          <w:szCs w:val="21"/>
        </w:rPr>
        <w:t>Public-facing success rate, client reviews, speed scores, and specialization badges</w:t>
      </w:r>
    </w:p>
    <w:p>
      <w:pPr>
        <w:pStyle w:val="ListParagraph"/>
        <w:numPr>
          <w:ilvl w:val="0"/>
          <w:numId w:val="1"/>
        </w:numPr>
        <w:spacing w:lineRule="exact" w:line="300" w:before="60" w:after="60"/>
        <w:rPr/>
      </w:pPr>
      <w:r>
        <w:rPr>
          <w:rFonts w:eastAsia="Arial" w:cs="Arial"/>
          <w:b/>
          <w:bCs/>
          <w:color w:val="1A3A5C"/>
          <w:sz w:val="21"/>
          <w:szCs w:val="21"/>
        </w:rPr>
        <w:t xml:space="preserve">Continuing Education: </w:t>
      </w:r>
      <w:r>
        <w:rPr>
          <w:rFonts w:eastAsia="Arial" w:cs="Arial"/>
          <w:color w:val="1C1C1C"/>
          <w:sz w:val="21"/>
          <w:szCs w:val="21"/>
        </w:rPr>
        <w:t>Integrated CPD (Continuing Professional Development) modules to maintain Law Society of Kenya accreditation</w:t>
      </w:r>
    </w:p>
    <w:p>
      <w:pPr>
        <w:pStyle w:val="Normal"/>
        <w:spacing w:before="160" w:after="0"/>
        <w:rPr/>
      </w:pPr>
      <w:r>
        <w:rPr/>
      </w:r>
    </w:p>
    <w:p>
      <w:pPr>
        <w:pStyle w:val="Heading2"/>
        <w:spacing w:before="300" w:after="120"/>
        <w:rPr/>
      </w:pPr>
      <w:r>
        <w:rPr>
          <w:rFonts w:eastAsia="Arial" w:cs="Arial" w:ascii="Arial" w:hAnsi="Arial"/>
          <w:b/>
          <w:bCs/>
          <w:color w:val="0D7377"/>
          <w:sz w:val="26"/>
          <w:szCs w:val="26"/>
        </w:rPr>
        <w:t>4.3 Court System Module  Digital Justice Delivery</w:t>
      </w:r>
    </w:p>
    <w:p>
      <w:pPr>
        <w:pStyle w:val="Normal"/>
        <w:spacing w:lineRule="exact" w:line="320" w:before="80" w:after="80"/>
        <w:rPr/>
      </w:pPr>
      <w:r>
        <w:rPr>
          <w:rFonts w:eastAsia="Arial" w:cs="Arial"/>
          <w:color w:val="1C1C1C"/>
          <w:sz w:val="22"/>
          <w:szCs w:val="22"/>
        </w:rPr>
        <w:t>Working alongside existing judiciary digitization efforts (like Kenya's JICMS), the platform creates a citizen-facing layer that makes court processes understandable and trackable.</w:t>
      </w:r>
    </w:p>
    <w:p>
      <w:pPr>
        <w:pStyle w:val="Normal"/>
        <w:spacing w:before="80" w:after="0"/>
        <w:rPr/>
      </w:pPr>
      <w:r>
        <w:rPr/>
      </w:r>
    </w:p>
    <w:p>
      <w:pPr>
        <w:pStyle w:val="ListParagraph"/>
        <w:numPr>
          <w:ilvl w:val="0"/>
          <w:numId w:val="1"/>
        </w:numPr>
        <w:spacing w:lineRule="exact" w:line="300" w:before="60" w:after="60"/>
        <w:rPr/>
      </w:pPr>
      <w:r>
        <w:rPr>
          <w:rFonts w:eastAsia="Arial" w:cs="Arial"/>
          <w:b/>
          <w:bCs/>
          <w:color w:val="1A3A5C"/>
          <w:sz w:val="21"/>
          <w:szCs w:val="21"/>
        </w:rPr>
        <w:t xml:space="preserve">Electronic Case Filing: </w:t>
      </w:r>
      <w:r>
        <w:rPr>
          <w:rFonts w:eastAsia="Arial" w:cs="Arial"/>
          <w:color w:val="1C1C1C"/>
          <w:sz w:val="21"/>
          <w:szCs w:val="21"/>
        </w:rPr>
        <w:t>Integrates with JICMS for seamless e-filing  no physical courthouse visit required</w:t>
      </w:r>
    </w:p>
    <w:p>
      <w:pPr>
        <w:pStyle w:val="ListParagraph"/>
        <w:numPr>
          <w:ilvl w:val="0"/>
          <w:numId w:val="1"/>
        </w:numPr>
        <w:spacing w:lineRule="exact" w:line="300" w:before="60" w:after="60"/>
        <w:rPr/>
      </w:pPr>
      <w:r>
        <w:rPr>
          <w:rFonts w:eastAsia="Arial" w:cs="Arial"/>
          <w:b/>
          <w:bCs/>
          <w:color w:val="1A3A5C"/>
          <w:sz w:val="21"/>
          <w:szCs w:val="21"/>
        </w:rPr>
        <w:t xml:space="preserve">Virtual Hearing Links: </w:t>
      </w:r>
      <w:r>
        <w:rPr>
          <w:rFonts w:eastAsia="Arial" w:cs="Arial"/>
          <w:color w:val="1C1C1C"/>
          <w:sz w:val="21"/>
          <w:szCs w:val="21"/>
        </w:rPr>
        <w:t>Secure video conferencing for remote hearings, aligned with Kenya's existing Microsoft Teams / Zoom infrastructure</w:t>
      </w:r>
    </w:p>
    <w:p>
      <w:pPr>
        <w:pStyle w:val="ListParagraph"/>
        <w:numPr>
          <w:ilvl w:val="0"/>
          <w:numId w:val="1"/>
        </w:numPr>
        <w:spacing w:lineRule="exact" w:line="300" w:before="60" w:after="60"/>
        <w:rPr/>
      </w:pPr>
      <w:r>
        <w:rPr>
          <w:rFonts w:eastAsia="Arial" w:cs="Arial"/>
          <w:b/>
          <w:bCs/>
          <w:color w:val="1A3A5C"/>
          <w:sz w:val="21"/>
          <w:szCs w:val="21"/>
        </w:rPr>
        <w:t xml:space="preserve">Hearing Calendar: </w:t>
      </w:r>
      <w:r>
        <w:rPr>
          <w:rFonts w:eastAsia="Arial" w:cs="Arial"/>
          <w:color w:val="1C1C1C"/>
          <w:sz w:val="21"/>
          <w:szCs w:val="21"/>
        </w:rPr>
        <w:t>Automatic notifications for hearing dates, adjournments, and judgment delivery</w:t>
      </w:r>
    </w:p>
    <w:p>
      <w:pPr>
        <w:pStyle w:val="ListParagraph"/>
        <w:numPr>
          <w:ilvl w:val="0"/>
          <w:numId w:val="1"/>
        </w:numPr>
        <w:spacing w:lineRule="exact" w:line="300" w:before="60" w:after="60"/>
        <w:rPr/>
      </w:pPr>
      <w:r>
        <w:rPr>
          <w:rFonts w:eastAsia="Arial" w:cs="Arial"/>
          <w:b/>
          <w:bCs/>
          <w:color w:val="1A3A5C"/>
          <w:sz w:val="21"/>
          <w:szCs w:val="21"/>
        </w:rPr>
        <w:t xml:space="preserve">Digital Evidence Submission: </w:t>
      </w:r>
      <w:r>
        <w:rPr>
          <w:rFonts w:eastAsia="Arial" w:cs="Arial"/>
          <w:color w:val="1C1C1C"/>
          <w:sz w:val="21"/>
          <w:szCs w:val="21"/>
        </w:rPr>
        <w:t>Timestamped, encrypted upload directly into case files replacing physical exhibit submission</w:t>
      </w:r>
    </w:p>
    <w:p>
      <w:pPr>
        <w:pStyle w:val="ListParagraph"/>
        <w:numPr>
          <w:ilvl w:val="0"/>
          <w:numId w:val="1"/>
        </w:numPr>
        <w:spacing w:lineRule="exact" w:line="300" w:before="60" w:after="60"/>
        <w:rPr/>
      </w:pPr>
      <w:r>
        <w:rPr>
          <w:rFonts w:eastAsia="Arial" w:cs="Arial"/>
          <w:b/>
          <w:bCs/>
          <w:color w:val="1A3A5C"/>
          <w:sz w:val="21"/>
          <w:szCs w:val="21"/>
        </w:rPr>
        <w:t xml:space="preserve">Judgment Repository: </w:t>
      </w:r>
      <w:r>
        <w:rPr>
          <w:rFonts w:eastAsia="Arial" w:cs="Arial"/>
          <w:color w:val="1C1C1C"/>
          <w:sz w:val="21"/>
          <w:szCs w:val="21"/>
        </w:rPr>
        <w:t>All judgments stored, searchable, and linked to relevant case law in the Legal Database</w:t>
      </w:r>
    </w:p>
    <w:p>
      <w:pPr>
        <w:pStyle w:val="Normal"/>
        <w:spacing w:before="160" w:after="0"/>
        <w:rPr/>
      </w:pPr>
      <w:r>
        <w:rPr/>
      </w:r>
    </w:p>
    <w:p>
      <w:pPr>
        <w:pStyle w:val="Heading2"/>
        <w:spacing w:before="300" w:after="120"/>
        <w:rPr/>
      </w:pPr>
      <w:r>
        <w:rPr>
          <w:rFonts w:eastAsia="Arial" w:cs="Arial" w:ascii="Arial" w:hAnsi="Arial"/>
          <w:b/>
          <w:bCs/>
          <w:color w:val="0D7377"/>
          <w:sz w:val="26"/>
          <w:szCs w:val="26"/>
        </w:rPr>
        <w:t>4.4 Government &amp; Registry Integration</w:t>
      </w:r>
    </w:p>
    <w:p>
      <w:pPr>
        <w:pStyle w:val="Normal"/>
        <w:spacing w:lineRule="exact" w:line="320" w:before="80" w:after="80"/>
        <w:rPr/>
      </w:pPr>
      <w:r>
        <w:rPr>
          <w:rFonts w:eastAsia="Arial" w:cs="Arial"/>
          <w:color w:val="1C1C1C"/>
          <w:sz w:val="22"/>
          <w:szCs w:val="22"/>
        </w:rPr>
        <w:t>The platform connects to national government systems through secure API integrations:</w:t>
      </w:r>
    </w:p>
    <w:p>
      <w:pPr>
        <w:pStyle w:val="Normal"/>
        <w:spacing w:before="80" w:after="0"/>
        <w:rPr/>
      </w:pPr>
      <w:r>
        <w:rPr/>
      </w:r>
    </w:p>
    <w:p>
      <w:pPr>
        <w:pStyle w:val="ListParagraph"/>
        <w:numPr>
          <w:ilvl w:val="0"/>
          <w:numId w:val="1"/>
        </w:numPr>
        <w:spacing w:lineRule="exact" w:line="300" w:before="60" w:after="60"/>
        <w:rPr/>
      </w:pPr>
      <w:r>
        <w:rPr>
          <w:rFonts w:eastAsia="Arial" w:cs="Arial"/>
          <w:color w:val="1C1C1C"/>
          <w:sz w:val="21"/>
          <w:szCs w:val="21"/>
        </w:rPr>
        <w:t>Land Registry — title deed verification, mutation tracking, caution registration</w:t>
      </w:r>
    </w:p>
    <w:p>
      <w:pPr>
        <w:pStyle w:val="ListParagraph"/>
        <w:numPr>
          <w:ilvl w:val="0"/>
          <w:numId w:val="1"/>
        </w:numPr>
        <w:spacing w:lineRule="exact" w:line="300" w:before="60" w:after="60"/>
        <w:rPr/>
      </w:pPr>
      <w:r>
        <w:rPr>
          <w:rFonts w:eastAsia="Arial" w:cs="Arial"/>
          <w:color w:val="1C1C1C"/>
          <w:sz w:val="21"/>
          <w:szCs w:val="21"/>
        </w:rPr>
        <w:t>Business Registry — company search, directorship verification, winding-up notices</w:t>
      </w:r>
    </w:p>
    <w:p>
      <w:pPr>
        <w:pStyle w:val="ListParagraph"/>
        <w:numPr>
          <w:ilvl w:val="0"/>
          <w:numId w:val="1"/>
        </w:numPr>
        <w:spacing w:lineRule="exact" w:line="300" w:before="60" w:after="60"/>
        <w:rPr/>
      </w:pPr>
      <w:r>
        <w:rPr>
          <w:rFonts w:eastAsia="Arial" w:cs="Arial"/>
          <w:color w:val="1C1C1C"/>
          <w:sz w:val="21"/>
          <w:szCs w:val="21"/>
        </w:rPr>
        <w:t>National Identity — KYC verification via Integrated Population Registration System (IPRS)</w:t>
      </w:r>
    </w:p>
    <w:p>
      <w:pPr>
        <w:pStyle w:val="ListParagraph"/>
        <w:numPr>
          <w:ilvl w:val="0"/>
          <w:numId w:val="1"/>
        </w:numPr>
        <w:spacing w:lineRule="exact" w:line="300" w:before="60" w:after="60"/>
        <w:rPr/>
      </w:pPr>
      <w:r>
        <w:rPr>
          <w:rFonts w:eastAsia="Arial" w:cs="Arial"/>
          <w:color w:val="1C1C1C"/>
          <w:sz w:val="21"/>
          <w:szCs w:val="21"/>
        </w:rPr>
        <w:t>Kenya Revenue Authority — tax compliance certificates for commercial transactions</w:t>
      </w:r>
    </w:p>
    <w:p>
      <w:pPr>
        <w:pStyle w:val="ListParagraph"/>
        <w:numPr>
          <w:ilvl w:val="0"/>
          <w:numId w:val="1"/>
        </w:numPr>
        <w:spacing w:lineRule="exact" w:line="300" w:before="60" w:after="60"/>
        <w:rPr/>
      </w:pPr>
      <w:r>
        <w:rPr>
          <w:rFonts w:eastAsia="Arial" w:cs="Arial"/>
          <w:color w:val="1C1C1C"/>
          <w:sz w:val="21"/>
          <w:szCs w:val="21"/>
        </w:rPr>
        <w:t>Births and Deaths Registry — vital for succession, probate, and family law matters</w:t>
      </w:r>
    </w:p>
    <w:p>
      <w:pPr>
        <w:pStyle w:val="Normal"/>
        <w:spacing w:before="160" w:after="0"/>
        <w:rPr/>
      </w:pPr>
      <w:r>
        <w:rPr/>
      </w:r>
    </w:p>
    <w:p>
      <w:pPr>
        <w:pStyle w:val="Heading2"/>
        <w:spacing w:before="300" w:after="120"/>
        <w:rPr/>
      </w:pPr>
      <w:r>
        <w:rPr>
          <w:rFonts w:eastAsia="Arial" w:cs="Arial" w:ascii="Arial" w:hAnsi="Arial"/>
          <w:b/>
          <w:bCs/>
          <w:color w:val="0D7377"/>
          <w:sz w:val="26"/>
          <w:szCs w:val="26"/>
        </w:rPr>
        <w:t>4.5 Security &amp; Trust Architecture</w:t>
      </w:r>
    </w:p>
    <w:p>
      <w:pPr>
        <w:pStyle w:val="Normal"/>
        <w:spacing w:lineRule="exact" w:line="320" w:before="80" w:after="80"/>
        <w:rPr/>
      </w:pPr>
      <w:r>
        <w:rPr>
          <w:rFonts w:eastAsia="Arial" w:cs="Arial"/>
          <w:color w:val="1C1C1C"/>
          <w:sz w:val="22"/>
          <w:szCs w:val="22"/>
        </w:rPr>
        <w:t>Trust is the foundation of any justice system. The platform implements military-grade security protocols:</w:t>
      </w:r>
    </w:p>
    <w:p>
      <w:pPr>
        <w:pStyle w:val="Normal"/>
        <w:spacing w:before="80" w:after="0"/>
        <w:rPr/>
      </w:pPr>
      <w:r>
        <w:rPr/>
      </w:r>
    </w:p>
    <w:p>
      <w:pPr>
        <w:pStyle w:val="ListParagraph"/>
        <w:numPr>
          <w:ilvl w:val="0"/>
          <w:numId w:val="1"/>
        </w:numPr>
        <w:spacing w:lineRule="exact" w:line="300" w:before="60" w:after="60"/>
        <w:rPr/>
      </w:pPr>
      <w:r>
        <w:rPr>
          <w:rFonts w:eastAsia="Arial" w:cs="Arial"/>
          <w:b/>
          <w:bCs/>
          <w:color w:val="1A3A5C"/>
          <w:sz w:val="21"/>
          <w:szCs w:val="21"/>
        </w:rPr>
        <w:t xml:space="preserve">End-to-End Encryption: </w:t>
      </w:r>
      <w:r>
        <w:rPr>
          <w:rFonts w:eastAsia="Arial" w:cs="Arial"/>
          <w:color w:val="1C1C1C"/>
          <w:sz w:val="21"/>
          <w:szCs w:val="21"/>
        </w:rPr>
        <w:t>All data  messages, documents, evidence  encrypted in transit and at rest using AES-256</w:t>
      </w:r>
    </w:p>
    <w:p>
      <w:pPr>
        <w:pStyle w:val="ListParagraph"/>
        <w:numPr>
          <w:ilvl w:val="0"/>
          <w:numId w:val="1"/>
        </w:numPr>
        <w:spacing w:lineRule="exact" w:line="300" w:before="60" w:after="60"/>
        <w:rPr/>
      </w:pPr>
      <w:r>
        <w:rPr>
          <w:rFonts w:eastAsia="Arial" w:cs="Arial"/>
          <w:b/>
          <w:bCs/>
          <w:color w:val="1A3A5C"/>
          <w:sz w:val="21"/>
          <w:szCs w:val="21"/>
        </w:rPr>
        <w:t xml:space="preserve">KYC/Identity Verification: </w:t>
      </w:r>
      <w:r>
        <w:rPr>
          <w:rFonts w:eastAsia="Arial" w:cs="Arial"/>
          <w:color w:val="1C1C1C"/>
          <w:sz w:val="21"/>
          <w:szCs w:val="21"/>
        </w:rPr>
        <w:t>National ID + biometric verification for lawyers and court-facing users</w:t>
      </w:r>
    </w:p>
    <w:p>
      <w:pPr>
        <w:pStyle w:val="ListParagraph"/>
        <w:numPr>
          <w:ilvl w:val="0"/>
          <w:numId w:val="1"/>
        </w:numPr>
        <w:spacing w:lineRule="exact" w:line="300" w:before="60" w:after="60"/>
        <w:rPr/>
      </w:pPr>
      <w:r>
        <w:rPr>
          <w:rFonts w:eastAsia="Arial" w:cs="Arial"/>
          <w:b/>
          <w:bCs/>
          <w:color w:val="1A3A5C"/>
          <w:sz w:val="21"/>
          <w:szCs w:val="21"/>
        </w:rPr>
        <w:t xml:space="preserve">Blockchain-Ready Evidence Chain: </w:t>
      </w:r>
      <w:r>
        <w:rPr>
          <w:rFonts w:eastAsia="Arial" w:cs="Arial"/>
          <w:color w:val="1C1C1C"/>
          <w:sz w:val="21"/>
          <w:szCs w:val="21"/>
        </w:rPr>
        <w:t>Immutable audit trail for all uploaded evidence  tamper-proof from upload to judgment</w:t>
      </w:r>
    </w:p>
    <w:p>
      <w:pPr>
        <w:pStyle w:val="ListParagraph"/>
        <w:numPr>
          <w:ilvl w:val="0"/>
          <w:numId w:val="1"/>
        </w:numPr>
        <w:spacing w:lineRule="exact" w:line="300" w:before="60" w:after="60"/>
        <w:rPr/>
      </w:pPr>
      <w:r>
        <w:rPr>
          <w:rFonts w:eastAsia="Arial" w:cs="Arial"/>
          <w:b/>
          <w:bCs/>
          <w:color w:val="1A3A5C"/>
          <w:sz w:val="21"/>
          <w:szCs w:val="21"/>
        </w:rPr>
        <w:t xml:space="preserve">Data Sovereignty: </w:t>
      </w:r>
      <w:r>
        <w:rPr>
          <w:rFonts w:eastAsia="Arial" w:cs="Arial"/>
          <w:color w:val="1C1C1C"/>
          <w:sz w:val="21"/>
          <w:szCs w:val="21"/>
        </w:rPr>
        <w:t>Full compliance with Kenya's Data Protection Act 2019 and GDPR principles for international users</w:t>
      </w:r>
    </w:p>
    <w:p>
      <w:pPr>
        <w:pStyle w:val="ListParagraph"/>
        <w:numPr>
          <w:ilvl w:val="0"/>
          <w:numId w:val="1"/>
        </w:numPr>
        <w:spacing w:lineRule="exact" w:line="300" w:before="60" w:after="60"/>
        <w:rPr/>
      </w:pPr>
      <w:r>
        <w:rPr>
          <w:rFonts w:eastAsia="Arial" w:cs="Arial"/>
          <w:b/>
          <w:bCs/>
          <w:color w:val="1A3A5C"/>
          <w:sz w:val="21"/>
          <w:szCs w:val="21"/>
        </w:rPr>
        <w:t xml:space="preserve">Role-Based Access: </w:t>
      </w:r>
      <w:r>
        <w:rPr>
          <w:rFonts w:eastAsia="Arial" w:cs="Arial"/>
          <w:color w:val="1C1C1C"/>
          <w:sz w:val="21"/>
          <w:szCs w:val="21"/>
        </w:rPr>
        <w:t>Strict separation between citizen, lawyer, judiciary, and admin roles with multi-factor authentication</w:t>
      </w:r>
    </w:p>
    <w:p>
      <w:pPr>
        <w:pStyle w:val="Normal"/>
        <w:pBdr>
          <w:bottom w:val="single" w:sz="4" w:space="1" w:color="CCCCCC"/>
        </w:pBdr>
        <w:spacing w:before="160" w:after="160"/>
        <w:rPr/>
      </w:pPr>
      <w:r>
        <w:rPr/>
      </w:r>
    </w:p>
    <w:p>
      <w:pPr>
        <w:pStyle w:val="Normal"/>
        <w:spacing w:before="0" w:after="0"/>
        <w:rPr/>
      </w:pPr>
      <w:r>
        <w:rPr/>
      </w:r>
      <w:r>
        <w:br w:type="page"/>
      </w:r>
    </w:p>
    <w:p>
      <w:pPr>
        <w:pStyle w:val="Heading1"/>
        <w:pBdr>
          <w:bottom w:val="single" w:sz="8" w:space="4" w:color="C9A84C"/>
        </w:pBdr>
        <w:spacing w:before="0" w:after="160"/>
        <w:rPr/>
      </w:pPr>
      <w:r>
        <w:rPr>
          <w:rFonts w:eastAsia="Arial" w:cs="Arial" w:ascii="Arial" w:hAnsi="Arial"/>
          <w:b/>
          <w:bCs/>
          <w:color w:val="1A3A5C"/>
          <w:sz w:val="34"/>
          <w:szCs w:val="34"/>
        </w:rPr>
        <w:t>5. AI LEGAL ENGINE</w:t>
      </w:r>
    </w:p>
    <w:p>
      <w:pPr>
        <w:pStyle w:val="Normal"/>
        <w:spacing w:before="80" w:after="0"/>
        <w:rPr/>
      </w:pPr>
      <w:r>
        <w:rPr/>
      </w:r>
    </w:p>
    <w:p>
      <w:pPr>
        <w:pStyle w:val="Normal"/>
        <w:spacing w:lineRule="exact" w:line="320" w:before="80" w:after="80"/>
        <w:rPr/>
      </w:pPr>
      <w:r>
        <w:rPr>
          <w:rFonts w:eastAsia="Arial" w:cs="Arial"/>
          <w:color w:val="1C1C1C"/>
          <w:sz w:val="22"/>
          <w:szCs w:val="22"/>
        </w:rPr>
        <w:t>Artificial intelligence is not a bolt-on feature — it is the intelligence layer that makes the entire platform work at scale. According to Thomson Reuters, 26% of legal organizations were actively using generative AI by April 2025, up from 14% in 2024. AI adoption among lawyers has risen from 19% in 2023 to 79% in 2024. This platform deploys AI across four critical functions:</w:t>
      </w:r>
    </w:p>
    <w:p>
      <w:pPr>
        <w:pStyle w:val="Normal"/>
        <w:spacing w:before="160" w:after="0"/>
        <w:rPr/>
      </w:pPr>
      <w:r>
        <w:rPr/>
      </w:r>
    </w:p>
    <w:p>
      <w:pPr>
        <w:pStyle w:val="Heading2"/>
        <w:spacing w:before="300" w:after="120"/>
        <w:rPr/>
      </w:pPr>
      <w:r>
        <w:rPr>
          <w:rFonts w:eastAsia="Arial" w:cs="Arial" w:ascii="Arial" w:hAnsi="Arial"/>
          <w:b/>
          <w:bCs/>
          <w:color w:val="0D7377"/>
          <w:sz w:val="26"/>
          <w:szCs w:val="26"/>
        </w:rPr>
        <w:t>5.1 AI Legal Assistant</w:t>
      </w:r>
    </w:p>
    <w:p>
      <w:pPr>
        <w:pStyle w:val="Normal"/>
        <w:spacing w:lineRule="exact" w:line="320" w:before="80" w:after="80"/>
        <w:rPr/>
      </w:pPr>
      <w:r>
        <w:rPr>
          <w:rFonts w:eastAsia="Arial" w:cs="Arial"/>
          <w:color w:val="1C1C1C"/>
          <w:sz w:val="22"/>
          <w:szCs w:val="22"/>
        </w:rPr>
        <w:t>The front-line interface for every citizen. Available 24/7, multilingual, and trained on Kenya's Constitution, all Acts of Parliament, and case law from Kenya Law Reports.</w:t>
      </w:r>
    </w:p>
    <w:p>
      <w:pPr>
        <w:pStyle w:val="Normal"/>
        <w:spacing w:before="80" w:after="0"/>
        <w:rPr/>
      </w:pPr>
      <w:r>
        <w:rPr/>
      </w:r>
    </w:p>
    <w:p>
      <w:pPr>
        <w:pStyle w:val="ListParagraph"/>
        <w:numPr>
          <w:ilvl w:val="0"/>
          <w:numId w:val="1"/>
        </w:numPr>
        <w:spacing w:lineRule="exact" w:line="300" w:before="60" w:after="60"/>
        <w:rPr/>
      </w:pPr>
      <w:r>
        <w:rPr>
          <w:rFonts w:eastAsia="Arial" w:cs="Arial"/>
          <w:b/>
          <w:bCs/>
          <w:color w:val="1A3A5C"/>
          <w:sz w:val="21"/>
          <w:szCs w:val="21"/>
        </w:rPr>
        <w:t xml:space="preserve">Natural Language Understanding: </w:t>
      </w:r>
      <w:r>
        <w:rPr>
          <w:rFonts w:eastAsia="Arial" w:cs="Arial"/>
          <w:color w:val="1C1C1C"/>
          <w:sz w:val="21"/>
          <w:szCs w:val="21"/>
        </w:rPr>
        <w:t>Citizens ask questions in plain English, Swahili, or local languages  no legal jargon required</w:t>
      </w:r>
    </w:p>
    <w:p>
      <w:pPr>
        <w:pStyle w:val="ListParagraph"/>
        <w:numPr>
          <w:ilvl w:val="0"/>
          <w:numId w:val="1"/>
        </w:numPr>
        <w:spacing w:lineRule="exact" w:line="300" w:before="60" w:after="60"/>
        <w:rPr/>
      </w:pPr>
      <w:r>
        <w:rPr>
          <w:rFonts w:eastAsia="Arial" w:cs="Arial"/>
          <w:b/>
          <w:bCs/>
          <w:color w:val="1A3A5C"/>
          <w:sz w:val="21"/>
          <w:szCs w:val="21"/>
        </w:rPr>
        <w:t xml:space="preserve">Rights Interpreter: </w:t>
      </w:r>
      <w:r>
        <w:rPr>
          <w:rFonts w:eastAsia="Arial" w:cs="Arial"/>
          <w:color w:val="1C1C1C"/>
          <w:sz w:val="21"/>
          <w:szCs w:val="21"/>
        </w:rPr>
        <w:t>Translates complex constitutional provisions into actionable, situation-specific guidance</w:t>
      </w:r>
    </w:p>
    <w:p>
      <w:pPr>
        <w:pStyle w:val="ListParagraph"/>
        <w:numPr>
          <w:ilvl w:val="0"/>
          <w:numId w:val="1"/>
        </w:numPr>
        <w:spacing w:lineRule="exact" w:line="300" w:before="60" w:after="60"/>
        <w:rPr/>
      </w:pPr>
      <w:r>
        <w:rPr>
          <w:rFonts w:eastAsia="Arial" w:cs="Arial"/>
          <w:b/>
          <w:bCs/>
          <w:color w:val="1A3A5C"/>
          <w:sz w:val="21"/>
          <w:szCs w:val="21"/>
        </w:rPr>
        <w:t xml:space="preserve">Next Steps Engine: </w:t>
      </w:r>
      <w:r>
        <w:rPr>
          <w:rFonts w:eastAsia="Arial" w:cs="Arial"/>
          <w:color w:val="1C1C1C"/>
          <w:sz w:val="21"/>
          <w:szCs w:val="21"/>
        </w:rPr>
        <w:t>After understanding the situation, guides users through the exact steps needed  from filing a police report to approaching the High Court</w:t>
      </w:r>
    </w:p>
    <w:p>
      <w:pPr>
        <w:pStyle w:val="ListParagraph"/>
        <w:numPr>
          <w:ilvl w:val="0"/>
          <w:numId w:val="1"/>
        </w:numPr>
        <w:spacing w:lineRule="exact" w:line="300" w:before="60" w:after="60"/>
        <w:rPr/>
      </w:pPr>
      <w:r>
        <w:rPr>
          <w:rFonts w:eastAsia="Arial" w:cs="Arial"/>
          <w:b/>
          <w:bCs/>
          <w:color w:val="1A3A5C"/>
          <w:sz w:val="21"/>
          <w:szCs w:val="21"/>
        </w:rPr>
        <w:t xml:space="preserve">Escalation Intelligence: </w:t>
      </w:r>
      <w:r>
        <w:rPr>
          <w:rFonts w:eastAsia="Arial" w:cs="Arial"/>
          <w:color w:val="1C1C1C"/>
          <w:sz w:val="21"/>
          <w:szCs w:val="21"/>
        </w:rPr>
        <w:t>Knows when a situation exceeds AI capability and seamlessly connects the citizen to a human lawyer</w:t>
      </w:r>
    </w:p>
    <w:p>
      <w:pPr>
        <w:pStyle w:val="Normal"/>
        <w:spacing w:before="160" w:after="0"/>
        <w:rPr/>
      </w:pPr>
      <w:r>
        <w:rPr/>
      </w:r>
    </w:p>
    <w:p>
      <w:pPr>
        <w:pStyle w:val="Heading2"/>
        <w:spacing w:before="300" w:after="120"/>
        <w:rPr/>
      </w:pPr>
      <w:r>
        <w:rPr>
          <w:rFonts w:eastAsia="Arial" w:cs="Arial" w:ascii="Arial" w:hAnsi="Arial"/>
          <w:b/>
          <w:bCs/>
          <w:color w:val="0D7377"/>
          <w:sz w:val="26"/>
          <w:szCs w:val="26"/>
        </w:rPr>
        <w:t>5.2 AI Document Generator</w:t>
      </w:r>
    </w:p>
    <w:p>
      <w:pPr>
        <w:pStyle w:val="Normal"/>
        <w:spacing w:lineRule="exact" w:line="320" w:before="80" w:after="80"/>
        <w:rPr/>
      </w:pPr>
      <w:r>
        <w:rPr>
          <w:rFonts w:eastAsia="Arial" w:cs="Arial"/>
          <w:color w:val="1C1C1C"/>
          <w:sz w:val="22"/>
          <w:szCs w:val="22"/>
        </w:rPr>
        <w:t>Reduces the cost of legal document preparation from thousands of shillings to fractions of the cost:</w:t>
      </w:r>
    </w:p>
    <w:p>
      <w:pPr>
        <w:pStyle w:val="Normal"/>
        <w:spacing w:before="80" w:after="0"/>
        <w:rPr/>
      </w:pPr>
      <w:r>
        <w:rPr/>
      </w:r>
    </w:p>
    <w:p>
      <w:pPr>
        <w:pStyle w:val="ListParagraph"/>
        <w:numPr>
          <w:ilvl w:val="0"/>
          <w:numId w:val="1"/>
        </w:numPr>
        <w:spacing w:lineRule="exact" w:line="300" w:before="60" w:after="60"/>
        <w:rPr/>
      </w:pPr>
      <w:r>
        <w:rPr>
          <w:rFonts w:eastAsia="Arial" w:cs="Arial"/>
          <w:color w:val="1C1C1C"/>
          <w:sz w:val="21"/>
          <w:szCs w:val="21"/>
        </w:rPr>
        <w:t>Contracts (sale agreements, lease agreements, employment contracts, NDAs)</w:t>
      </w:r>
    </w:p>
    <w:p>
      <w:pPr>
        <w:pStyle w:val="ListParagraph"/>
        <w:numPr>
          <w:ilvl w:val="0"/>
          <w:numId w:val="1"/>
        </w:numPr>
        <w:spacing w:lineRule="exact" w:line="300" w:before="60" w:after="60"/>
        <w:rPr/>
      </w:pPr>
      <w:r>
        <w:rPr>
          <w:rFonts w:eastAsia="Arial" w:cs="Arial"/>
          <w:color w:val="1C1C1C"/>
          <w:sz w:val="21"/>
          <w:szCs w:val="21"/>
        </w:rPr>
        <w:t>Affidavits (statutory declarations, sworn statements)</w:t>
      </w:r>
    </w:p>
    <w:p>
      <w:pPr>
        <w:pStyle w:val="ListParagraph"/>
        <w:numPr>
          <w:ilvl w:val="0"/>
          <w:numId w:val="1"/>
        </w:numPr>
        <w:spacing w:lineRule="exact" w:line="300" w:before="60" w:after="60"/>
        <w:rPr/>
      </w:pPr>
      <w:r>
        <w:rPr>
          <w:rFonts w:eastAsia="Arial" w:cs="Arial"/>
          <w:color w:val="1C1C1C"/>
          <w:sz w:val="21"/>
          <w:szCs w:val="21"/>
        </w:rPr>
        <w:t>Demand Letters (debt recovery, breach of contract, trespass)</w:t>
      </w:r>
    </w:p>
    <w:p>
      <w:pPr>
        <w:pStyle w:val="ListParagraph"/>
        <w:numPr>
          <w:ilvl w:val="0"/>
          <w:numId w:val="1"/>
        </w:numPr>
        <w:spacing w:lineRule="exact" w:line="300" w:before="60" w:after="60"/>
        <w:rPr/>
      </w:pPr>
      <w:r>
        <w:rPr>
          <w:rFonts w:eastAsia="Arial" w:cs="Arial"/>
          <w:color w:val="1C1C1C"/>
          <w:sz w:val="21"/>
          <w:szCs w:val="21"/>
        </w:rPr>
        <w:t>Court Pleadings (plaint, defence, counterclaim  with legal precedents embedded)</w:t>
      </w:r>
    </w:p>
    <w:p>
      <w:pPr>
        <w:pStyle w:val="ListParagraph"/>
        <w:numPr>
          <w:ilvl w:val="0"/>
          <w:numId w:val="1"/>
        </w:numPr>
        <w:spacing w:lineRule="exact" w:line="300" w:before="60" w:after="60"/>
        <w:rPr/>
      </w:pPr>
      <w:r>
        <w:rPr>
          <w:rFonts w:eastAsia="Arial" w:cs="Arial"/>
          <w:color w:val="1C1C1C"/>
          <w:sz w:val="21"/>
          <w:szCs w:val="21"/>
        </w:rPr>
        <w:t>Succession / Probate Documents (letters of administration, grant of probate)</w:t>
      </w:r>
    </w:p>
    <w:p>
      <w:pPr>
        <w:pStyle w:val="Normal"/>
        <w:spacing w:before="160" w:after="0"/>
        <w:rPr/>
      </w:pPr>
      <w:r>
        <w:rPr/>
      </w:r>
    </w:p>
    <w:p>
      <w:pPr>
        <w:pStyle w:val="Heading2"/>
        <w:spacing w:before="300" w:after="120"/>
        <w:rPr/>
      </w:pPr>
      <w:r>
        <w:rPr>
          <w:rFonts w:eastAsia="Arial" w:cs="Arial" w:ascii="Arial" w:hAnsi="Arial"/>
          <w:b/>
          <w:bCs/>
          <w:color w:val="0D7377"/>
          <w:sz w:val="26"/>
          <w:szCs w:val="26"/>
        </w:rPr>
        <w:t>5.3 AI Case Prediction Engine</w:t>
      </w:r>
    </w:p>
    <w:p>
      <w:pPr>
        <w:pStyle w:val="Normal"/>
        <w:spacing w:lineRule="exact" w:line="320" w:before="80" w:after="80"/>
        <w:rPr/>
      </w:pPr>
      <w:r>
        <w:rPr>
          <w:rFonts w:eastAsia="Arial" w:cs="Arial"/>
          <w:color w:val="1C1C1C"/>
          <w:sz w:val="22"/>
          <w:szCs w:val="22"/>
        </w:rPr>
        <w:t>Trained on decades of Kenyan case law and court outcomes, the prediction engine provides data-driven legal strategy:</w:t>
      </w:r>
    </w:p>
    <w:p>
      <w:pPr>
        <w:pStyle w:val="Normal"/>
        <w:spacing w:before="80" w:after="0"/>
        <w:rPr/>
      </w:pPr>
      <w:r>
        <w:rPr/>
      </w:r>
    </w:p>
    <w:p>
      <w:pPr>
        <w:pStyle w:val="ListParagraph"/>
        <w:numPr>
          <w:ilvl w:val="0"/>
          <w:numId w:val="1"/>
        </w:numPr>
        <w:spacing w:lineRule="exact" w:line="300" w:before="60" w:after="60"/>
        <w:rPr/>
      </w:pPr>
      <w:r>
        <w:rPr>
          <w:rFonts w:eastAsia="Arial" w:cs="Arial"/>
          <w:b/>
          <w:bCs/>
          <w:color w:val="1A3A5C"/>
          <w:sz w:val="21"/>
          <w:szCs w:val="21"/>
        </w:rPr>
        <w:t xml:space="preserve">Outcome Probability: </w:t>
      </w:r>
      <w:r>
        <w:rPr>
          <w:rFonts w:eastAsia="Arial" w:cs="Arial"/>
          <w:color w:val="1C1C1C"/>
          <w:sz w:val="21"/>
          <w:szCs w:val="21"/>
        </w:rPr>
        <w:t>Estimates likelihood of success based on similar decided cases and current judicial temperament</w:t>
      </w:r>
    </w:p>
    <w:p>
      <w:pPr>
        <w:pStyle w:val="ListParagraph"/>
        <w:numPr>
          <w:ilvl w:val="0"/>
          <w:numId w:val="1"/>
        </w:numPr>
        <w:spacing w:lineRule="exact" w:line="300" w:before="60" w:after="60"/>
        <w:rPr/>
      </w:pPr>
      <w:r>
        <w:rPr>
          <w:rFonts w:eastAsia="Arial" w:cs="Arial"/>
          <w:b/>
          <w:bCs/>
          <w:color w:val="1A3A5C"/>
          <w:sz w:val="21"/>
          <w:szCs w:val="21"/>
        </w:rPr>
        <w:t xml:space="preserve">Duration Forecast: </w:t>
      </w:r>
      <w:r>
        <w:rPr>
          <w:rFonts w:eastAsia="Arial" w:cs="Arial"/>
          <w:color w:val="1C1C1C"/>
          <w:sz w:val="21"/>
          <w:szCs w:val="21"/>
        </w:rPr>
        <w:t>Predicts realistic timeline from filing to judgment  critical for clients making financial decisions</w:t>
      </w:r>
    </w:p>
    <w:p>
      <w:pPr>
        <w:pStyle w:val="ListParagraph"/>
        <w:numPr>
          <w:ilvl w:val="0"/>
          <w:numId w:val="1"/>
        </w:numPr>
        <w:spacing w:lineRule="exact" w:line="300" w:before="60" w:after="60"/>
        <w:rPr/>
      </w:pPr>
      <w:r>
        <w:rPr>
          <w:rFonts w:eastAsia="Arial" w:cs="Arial"/>
          <w:b/>
          <w:bCs/>
          <w:color w:val="1A3A5C"/>
          <w:sz w:val="21"/>
          <w:szCs w:val="21"/>
        </w:rPr>
        <w:t xml:space="preserve">Strategy Recommender: </w:t>
      </w:r>
      <w:r>
        <w:rPr>
          <w:rFonts w:eastAsia="Arial" w:cs="Arial"/>
          <w:color w:val="1C1C1C"/>
          <w:sz w:val="21"/>
          <w:szCs w:val="21"/>
        </w:rPr>
        <w:t>Suggests optimal legal arguments, evidence requirements, and procedural approaches</w:t>
      </w:r>
    </w:p>
    <w:p>
      <w:pPr>
        <w:pStyle w:val="ListParagraph"/>
        <w:numPr>
          <w:ilvl w:val="0"/>
          <w:numId w:val="1"/>
        </w:numPr>
        <w:spacing w:lineRule="exact" w:line="300" w:before="60" w:after="60"/>
        <w:rPr/>
      </w:pPr>
      <w:r>
        <w:rPr>
          <w:rFonts w:eastAsia="Arial" w:cs="Arial"/>
          <w:b/>
          <w:bCs/>
          <w:color w:val="1A3A5C"/>
          <w:sz w:val="21"/>
          <w:szCs w:val="21"/>
        </w:rPr>
        <w:t xml:space="preserve">Settlement Intelligence: </w:t>
      </w:r>
      <w:r>
        <w:rPr>
          <w:rFonts w:eastAsia="Arial" w:cs="Arial"/>
          <w:color w:val="1C1C1C"/>
          <w:sz w:val="21"/>
          <w:szCs w:val="21"/>
        </w:rPr>
        <w:t>Identifies cases where negotiated settlement is statistically more advantageous than litigation</w:t>
      </w:r>
    </w:p>
    <w:p>
      <w:pPr>
        <w:pStyle w:val="Normal"/>
        <w:spacing w:before="160" w:after="0"/>
        <w:rPr/>
      </w:pPr>
      <w:r>
        <w:rPr/>
      </w:r>
    </w:p>
    <w:p>
      <w:pPr>
        <w:pStyle w:val="Heading2"/>
        <w:spacing w:before="300" w:after="120"/>
        <w:rPr/>
      </w:pPr>
      <w:r>
        <w:rPr>
          <w:rFonts w:eastAsia="Arial" w:cs="Arial" w:ascii="Arial" w:hAnsi="Arial"/>
          <w:b/>
          <w:bCs/>
          <w:color w:val="0D7377"/>
          <w:sz w:val="26"/>
          <w:szCs w:val="26"/>
        </w:rPr>
        <w:t>5.4 AI Court Assistance (Experimental)</w:t>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FDF7E7" w:val="clear"/>
          </w:tcPr>
          <w:p>
            <w:pPr>
              <w:pStyle w:val="Normal"/>
              <w:spacing w:before="0" w:after="60"/>
              <w:rPr/>
            </w:pPr>
            <w:r>
              <w:rPr>
                <w:rFonts w:eastAsia="Arial" w:cs="Arial"/>
                <w:b/>
                <w:bCs/>
                <w:color w:val="C9A84C"/>
                <w:sz w:val="22"/>
                <w:szCs w:val="22"/>
              </w:rPr>
              <w:t xml:space="preserve">⚠️ </w:t>
            </w:r>
            <w:r>
              <w:rPr>
                <w:rFonts w:eastAsia="Arial" w:cs="Arial"/>
                <w:b/>
                <w:bCs/>
                <w:color w:val="C9A84C"/>
                <w:sz w:val="22"/>
                <w:szCs w:val="22"/>
              </w:rPr>
              <w:t>Regulatory Note</w:t>
            </w:r>
          </w:p>
          <w:p>
            <w:pPr>
              <w:pStyle w:val="Normal"/>
              <w:spacing w:before="0" w:after="0"/>
              <w:rPr/>
            </w:pPr>
            <w:r>
              <w:rPr>
                <w:rFonts w:eastAsia="Arial" w:cs="Arial"/>
                <w:color w:val="1C1C1C"/>
                <w:sz w:val="21"/>
                <w:szCs w:val="21"/>
              </w:rPr>
              <w:t>AI court representation must operate within the Advocates Act (Cap 16) and be approved by the Law Society of Kenya and the Judiciary's AI Adoption Policy Framework, currently in development as of August 2025.</w:t>
            </w:r>
          </w:p>
        </w:tc>
      </w:tr>
    </w:tbl>
    <w:p>
      <w:pPr>
        <w:pStyle w:val="Normal"/>
        <w:spacing w:before="80" w:after="0"/>
        <w:rPr/>
      </w:pPr>
      <w:r>
        <w:rPr/>
      </w:r>
    </w:p>
    <w:p>
      <w:pPr>
        <w:pStyle w:val="ListParagraph"/>
        <w:numPr>
          <w:ilvl w:val="0"/>
          <w:numId w:val="1"/>
        </w:numPr>
        <w:spacing w:lineRule="exact" w:line="300" w:before="60" w:after="60"/>
        <w:rPr/>
      </w:pPr>
      <w:r>
        <w:rPr>
          <w:rFonts w:eastAsia="Arial" w:cs="Arial"/>
          <w:color w:val="1C1C1C"/>
          <w:sz w:val="21"/>
          <w:szCs w:val="21"/>
        </w:rPr>
        <w:t>Real-time transcription of court proceedings (supporting Kenya's 'Mahakama Popote' virtual court initiative)</w:t>
      </w:r>
    </w:p>
    <w:p>
      <w:pPr>
        <w:pStyle w:val="ListParagraph"/>
        <w:numPr>
          <w:ilvl w:val="0"/>
          <w:numId w:val="1"/>
        </w:numPr>
        <w:spacing w:lineRule="exact" w:line="300" w:before="60" w:after="60"/>
        <w:rPr/>
      </w:pPr>
      <w:r>
        <w:rPr>
          <w:rFonts w:eastAsia="Arial" w:cs="Arial"/>
          <w:color w:val="1C1C1C"/>
          <w:sz w:val="21"/>
          <w:szCs w:val="21"/>
        </w:rPr>
        <w:t>Argument summarization and counter-argument preparation for advocates</w:t>
      </w:r>
    </w:p>
    <w:p>
      <w:pPr>
        <w:pStyle w:val="ListParagraph"/>
        <w:numPr>
          <w:ilvl w:val="0"/>
          <w:numId w:val="1"/>
        </w:numPr>
        <w:spacing w:lineRule="exact" w:line="300" w:before="60" w:after="60"/>
        <w:rPr/>
      </w:pPr>
      <w:r>
        <w:rPr>
          <w:rFonts w:eastAsia="Arial" w:cs="Arial"/>
          <w:color w:val="1C1C1C"/>
          <w:sz w:val="21"/>
          <w:szCs w:val="21"/>
        </w:rPr>
        <w:t>Precedent retrieval — instantly surfaces relevant case law during submissions</w:t>
      </w:r>
    </w:p>
    <w:p>
      <w:pPr>
        <w:pStyle w:val="ListParagraph"/>
        <w:numPr>
          <w:ilvl w:val="0"/>
          <w:numId w:val="1"/>
        </w:numPr>
        <w:spacing w:lineRule="exact" w:line="300" w:before="60" w:after="60"/>
        <w:rPr/>
      </w:pPr>
      <w:r>
        <w:rPr>
          <w:rFonts w:eastAsia="Arial" w:cs="Arial"/>
          <w:color w:val="1C1C1C"/>
          <w:sz w:val="21"/>
          <w:szCs w:val="21"/>
        </w:rPr>
        <w:t>Translation support — Kenya's 42+ ethnic communities served in their languages</w:t>
      </w:r>
    </w:p>
    <w:p>
      <w:pPr>
        <w:pStyle w:val="Normal"/>
        <w:spacing w:before="160" w:after="0"/>
        <w:rPr/>
      </w:pPr>
      <w:r>
        <w:rPr/>
      </w:r>
    </w:p>
    <w:p>
      <w:pPr>
        <w:pStyle w:val="Heading2"/>
        <w:spacing w:before="300" w:after="120"/>
        <w:rPr/>
      </w:pPr>
      <w:r>
        <w:rPr>
          <w:rFonts w:eastAsia="Arial" w:cs="Arial" w:ascii="Arial" w:hAnsi="Arial"/>
          <w:b/>
          <w:bCs/>
          <w:color w:val="0D7377"/>
          <w:sz w:val="26"/>
          <w:szCs w:val="26"/>
        </w:rPr>
        <w:t>5.5 AI Legal Analytics Dashboard</w:t>
      </w:r>
    </w:p>
    <w:p>
      <w:pPr>
        <w:pStyle w:val="Normal"/>
        <w:spacing w:lineRule="exact" w:line="320" w:before="80" w:after="80"/>
        <w:rPr/>
      </w:pPr>
      <w:r>
        <w:rPr>
          <w:rFonts w:eastAsia="Arial" w:cs="Arial"/>
          <w:color w:val="1C1C1C"/>
          <w:sz w:val="22"/>
          <w:szCs w:val="22"/>
        </w:rPr>
        <w:t>A governance tool for courts, government, NGOs, and researchers:</w:t>
      </w:r>
    </w:p>
    <w:p>
      <w:pPr>
        <w:pStyle w:val="Normal"/>
        <w:spacing w:before="80" w:after="0"/>
        <w:rPr/>
      </w:pPr>
      <w:r>
        <w:rPr/>
      </w:r>
    </w:p>
    <w:p>
      <w:pPr>
        <w:pStyle w:val="ListParagraph"/>
        <w:numPr>
          <w:ilvl w:val="0"/>
          <w:numId w:val="1"/>
        </w:numPr>
        <w:spacing w:lineRule="exact" w:line="300" w:before="60" w:after="60"/>
        <w:rPr/>
      </w:pPr>
      <w:r>
        <w:rPr>
          <w:rFonts w:eastAsia="Arial" w:cs="Arial"/>
          <w:b/>
          <w:bCs/>
          <w:color w:val="1A3A5C"/>
          <w:sz w:val="21"/>
          <w:szCs w:val="21"/>
        </w:rPr>
        <w:t xml:space="preserve">Crime Trend Mapping: </w:t>
      </w:r>
      <w:r>
        <w:rPr>
          <w:rFonts w:eastAsia="Arial" w:cs="Arial"/>
          <w:color w:val="1C1C1C"/>
          <w:sz w:val="21"/>
          <w:szCs w:val="21"/>
        </w:rPr>
        <w:t>Geographic visualization of reported violations  identifies systemic issues requiring policy intervention</w:t>
      </w:r>
    </w:p>
    <w:p>
      <w:pPr>
        <w:pStyle w:val="ListParagraph"/>
        <w:numPr>
          <w:ilvl w:val="0"/>
          <w:numId w:val="1"/>
        </w:numPr>
        <w:spacing w:lineRule="exact" w:line="300" w:before="60" w:after="60"/>
        <w:rPr/>
      </w:pPr>
      <w:r>
        <w:rPr>
          <w:rFonts w:eastAsia="Arial" w:cs="Arial"/>
          <w:b/>
          <w:bCs/>
          <w:color w:val="1A3A5C"/>
          <w:sz w:val="21"/>
          <w:szCs w:val="21"/>
        </w:rPr>
        <w:t xml:space="preserve">Case Delay Analytics: </w:t>
      </w:r>
      <w:r>
        <w:rPr>
          <w:rFonts w:eastAsia="Arial" w:cs="Arial"/>
          <w:color w:val="1C1C1C"/>
          <w:sz w:val="21"/>
          <w:szCs w:val="21"/>
        </w:rPr>
        <w:t>Identifies bottlenecks in specific courts, judges, or case categories</w:t>
      </w:r>
    </w:p>
    <w:p>
      <w:pPr>
        <w:pStyle w:val="ListParagraph"/>
        <w:numPr>
          <w:ilvl w:val="0"/>
          <w:numId w:val="1"/>
        </w:numPr>
        <w:spacing w:lineRule="exact" w:line="300" w:before="60" w:after="60"/>
        <w:rPr/>
      </w:pPr>
      <w:r>
        <w:rPr>
          <w:rFonts w:eastAsia="Arial" w:cs="Arial"/>
          <w:b/>
          <w:bCs/>
          <w:color w:val="1A3A5C"/>
          <w:sz w:val="21"/>
          <w:szCs w:val="21"/>
        </w:rPr>
        <w:t xml:space="preserve">Rights Violation Heatmaps: </w:t>
      </w:r>
      <w:r>
        <w:rPr>
          <w:rFonts w:eastAsia="Arial" w:cs="Arial"/>
          <w:color w:val="1C1C1C"/>
          <w:sz w:val="21"/>
          <w:szCs w:val="21"/>
        </w:rPr>
        <w:t>Shows which rights are most frequently violated in which counties — evidence base for policy reform</w:t>
      </w:r>
    </w:p>
    <w:p>
      <w:pPr>
        <w:pStyle w:val="ListParagraph"/>
        <w:numPr>
          <w:ilvl w:val="0"/>
          <w:numId w:val="1"/>
        </w:numPr>
        <w:spacing w:lineRule="exact" w:line="300" w:before="60" w:after="60"/>
        <w:rPr/>
      </w:pPr>
      <w:r>
        <w:rPr>
          <w:rFonts w:eastAsia="Arial" w:cs="Arial"/>
          <w:b/>
          <w:bCs/>
          <w:color w:val="1A3A5C"/>
          <w:sz w:val="21"/>
          <w:szCs w:val="21"/>
        </w:rPr>
        <w:t xml:space="preserve">Legal Aid Gap Analysis: </w:t>
      </w:r>
      <w:r>
        <w:rPr>
          <w:rFonts w:eastAsia="Arial" w:cs="Arial"/>
          <w:color w:val="1C1C1C"/>
          <w:sz w:val="21"/>
          <w:szCs w:val="21"/>
        </w:rPr>
        <w:t>Quantifies unmet legal need to guide donor and government resource allocation</w:t>
      </w:r>
    </w:p>
    <w:p>
      <w:pPr>
        <w:pStyle w:val="Normal"/>
        <w:pBdr>
          <w:bottom w:val="single" w:sz="4" w:space="1" w:color="CCCCCC"/>
        </w:pBdr>
        <w:spacing w:before="160" w:after="160"/>
        <w:rPr/>
      </w:pPr>
      <w:r>
        <w:rPr/>
      </w:r>
    </w:p>
    <w:p>
      <w:pPr>
        <w:pStyle w:val="Normal"/>
        <w:spacing w:before="0" w:after="0"/>
        <w:rPr/>
      </w:pPr>
      <w:r>
        <w:rPr/>
      </w:r>
      <w:r>
        <w:br w:type="page"/>
      </w:r>
    </w:p>
    <w:p>
      <w:pPr>
        <w:pStyle w:val="Heading1"/>
        <w:pBdr>
          <w:bottom w:val="single" w:sz="8" w:space="4" w:color="C9A84C"/>
        </w:pBdr>
        <w:spacing w:before="0" w:after="160"/>
        <w:rPr/>
      </w:pPr>
      <w:r>
        <w:rPr>
          <w:rFonts w:eastAsia="Arial" w:cs="Arial" w:ascii="Arial" w:hAnsi="Arial"/>
          <w:b/>
          <w:bCs/>
          <w:color w:val="1A3A5C"/>
          <w:sz w:val="34"/>
          <w:szCs w:val="34"/>
        </w:rPr>
        <w:t>6. REVENUE &amp; PAYMENT MODEL</w:t>
      </w:r>
    </w:p>
    <w:p>
      <w:pPr>
        <w:pStyle w:val="Normal"/>
        <w:spacing w:before="80" w:after="0"/>
        <w:rPr/>
      </w:pPr>
      <w:r>
        <w:rPr/>
      </w:r>
    </w:p>
    <w:p>
      <w:pPr>
        <w:pStyle w:val="Normal"/>
        <w:spacing w:lineRule="exact" w:line="320" w:before="80" w:after="80"/>
        <w:rPr/>
      </w:pPr>
      <w:r>
        <w:rPr>
          <w:rFonts w:eastAsia="Arial" w:cs="Arial"/>
          <w:color w:val="1C1C1C"/>
          <w:sz w:val="22"/>
          <w:szCs w:val="22"/>
        </w:rPr>
        <w:t>The platform's revolutionary financial model is designed to make legal services economically sustainable while remaining accessible to the lowest-income citizens. It draws inspiration from Kenya's M-Pesa ecosystem  creating a credit-based legal economy.</w:t>
      </w:r>
    </w:p>
    <w:p>
      <w:pPr>
        <w:pStyle w:val="Normal"/>
        <w:spacing w:before="160" w:after="0"/>
        <w:rPr/>
      </w:pPr>
      <w:r>
        <w:rPr/>
      </w:r>
    </w:p>
    <w:p>
      <w:pPr>
        <w:pStyle w:val="Heading2"/>
        <w:spacing w:before="300" w:after="120"/>
        <w:rPr/>
      </w:pPr>
      <w:r>
        <w:rPr>
          <w:rFonts w:eastAsia="Arial" w:cs="Arial" w:ascii="Arial" w:hAnsi="Arial"/>
          <w:b/>
          <w:bCs/>
          <w:color w:val="0D7377"/>
          <w:sz w:val="26"/>
          <w:szCs w:val="26"/>
        </w:rPr>
        <w:t>6.1 Credit-Based Legal Economy</w:t>
      </w:r>
    </w:p>
    <w:p>
      <w:pPr>
        <w:pStyle w:val="Normal"/>
        <w:spacing w:lineRule="exact" w:line="320" w:before="80" w:after="80"/>
        <w:rPr/>
      </w:pPr>
      <w:r>
        <w:rPr>
          <w:rFonts w:eastAsia="Arial" w:cs="Arial"/>
          <w:color w:val="1C1C1C"/>
          <w:sz w:val="22"/>
          <w:szCs w:val="22"/>
        </w:rPr>
        <w:t>All platform transactions use Legal Credits  a digital currency that eliminates the opacity of traditional legal fee negotiations:</w:t>
      </w:r>
    </w:p>
    <w:p>
      <w:pPr>
        <w:pStyle w:val="Normal"/>
        <w:spacing w:before="80" w:after="0"/>
        <w:rPr/>
      </w:pPr>
      <w:r>
        <w:rPr/>
      </w:r>
    </w:p>
    <w:tbl>
      <w:tblPr>
        <w:tblW w:w="9360" w:type="dxa"/>
        <w:jc w:val="left"/>
        <w:tblInd w:w="0" w:type="dxa"/>
        <w:tblLayout w:type="fixed"/>
        <w:tblCellMar>
          <w:top w:w="100" w:type="dxa"/>
          <w:left w:w="160" w:type="dxa"/>
          <w:bottom w:w="100" w:type="dxa"/>
          <w:right w:w="160" w:type="dxa"/>
        </w:tblCellMar>
      </w:tblPr>
      <w:tblGrid>
        <w:gridCol w:w="4199"/>
        <w:gridCol w:w="5160"/>
      </w:tblGrid>
      <w:tr>
        <w:trPr>
          <w:tblHeader w:val="true"/>
        </w:trPr>
        <w:tc>
          <w:tcPr>
            <w:tcW w:w="4199" w:type="dxa"/>
            <w:tcBorders>
              <w:top w:val="single" w:sz="4" w:space="0" w:color="CCCCCC"/>
              <w:left w:val="single" w:sz="4" w:space="0" w:color="CCCCCC"/>
              <w:bottom w:val="single" w:sz="4" w:space="0" w:color="CCCCCC"/>
              <w:right w:val="single" w:sz="4" w:space="0" w:color="CCCCCC"/>
            </w:tcBorders>
            <w:shd w:fill="1A3A5C" w:val="clear"/>
          </w:tcPr>
          <w:p>
            <w:pPr>
              <w:pStyle w:val="Normal"/>
              <w:rPr/>
            </w:pPr>
            <w:r>
              <w:rPr>
                <w:rFonts w:eastAsia="Arial" w:cs="Arial"/>
                <w:b/>
                <w:bCs/>
                <w:color w:val="FFFFFF"/>
                <w:sz w:val="21"/>
                <w:szCs w:val="21"/>
              </w:rPr>
              <w:t>Service</w:t>
            </w:r>
          </w:p>
        </w:tc>
        <w:tc>
          <w:tcPr>
            <w:tcW w:w="5160" w:type="dxa"/>
            <w:tcBorders>
              <w:top w:val="single" w:sz="4" w:space="0" w:color="CCCCCC"/>
              <w:left w:val="single" w:sz="4" w:space="0" w:color="CCCCCC"/>
              <w:bottom w:val="single" w:sz="4" w:space="0" w:color="CCCCCC"/>
              <w:right w:val="single" w:sz="4" w:space="0" w:color="CCCCCC"/>
            </w:tcBorders>
            <w:shd w:fill="0D7377" w:val="clear"/>
          </w:tcPr>
          <w:p>
            <w:pPr>
              <w:pStyle w:val="Normal"/>
              <w:rPr/>
            </w:pPr>
            <w:r>
              <w:rPr>
                <w:rFonts w:eastAsia="Arial" w:cs="Arial"/>
                <w:b/>
                <w:bCs/>
                <w:color w:val="FFFFFF"/>
                <w:sz w:val="21"/>
                <w:szCs w:val="21"/>
              </w:rPr>
              <w:t>Credit Cost</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AI Legal Question (Basic)</w:t>
            </w:r>
          </w:p>
        </w:tc>
        <w:tc>
          <w:tcPr>
            <w:tcW w:w="51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5 Credits (≈ KES 50)</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AI Legal Question (Complex Analysis)</w:t>
            </w:r>
          </w:p>
        </w:tc>
        <w:tc>
          <w:tcPr>
            <w:tcW w:w="51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20 Credits (≈ KES 200)</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AI Document Generation</w:t>
            </w:r>
          </w:p>
        </w:tc>
        <w:tc>
          <w:tcPr>
            <w:tcW w:w="51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30–100 Credits depending on document type</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Lawyer Consultation (30 min)</w:t>
            </w:r>
          </w:p>
        </w:tc>
        <w:tc>
          <w:tcPr>
            <w:tcW w:w="51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200–500 Credits — set by lawyer</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Case Filing Support</w:t>
            </w:r>
          </w:p>
        </w:tc>
        <w:tc>
          <w:tcPr>
            <w:tcW w:w="51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100 Credits + court fees</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Emergency Legal Button</w:t>
            </w:r>
          </w:p>
        </w:tc>
        <w:tc>
          <w:tcPr>
            <w:tcW w:w="51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Free — guaranteed access regardless of balance</w:t>
            </w:r>
          </w:p>
        </w:tc>
      </w:tr>
    </w:tbl>
    <w:p>
      <w:pPr>
        <w:pStyle w:val="Normal"/>
        <w:spacing w:before="160" w:after="0"/>
        <w:rPr/>
      </w:pPr>
      <w:r>
        <w:rPr/>
      </w:r>
    </w:p>
    <w:p>
      <w:pPr>
        <w:pStyle w:val="Heading2"/>
        <w:spacing w:before="300" w:after="120"/>
        <w:rPr/>
      </w:pPr>
      <w:r>
        <w:rPr>
          <w:rFonts w:eastAsia="Arial" w:cs="Arial" w:ascii="Arial" w:hAnsi="Arial"/>
          <w:b/>
          <w:bCs/>
          <w:color w:val="0D7377"/>
          <w:sz w:val="26"/>
          <w:szCs w:val="26"/>
        </w:rPr>
        <w:t>6.2 Phased / Installment Payment System</w:t>
      </w:r>
    </w:p>
    <w:p>
      <w:pPr>
        <w:pStyle w:val="Normal"/>
        <w:spacing w:lineRule="exact" w:line="320" w:before="80" w:after="80"/>
        <w:rPr/>
      </w:pPr>
      <w:r>
        <w:rPr>
          <w:rFonts w:eastAsia="Arial" w:cs="Arial"/>
          <w:color w:val="1C1C1C"/>
          <w:sz w:val="22"/>
          <w:szCs w:val="22"/>
        </w:rPr>
        <w:t>Citizens are not required to pay legal fees upfront. The platform enables milestone-based payments that align with case progress  making legal representation financially manageable:</w:t>
      </w:r>
    </w:p>
    <w:p>
      <w:pPr>
        <w:pStyle w:val="Normal"/>
        <w:spacing w:before="80" w:after="0"/>
        <w:rPr/>
      </w:pPr>
      <w:r>
        <w:rPr/>
      </w:r>
    </w:p>
    <w:p>
      <w:pPr>
        <w:pStyle w:val="ListParagraph"/>
        <w:numPr>
          <w:ilvl w:val="0"/>
          <w:numId w:val="1"/>
        </w:numPr>
        <w:spacing w:lineRule="exact" w:line="300" w:before="60" w:after="60"/>
        <w:rPr/>
      </w:pPr>
      <w:r>
        <w:rPr>
          <w:rFonts w:eastAsia="Arial" w:cs="Arial"/>
          <w:b/>
          <w:bCs/>
          <w:color w:val="1A3A5C"/>
          <w:sz w:val="21"/>
          <w:szCs w:val="21"/>
        </w:rPr>
        <w:t xml:space="preserve">Phase 1 — Consultation: </w:t>
      </w:r>
      <w:r>
        <w:rPr>
          <w:rFonts w:eastAsia="Arial" w:cs="Arial"/>
          <w:color w:val="1C1C1C"/>
          <w:sz w:val="21"/>
          <w:szCs w:val="21"/>
        </w:rPr>
        <w:t>20% of agreed fee paid upon lawyer acceptance</w:t>
      </w:r>
    </w:p>
    <w:p>
      <w:pPr>
        <w:pStyle w:val="ListParagraph"/>
        <w:numPr>
          <w:ilvl w:val="0"/>
          <w:numId w:val="1"/>
        </w:numPr>
        <w:spacing w:lineRule="exact" w:line="300" w:before="60" w:after="60"/>
        <w:rPr/>
      </w:pPr>
      <w:r>
        <w:rPr>
          <w:rFonts w:eastAsia="Arial" w:cs="Arial"/>
          <w:b/>
          <w:bCs/>
          <w:color w:val="1A3A5C"/>
          <w:sz w:val="21"/>
          <w:szCs w:val="21"/>
        </w:rPr>
        <w:t xml:space="preserve">Phase 2 — Case Filing: </w:t>
      </w:r>
      <w:r>
        <w:rPr>
          <w:rFonts w:eastAsia="Arial" w:cs="Arial"/>
          <w:color w:val="1C1C1C"/>
          <w:sz w:val="21"/>
          <w:szCs w:val="21"/>
        </w:rPr>
        <w:t>30% paid upon successful filing of all documents</w:t>
      </w:r>
    </w:p>
    <w:p>
      <w:pPr>
        <w:pStyle w:val="ListParagraph"/>
        <w:numPr>
          <w:ilvl w:val="0"/>
          <w:numId w:val="1"/>
        </w:numPr>
        <w:spacing w:lineRule="exact" w:line="300" w:before="60" w:after="60"/>
        <w:rPr/>
      </w:pPr>
      <w:r>
        <w:rPr>
          <w:rFonts w:eastAsia="Arial" w:cs="Arial"/>
          <w:b/>
          <w:bCs/>
          <w:color w:val="1A3A5C"/>
          <w:sz w:val="21"/>
          <w:szCs w:val="21"/>
        </w:rPr>
        <w:t xml:space="preserve">Phase 3 — Hearing &amp; Representation: </w:t>
      </w:r>
      <w:r>
        <w:rPr>
          <w:rFonts w:eastAsia="Arial" w:cs="Arial"/>
          <w:color w:val="1C1C1C"/>
          <w:sz w:val="21"/>
          <w:szCs w:val="21"/>
        </w:rPr>
        <w:t>30% paid before hearing date</w:t>
      </w:r>
    </w:p>
    <w:p>
      <w:pPr>
        <w:pStyle w:val="ListParagraph"/>
        <w:numPr>
          <w:ilvl w:val="0"/>
          <w:numId w:val="1"/>
        </w:numPr>
        <w:spacing w:lineRule="exact" w:line="300" w:before="60" w:after="60"/>
        <w:rPr/>
      </w:pPr>
      <w:r>
        <w:rPr>
          <w:rFonts w:eastAsia="Arial" w:cs="Arial"/>
          <w:b/>
          <w:bCs/>
          <w:color w:val="1A3A5C"/>
          <w:sz w:val="21"/>
          <w:szCs w:val="21"/>
        </w:rPr>
        <w:t xml:space="preserve">Phase 4 — Judgment &amp; Conclusion: </w:t>
      </w:r>
      <w:r>
        <w:rPr>
          <w:rFonts w:eastAsia="Arial" w:cs="Arial"/>
          <w:color w:val="1C1C1C"/>
          <w:sz w:val="21"/>
          <w:szCs w:val="21"/>
        </w:rPr>
        <w:t>Final 20% paid upon case conclusion</w:t>
      </w:r>
    </w:p>
    <w:p>
      <w:pPr>
        <w:pStyle w:val="Normal"/>
        <w:spacing w:before="80" w:after="0"/>
        <w:rPr/>
      </w:pPr>
      <w:r>
        <w:rPr/>
      </w:r>
    </w:p>
    <w:p>
      <w:pPr>
        <w:pStyle w:val="Normal"/>
        <w:spacing w:lineRule="exact" w:line="320" w:before="80" w:after="80"/>
        <w:rPr/>
      </w:pPr>
      <w:r>
        <w:rPr>
          <w:rFonts w:eastAsia="Arial" w:cs="Arial"/>
          <w:color w:val="1C1C1C"/>
          <w:sz w:val="22"/>
          <w:szCs w:val="22"/>
        </w:rPr>
        <w:t>This structure protects clients from paying full fees for cases that stall, while ensuring lawyers are compensated incrementally for real work delivered.</w:t>
      </w:r>
    </w:p>
    <w:p>
      <w:pPr>
        <w:pStyle w:val="Normal"/>
        <w:spacing w:before="160" w:after="0"/>
        <w:rPr/>
      </w:pPr>
      <w:r>
        <w:rPr/>
      </w:r>
    </w:p>
    <w:p>
      <w:pPr>
        <w:pStyle w:val="Heading2"/>
        <w:spacing w:before="300" w:after="120"/>
        <w:rPr/>
      </w:pPr>
      <w:r>
        <w:rPr>
          <w:rFonts w:eastAsia="Arial" w:cs="Arial" w:ascii="Arial" w:hAnsi="Arial"/>
          <w:b/>
          <w:bCs/>
          <w:color w:val="0D7377"/>
          <w:sz w:val="26"/>
          <w:szCs w:val="26"/>
        </w:rPr>
        <w:t>6.3 Escrow Protection System</w:t>
      </w:r>
    </w:p>
    <w:p>
      <w:pPr>
        <w:pStyle w:val="Normal"/>
        <w:spacing w:lineRule="exact" w:line="320" w:before="80" w:after="80"/>
        <w:rPr/>
      </w:pPr>
      <w:r>
        <w:rPr>
          <w:rFonts w:eastAsia="Arial" w:cs="Arial"/>
          <w:color w:val="1C1C1C"/>
          <w:sz w:val="22"/>
          <w:szCs w:val="22"/>
        </w:rPr>
        <w:t>Every payment on the platform passes through a secure escrow account. Funds are only released to the lawyer when the client confirms milestone completion  or after a mandatory 72-hour review period with no dispute raised.</w:t>
      </w:r>
    </w:p>
    <w:p>
      <w:pPr>
        <w:pStyle w:val="Normal"/>
        <w:spacing w:before="80" w:after="0"/>
        <w:rPr/>
      </w:pPr>
      <w:r>
        <w:rPr/>
      </w:r>
    </w:p>
    <w:p>
      <w:pPr>
        <w:pStyle w:val="ListParagraph"/>
        <w:numPr>
          <w:ilvl w:val="0"/>
          <w:numId w:val="1"/>
        </w:numPr>
        <w:spacing w:lineRule="exact" w:line="300" w:before="60" w:after="60"/>
        <w:rPr/>
      </w:pPr>
      <w:r>
        <w:rPr>
          <w:rFonts w:eastAsia="Arial" w:cs="Arial"/>
          <w:color w:val="1C1C1C"/>
          <w:sz w:val="21"/>
          <w:szCs w:val="21"/>
        </w:rPr>
        <w:t>Eliminates risk of lawyer receiving payment without delivering service</w:t>
      </w:r>
    </w:p>
    <w:p>
      <w:pPr>
        <w:pStyle w:val="ListParagraph"/>
        <w:numPr>
          <w:ilvl w:val="0"/>
          <w:numId w:val="1"/>
        </w:numPr>
        <w:spacing w:lineRule="exact" w:line="300" w:before="60" w:after="60"/>
        <w:rPr/>
      </w:pPr>
      <w:r>
        <w:rPr>
          <w:rFonts w:eastAsia="Arial" w:cs="Arial"/>
          <w:color w:val="1C1C1C"/>
          <w:sz w:val="21"/>
          <w:szCs w:val="21"/>
        </w:rPr>
        <w:t>Provides clients with a formal dispute resolution mechanism for payment disagreements</w:t>
      </w:r>
    </w:p>
    <w:p>
      <w:pPr>
        <w:pStyle w:val="ListParagraph"/>
        <w:numPr>
          <w:ilvl w:val="0"/>
          <w:numId w:val="1"/>
        </w:numPr>
        <w:spacing w:lineRule="exact" w:line="300" w:before="60" w:after="60"/>
        <w:rPr/>
      </w:pPr>
      <w:r>
        <w:rPr>
          <w:rFonts w:eastAsia="Arial" w:cs="Arial"/>
          <w:color w:val="1C1C1C"/>
          <w:sz w:val="21"/>
          <w:szCs w:val="21"/>
        </w:rPr>
        <w:t>All escrow activity is logged and auditable by the platform's compliance team</w:t>
      </w:r>
    </w:p>
    <w:p>
      <w:pPr>
        <w:pStyle w:val="Normal"/>
        <w:spacing w:before="160" w:after="0"/>
        <w:rPr/>
      </w:pPr>
      <w:r>
        <w:rPr/>
      </w:r>
    </w:p>
    <w:p>
      <w:pPr>
        <w:pStyle w:val="Heading2"/>
        <w:spacing w:before="300" w:after="120"/>
        <w:rPr/>
      </w:pPr>
      <w:r>
        <w:rPr>
          <w:rFonts w:eastAsia="Arial" w:cs="Arial" w:ascii="Arial" w:hAnsi="Arial"/>
          <w:b/>
          <w:bCs/>
          <w:color w:val="0D7377"/>
          <w:sz w:val="26"/>
          <w:szCs w:val="26"/>
        </w:rPr>
        <w:t>6.4 Platform Revenue Streams</w:t>
      </w:r>
    </w:p>
    <w:p>
      <w:pPr>
        <w:pStyle w:val="ListParagraph"/>
        <w:numPr>
          <w:ilvl w:val="0"/>
          <w:numId w:val="1"/>
        </w:numPr>
        <w:spacing w:lineRule="exact" w:line="300" w:before="60" w:after="60"/>
        <w:rPr/>
      </w:pPr>
      <w:r>
        <w:rPr>
          <w:rFonts w:eastAsia="Arial" w:cs="Arial"/>
          <w:b/>
          <w:bCs/>
          <w:color w:val="1A3A5C"/>
          <w:sz w:val="21"/>
          <w:szCs w:val="21"/>
        </w:rPr>
        <w:t xml:space="preserve">Transaction Commission: </w:t>
      </w:r>
      <w:r>
        <w:rPr>
          <w:rFonts w:eastAsia="Arial" w:cs="Arial"/>
          <w:color w:val="1C1C1C"/>
          <w:sz w:val="21"/>
          <w:szCs w:val="21"/>
        </w:rPr>
        <w:t>5–8% on all lawyer-client transactions processed through escrow</w:t>
      </w:r>
    </w:p>
    <w:p>
      <w:pPr>
        <w:pStyle w:val="ListParagraph"/>
        <w:numPr>
          <w:ilvl w:val="0"/>
          <w:numId w:val="1"/>
        </w:numPr>
        <w:spacing w:lineRule="exact" w:line="300" w:before="60" w:after="60"/>
        <w:rPr/>
      </w:pPr>
      <w:r>
        <w:rPr>
          <w:rFonts w:eastAsia="Arial" w:cs="Arial"/>
          <w:b/>
          <w:bCs/>
          <w:color w:val="1A3A5C"/>
          <w:sz w:val="21"/>
          <w:szCs w:val="21"/>
        </w:rPr>
        <w:t xml:space="preserve">Subscription Plans: </w:t>
      </w:r>
      <w:r>
        <w:rPr>
          <w:rFonts w:eastAsia="Arial" w:cs="Arial"/>
          <w:color w:val="1C1C1C"/>
          <w:sz w:val="21"/>
          <w:szCs w:val="21"/>
        </w:rPr>
        <w:t>Premium citizen accounts (enhanced AI access, unlimited document drafts) and law firm enterprise plans</w:t>
      </w:r>
    </w:p>
    <w:p>
      <w:pPr>
        <w:pStyle w:val="ListParagraph"/>
        <w:numPr>
          <w:ilvl w:val="0"/>
          <w:numId w:val="1"/>
        </w:numPr>
        <w:spacing w:lineRule="exact" w:line="300" w:before="60" w:after="60"/>
        <w:rPr/>
      </w:pPr>
      <w:r>
        <w:rPr>
          <w:rFonts w:eastAsia="Arial" w:cs="Arial"/>
          <w:b/>
          <w:bCs/>
          <w:color w:val="1A3A5C"/>
          <w:sz w:val="21"/>
          <w:szCs w:val="21"/>
        </w:rPr>
        <w:t xml:space="preserve">Legal Database API: </w:t>
      </w:r>
      <w:r>
        <w:rPr>
          <w:rFonts w:eastAsia="Arial" w:cs="Arial"/>
          <w:color w:val="1C1C1C"/>
          <w:sz w:val="21"/>
          <w:szCs w:val="21"/>
        </w:rPr>
        <w:t>Licensing the Global Legal Database to law schools, research institutions, and NGOs</w:t>
      </w:r>
    </w:p>
    <w:p>
      <w:pPr>
        <w:pStyle w:val="ListParagraph"/>
        <w:numPr>
          <w:ilvl w:val="0"/>
          <w:numId w:val="1"/>
        </w:numPr>
        <w:spacing w:lineRule="exact" w:line="300" w:before="60" w:after="60"/>
        <w:rPr/>
      </w:pPr>
      <w:r>
        <w:rPr>
          <w:rFonts w:eastAsia="Arial" w:cs="Arial"/>
          <w:b/>
          <w:bCs/>
          <w:color w:val="1A3A5C"/>
          <w:sz w:val="21"/>
          <w:szCs w:val="21"/>
        </w:rPr>
        <w:t xml:space="preserve">Government Contracts: </w:t>
      </w:r>
      <w:r>
        <w:rPr>
          <w:rFonts w:eastAsia="Arial" w:cs="Arial"/>
          <w:color w:val="1C1C1C"/>
          <w:sz w:val="21"/>
          <w:szCs w:val="21"/>
        </w:rPr>
        <w:t>White-label deployments for county governments, prisons, police stations, and public defender offices</w:t>
      </w:r>
    </w:p>
    <w:p>
      <w:pPr>
        <w:pStyle w:val="ListParagraph"/>
        <w:numPr>
          <w:ilvl w:val="0"/>
          <w:numId w:val="1"/>
        </w:numPr>
        <w:spacing w:lineRule="exact" w:line="300" w:before="60" w:after="60"/>
        <w:rPr/>
      </w:pPr>
      <w:r>
        <w:rPr>
          <w:rFonts w:eastAsia="Arial" w:cs="Arial"/>
          <w:b/>
          <w:bCs/>
          <w:color w:val="1A3A5C"/>
          <w:sz w:val="21"/>
          <w:szCs w:val="21"/>
        </w:rPr>
        <w:t xml:space="preserve">Analytics as a Service: </w:t>
      </w:r>
      <w:r>
        <w:rPr>
          <w:rFonts w:eastAsia="Arial" w:cs="Arial"/>
          <w:color w:val="1C1C1C"/>
          <w:sz w:val="21"/>
          <w:szCs w:val="21"/>
        </w:rPr>
        <w:t>Legal analytics dashboards for development organizations, donors, and researchers</w:t>
      </w:r>
    </w:p>
    <w:p>
      <w:pPr>
        <w:pStyle w:val="ListParagraph"/>
        <w:numPr>
          <w:ilvl w:val="0"/>
          <w:numId w:val="1"/>
        </w:numPr>
        <w:spacing w:lineRule="exact" w:line="300" w:before="60" w:after="60"/>
        <w:rPr/>
      </w:pPr>
      <w:r>
        <w:rPr>
          <w:rFonts w:eastAsia="Arial" w:cs="Arial"/>
          <w:b/>
          <w:bCs/>
          <w:color w:val="1A3A5C"/>
          <w:sz w:val="21"/>
          <w:szCs w:val="21"/>
        </w:rPr>
        <w:t xml:space="preserve">Document Generation API: </w:t>
      </w:r>
      <w:r>
        <w:rPr>
          <w:rFonts w:eastAsia="Arial" w:cs="Arial"/>
          <w:color w:val="1C1C1C"/>
          <w:sz w:val="21"/>
          <w:szCs w:val="21"/>
        </w:rPr>
        <w:t>B2B integration with banks, real estate companies, and HR platforms needing automated legal documents</w:t>
      </w:r>
    </w:p>
    <w:p>
      <w:pPr>
        <w:pStyle w:val="Normal"/>
        <w:pBdr>
          <w:bottom w:val="single" w:sz="4" w:space="1" w:color="CCCCCC"/>
        </w:pBdr>
        <w:spacing w:before="160" w:after="160"/>
        <w:rPr/>
      </w:pPr>
      <w:r>
        <w:rPr/>
      </w:r>
    </w:p>
    <w:p>
      <w:pPr>
        <w:pStyle w:val="Normal"/>
        <w:spacing w:before="0" w:after="0"/>
        <w:rPr/>
      </w:pPr>
      <w:r>
        <w:rPr/>
      </w:r>
      <w:r>
        <w:br w:type="page"/>
      </w:r>
    </w:p>
    <w:p>
      <w:pPr>
        <w:pStyle w:val="Heading1"/>
        <w:pBdr>
          <w:bottom w:val="single" w:sz="8" w:space="4" w:color="C9A84C"/>
        </w:pBdr>
        <w:spacing w:before="0" w:after="160"/>
        <w:rPr/>
      </w:pPr>
      <w:r>
        <w:rPr>
          <w:rFonts w:eastAsia="Arial" w:cs="Arial" w:ascii="Arial" w:hAnsi="Arial"/>
          <w:b/>
          <w:bCs/>
          <w:color w:val="1A3A5C"/>
          <w:sz w:val="34"/>
          <w:szCs w:val="34"/>
        </w:rPr>
        <w:t>7. GLOBAL LEGAL DATABASE</w:t>
      </w:r>
    </w:p>
    <w:p>
      <w:pPr>
        <w:pStyle w:val="Normal"/>
        <w:spacing w:before="80" w:after="0"/>
        <w:rPr/>
      </w:pPr>
      <w:r>
        <w:rPr/>
      </w:r>
    </w:p>
    <w:p>
      <w:pPr>
        <w:pStyle w:val="Normal"/>
        <w:spacing w:lineRule="exact" w:line="320" w:before="80" w:after="80"/>
        <w:rPr/>
      </w:pPr>
      <w:r>
        <w:rPr>
          <w:rFonts w:eastAsia="Arial" w:cs="Arial"/>
          <w:color w:val="1C1C1C"/>
          <w:sz w:val="22"/>
          <w:szCs w:val="22"/>
        </w:rPr>
        <w:t>The platform's Global Legal Database transforms the world's legal knowledge into a searchable, citizen-accessible resource. Modeled on Kenya Law Reports  Africa's most sophisticated free-access legal database  but extended globally.</w:t>
      </w:r>
    </w:p>
    <w:p>
      <w:pPr>
        <w:pStyle w:val="Normal"/>
        <w:spacing w:before="160" w:after="0"/>
        <w:rPr/>
      </w:pPr>
      <w:r>
        <w:rPr/>
      </w:r>
    </w:p>
    <w:p>
      <w:pPr>
        <w:pStyle w:val="Heading2"/>
        <w:spacing w:before="300" w:after="120"/>
        <w:rPr/>
      </w:pPr>
      <w:r>
        <w:rPr>
          <w:rFonts w:eastAsia="Arial" w:cs="Arial" w:ascii="Arial" w:hAnsi="Arial"/>
          <w:b/>
          <w:bCs/>
          <w:color w:val="0D7377"/>
          <w:sz w:val="26"/>
          <w:szCs w:val="26"/>
        </w:rPr>
        <w:t>7.1 Database Architecture</w:t>
      </w:r>
    </w:p>
    <w:p>
      <w:pPr>
        <w:pStyle w:val="ListParagraph"/>
        <w:numPr>
          <w:ilvl w:val="0"/>
          <w:numId w:val="1"/>
        </w:numPr>
        <w:spacing w:lineRule="exact" w:line="300" w:before="60" w:after="60"/>
        <w:rPr/>
      </w:pPr>
      <w:r>
        <w:rPr>
          <w:rFonts w:eastAsia="Arial" w:cs="Arial"/>
          <w:b/>
          <w:bCs/>
          <w:color w:val="1A3A5C"/>
          <w:sz w:val="21"/>
          <w:szCs w:val="21"/>
        </w:rPr>
        <w:t xml:space="preserve">Country Profiles: </w:t>
      </w:r>
      <w:r>
        <w:rPr>
          <w:rFonts w:eastAsia="Arial" w:cs="Arial"/>
          <w:color w:val="1C1C1C"/>
          <w:sz w:val="21"/>
          <w:szCs w:val="21"/>
        </w:rPr>
        <w:t>Each country module includes the full Constitution, key statutes, regulatory frameworks, and court procedures</w:t>
      </w:r>
    </w:p>
    <w:p>
      <w:pPr>
        <w:pStyle w:val="ListParagraph"/>
        <w:numPr>
          <w:ilvl w:val="0"/>
          <w:numId w:val="1"/>
        </w:numPr>
        <w:spacing w:lineRule="exact" w:line="300" w:before="60" w:after="60"/>
        <w:rPr/>
      </w:pPr>
      <w:r>
        <w:rPr>
          <w:rFonts w:eastAsia="Arial" w:cs="Arial"/>
          <w:b/>
          <w:bCs/>
          <w:color w:val="1A3A5C"/>
          <w:sz w:val="21"/>
          <w:szCs w:val="21"/>
        </w:rPr>
        <w:t xml:space="preserve">Case Law Repository: </w:t>
      </w:r>
      <w:r>
        <w:rPr>
          <w:rFonts w:eastAsia="Arial" w:cs="Arial"/>
          <w:color w:val="1C1C1C"/>
          <w:sz w:val="21"/>
          <w:szCs w:val="21"/>
        </w:rPr>
        <w:t>Searchable judgments from Supreme Court down to Magistrate level  with AI-generated plain-language summaries</w:t>
      </w:r>
    </w:p>
    <w:p>
      <w:pPr>
        <w:pStyle w:val="ListParagraph"/>
        <w:numPr>
          <w:ilvl w:val="0"/>
          <w:numId w:val="1"/>
        </w:numPr>
        <w:spacing w:lineRule="exact" w:line="300" w:before="60" w:after="60"/>
        <w:rPr/>
      </w:pPr>
      <w:r>
        <w:rPr>
          <w:rFonts w:eastAsia="Arial" w:cs="Arial"/>
          <w:b/>
          <w:bCs/>
          <w:color w:val="1A3A5C"/>
          <w:sz w:val="21"/>
          <w:szCs w:val="21"/>
        </w:rPr>
        <w:t xml:space="preserve">Treaty &amp; International Law Library: </w:t>
      </w:r>
      <w:r>
        <w:rPr>
          <w:rFonts w:eastAsia="Arial" w:cs="Arial"/>
          <w:color w:val="1C1C1C"/>
          <w:sz w:val="21"/>
          <w:szCs w:val="21"/>
        </w:rPr>
        <w:t>All ratified international conventions, their domestic implementation status, and enforcement mechanisms</w:t>
      </w:r>
    </w:p>
    <w:p>
      <w:pPr>
        <w:pStyle w:val="ListParagraph"/>
        <w:numPr>
          <w:ilvl w:val="0"/>
          <w:numId w:val="1"/>
        </w:numPr>
        <w:spacing w:lineRule="exact" w:line="300" w:before="60" w:after="60"/>
        <w:rPr/>
      </w:pPr>
      <w:r>
        <w:rPr>
          <w:rFonts w:eastAsia="Arial" w:cs="Arial"/>
          <w:b/>
          <w:bCs/>
          <w:color w:val="1A3A5C"/>
          <w:sz w:val="21"/>
          <w:szCs w:val="21"/>
        </w:rPr>
        <w:t xml:space="preserve">Legal Forms Library: </w:t>
      </w:r>
      <w:r>
        <w:rPr>
          <w:rFonts w:eastAsia="Arial" w:cs="Arial"/>
          <w:color w:val="1C1C1C"/>
          <w:sz w:val="21"/>
          <w:szCs w:val="21"/>
        </w:rPr>
        <w:t>Official court forms for every jurisdiction, pre-filled by the AI based on the user's situation</w:t>
      </w:r>
    </w:p>
    <w:p>
      <w:pPr>
        <w:pStyle w:val="Normal"/>
        <w:spacing w:before="160" w:after="0"/>
        <w:rPr/>
      </w:pPr>
      <w:r>
        <w:rPr/>
      </w:r>
    </w:p>
    <w:p>
      <w:pPr>
        <w:pStyle w:val="Heading2"/>
        <w:spacing w:before="300" w:after="120"/>
        <w:rPr/>
      </w:pPr>
      <w:r>
        <w:rPr>
          <w:rFonts w:eastAsia="Arial" w:cs="Arial" w:ascii="Arial" w:hAnsi="Arial"/>
          <w:b/>
          <w:bCs/>
          <w:color w:val="0D7377"/>
          <w:sz w:val="26"/>
          <w:szCs w:val="26"/>
        </w:rPr>
        <w:t>7.2 Smart Search Capabilities</w:t>
      </w:r>
    </w:p>
    <w:p>
      <w:pPr>
        <w:pStyle w:val="Normal"/>
        <w:spacing w:lineRule="exact" w:line="320" w:before="80" w:after="80"/>
        <w:rPr/>
      </w:pPr>
      <w:r>
        <w:rPr>
          <w:rFonts w:eastAsia="Arial" w:cs="Arial"/>
          <w:color w:val="1C1C1C"/>
          <w:sz w:val="22"/>
          <w:szCs w:val="22"/>
        </w:rPr>
        <w:t>Citizens and lawyers can search the database in plain language:</w:t>
      </w:r>
    </w:p>
    <w:p>
      <w:pPr>
        <w:pStyle w:val="Normal"/>
        <w:spacing w:before="80" w:after="0"/>
        <w:rPr/>
      </w:pPr>
      <w:r>
        <w:rPr/>
      </w:r>
    </w:p>
    <w:p>
      <w:pPr>
        <w:pStyle w:val="ListParagraph"/>
        <w:numPr>
          <w:ilvl w:val="0"/>
          <w:numId w:val="1"/>
        </w:numPr>
        <w:spacing w:lineRule="exact" w:line="300" w:before="60" w:after="60"/>
        <w:rPr/>
      </w:pPr>
      <w:r>
        <w:rPr>
          <w:rFonts w:eastAsia="Arial" w:cs="Arial"/>
          <w:color w:val="1C1C1C"/>
          <w:sz w:val="21"/>
          <w:szCs w:val="21"/>
        </w:rPr>
        <w:t>"What happens to my land when I die without a will in Kenya?" → Succession Act + relevant High Court precedents</w:t>
      </w:r>
    </w:p>
    <w:p>
      <w:pPr>
        <w:pStyle w:val="ListParagraph"/>
        <w:numPr>
          <w:ilvl w:val="0"/>
          <w:numId w:val="1"/>
        </w:numPr>
        <w:spacing w:lineRule="exact" w:line="300" w:before="60" w:after="60"/>
        <w:rPr/>
      </w:pPr>
      <w:r>
        <w:rPr>
          <w:rFonts w:eastAsia="Arial" w:cs="Arial"/>
          <w:color w:val="1C1C1C"/>
          <w:sz w:val="21"/>
          <w:szCs w:val="21"/>
        </w:rPr>
        <w:t>"Can my employer fire me without notice in Nairobi?" → Employment Act + Labour Court decisions</w:t>
      </w:r>
    </w:p>
    <w:p>
      <w:pPr>
        <w:pStyle w:val="ListParagraph"/>
        <w:numPr>
          <w:ilvl w:val="0"/>
          <w:numId w:val="1"/>
        </w:numPr>
        <w:spacing w:lineRule="exact" w:line="300" w:before="60" w:after="60"/>
        <w:rPr/>
      </w:pPr>
      <w:r>
        <w:rPr>
          <w:rFonts w:eastAsia="Arial" w:cs="Arial"/>
          <w:color w:val="1C1C1C"/>
          <w:sz w:val="21"/>
          <w:szCs w:val="21"/>
        </w:rPr>
        <w:t>"Tenant rights for a monthly tenancy in UK" → Relevant UK Residential Tenancy Law</w:t>
      </w:r>
    </w:p>
    <w:p>
      <w:pPr>
        <w:pStyle w:val="ListParagraph"/>
        <w:numPr>
          <w:ilvl w:val="0"/>
          <w:numId w:val="1"/>
        </w:numPr>
        <w:spacing w:lineRule="exact" w:line="300" w:before="60" w:after="60"/>
        <w:rPr/>
      </w:pPr>
      <w:r>
        <w:rPr>
          <w:rFonts w:eastAsia="Arial" w:cs="Arial"/>
          <w:color w:val="1C1C1C"/>
          <w:sz w:val="21"/>
          <w:szCs w:val="21"/>
        </w:rPr>
        <w:t>"Divorce law process USA California" → California Family Code, step-by-step procedure</w:t>
      </w:r>
    </w:p>
    <w:p>
      <w:pPr>
        <w:pStyle w:val="Normal"/>
        <w:spacing w:before="160" w:after="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FDF7E7" w:val="clear"/>
          </w:tcPr>
          <w:p>
            <w:pPr>
              <w:pStyle w:val="Normal"/>
              <w:spacing w:before="0" w:after="60"/>
              <w:rPr/>
            </w:pPr>
            <w:r>
              <w:rPr>
                <w:rFonts w:eastAsia="Arial" w:cs="Arial"/>
                <w:b/>
                <w:bCs/>
                <w:color w:val="C9A84C"/>
                <w:sz w:val="22"/>
                <w:szCs w:val="22"/>
              </w:rPr>
              <w:t xml:space="preserve">📊 </w:t>
            </w:r>
            <w:r>
              <w:rPr>
                <w:rFonts w:eastAsia="Arial" w:cs="Arial"/>
                <w:b/>
                <w:bCs/>
                <w:color w:val="C9A84C"/>
                <w:sz w:val="22"/>
                <w:szCs w:val="22"/>
              </w:rPr>
              <w:t>Database Scale Target</w:t>
            </w:r>
          </w:p>
          <w:p>
            <w:pPr>
              <w:pStyle w:val="Normal"/>
              <w:spacing w:before="0" w:after="0"/>
              <w:rPr/>
            </w:pPr>
            <w:r>
              <w:rPr>
                <w:rFonts w:eastAsia="Arial" w:cs="Arial"/>
                <w:color w:val="1C1C1C"/>
                <w:sz w:val="21"/>
                <w:szCs w:val="21"/>
              </w:rPr>
              <w:t>Phase 1 (Year 1): Kenya full legal corpus + 5 East African countries. Phase 2 (Year 2): 25 countries across Africa. Phase 3 (Year 3): 50+ countries globally, with AI translation into 100+ languages.</w:t>
            </w:r>
          </w:p>
        </w:tc>
      </w:tr>
    </w:tbl>
    <w:p>
      <w:pPr>
        <w:pStyle w:val="Normal"/>
        <w:pBdr>
          <w:bottom w:val="single" w:sz="4" w:space="1" w:color="CCCCCC"/>
        </w:pBdr>
        <w:spacing w:before="160" w:after="160"/>
        <w:rPr/>
      </w:pPr>
      <w:r>
        <w:rPr/>
      </w:r>
    </w:p>
    <w:p>
      <w:pPr>
        <w:pStyle w:val="Normal"/>
        <w:spacing w:before="0" w:after="0"/>
        <w:rPr/>
      </w:pPr>
      <w:r>
        <w:rPr/>
      </w:r>
      <w:r>
        <w:br w:type="page"/>
      </w:r>
    </w:p>
    <w:p>
      <w:pPr>
        <w:pStyle w:val="Heading1"/>
        <w:pBdr>
          <w:bottom w:val="single" w:sz="8" w:space="4" w:color="C9A84C"/>
        </w:pBdr>
        <w:spacing w:before="0" w:after="160"/>
        <w:rPr/>
      </w:pPr>
      <w:r>
        <w:rPr>
          <w:rFonts w:eastAsia="Arial" w:cs="Arial" w:ascii="Arial" w:hAnsi="Arial"/>
          <w:b/>
          <w:bCs/>
          <w:color w:val="1A3A5C"/>
          <w:sz w:val="34"/>
          <w:szCs w:val="34"/>
        </w:rPr>
        <w:t>8. MARKET OPPORTUNITY &amp; COMPETITIVE LANDSCAPE</w:t>
      </w:r>
    </w:p>
    <w:p>
      <w:pPr>
        <w:pStyle w:val="Normal"/>
        <w:spacing w:before="80" w:after="0"/>
        <w:rPr/>
      </w:pPr>
      <w:r>
        <w:rPr/>
      </w:r>
    </w:p>
    <w:p>
      <w:pPr>
        <w:pStyle w:val="Heading2"/>
        <w:spacing w:before="300" w:after="120"/>
        <w:rPr/>
      </w:pPr>
      <w:r>
        <w:rPr>
          <w:rFonts w:eastAsia="Arial" w:cs="Arial" w:ascii="Arial" w:hAnsi="Arial"/>
          <w:b/>
          <w:bCs/>
          <w:color w:val="0D7377"/>
          <w:sz w:val="26"/>
          <w:szCs w:val="26"/>
        </w:rPr>
        <w:t>8.1 The Global Opportunity</w:t>
      </w:r>
    </w:p>
    <w:p>
      <w:pPr>
        <w:pStyle w:val="Normal"/>
        <w:spacing w:lineRule="exact" w:line="320" w:before="80" w:after="80"/>
        <w:rPr/>
      </w:pPr>
      <w:r>
        <w:rPr>
          <w:rFonts w:eastAsia="Arial" w:cs="Arial"/>
          <w:color w:val="1C1C1C"/>
          <w:sz w:val="22"/>
          <w:szCs w:val="22"/>
        </w:rPr>
        <w:t>The global legal services market is valued at $950 billion (2024). Legal technology investment surpassed $4.98 billion in 2024 alone, with over $1 billion committed in 2025 per LegalTech Breakthrough. Yet the vast majority of this investment flows to large law firms and corporate legal departments in developed markets  creating a massive underserved opportunity in emerging markets.</w:t>
      </w:r>
    </w:p>
    <w:p>
      <w:pPr>
        <w:pStyle w:val="Normal"/>
        <w:spacing w:before="80" w:after="0"/>
        <w:rPr/>
      </w:pPr>
      <w:r>
        <w:rPr/>
      </w:r>
    </w:p>
    <w:tbl>
      <w:tblPr>
        <w:tblW w:w="9360" w:type="dxa"/>
        <w:jc w:val="left"/>
        <w:tblInd w:w="0" w:type="dxa"/>
        <w:tblLayout w:type="fixed"/>
        <w:tblCellMar>
          <w:top w:w="160" w:type="dxa"/>
          <w:left w:w="180" w:type="dxa"/>
          <w:bottom w:w="160" w:type="dxa"/>
          <w:right w:w="180" w:type="dxa"/>
        </w:tblCellMar>
      </w:tblPr>
      <w:tblGrid>
        <w:gridCol w:w="3120"/>
        <w:gridCol w:w="3120"/>
        <w:gridCol w:w="3120"/>
      </w:tblGrid>
      <w:tr>
        <w:trPr/>
        <w:tc>
          <w:tcPr>
            <w:tcW w:w="3120" w:type="dxa"/>
            <w:tcBorders/>
            <w:shd w:fill="1A3A5C" w:val="clear"/>
          </w:tcPr>
          <w:p>
            <w:pPr>
              <w:pStyle w:val="Normal"/>
              <w:spacing w:before="0" w:after="40"/>
              <w:jc w:val="center"/>
              <w:rPr/>
            </w:pPr>
            <w:r>
              <w:rPr>
                <w:rFonts w:eastAsia="Arial" w:cs="Arial"/>
                <w:b/>
                <w:bCs/>
                <w:color w:val="FFFFFF"/>
                <w:sz w:val="40"/>
                <w:szCs w:val="40"/>
              </w:rPr>
              <w:t>$950B</w:t>
            </w:r>
          </w:p>
          <w:p>
            <w:pPr>
              <w:pStyle w:val="Normal"/>
              <w:spacing w:before="0" w:after="0"/>
              <w:jc w:val="center"/>
              <w:rPr/>
            </w:pPr>
            <w:r>
              <w:rPr>
                <w:rFonts w:eastAsia="Arial" w:cs="Arial"/>
                <w:color w:val="FFFFFF"/>
                <w:sz w:val="18"/>
                <w:szCs w:val="18"/>
              </w:rPr>
              <w:t>Global Legal Services Market</w:t>
            </w:r>
          </w:p>
        </w:tc>
        <w:tc>
          <w:tcPr>
            <w:tcW w:w="3120" w:type="dxa"/>
            <w:tcBorders/>
            <w:shd w:fill="0D7377" w:val="clear"/>
          </w:tcPr>
          <w:p>
            <w:pPr>
              <w:pStyle w:val="Normal"/>
              <w:spacing w:before="0" w:after="40"/>
              <w:jc w:val="center"/>
              <w:rPr/>
            </w:pPr>
            <w:r>
              <w:rPr>
                <w:rFonts w:eastAsia="Arial" w:cs="Arial"/>
                <w:b/>
                <w:bCs/>
                <w:color w:val="FFFFFF"/>
                <w:sz w:val="40"/>
                <w:szCs w:val="40"/>
              </w:rPr>
              <w:t>$5B+</w:t>
            </w:r>
          </w:p>
          <w:p>
            <w:pPr>
              <w:pStyle w:val="Normal"/>
              <w:spacing w:before="0" w:after="0"/>
              <w:jc w:val="center"/>
              <w:rPr/>
            </w:pPr>
            <w:r>
              <w:rPr>
                <w:rFonts w:eastAsia="Arial" w:cs="Arial"/>
                <w:color w:val="FFFFFF"/>
                <w:sz w:val="18"/>
                <w:szCs w:val="18"/>
              </w:rPr>
              <w:t>LegalTech Investment in 2024</w:t>
            </w:r>
          </w:p>
        </w:tc>
        <w:tc>
          <w:tcPr>
            <w:tcW w:w="3120" w:type="dxa"/>
            <w:tcBorders/>
            <w:shd w:fill="C9A84C" w:val="clear"/>
          </w:tcPr>
          <w:p>
            <w:pPr>
              <w:pStyle w:val="Normal"/>
              <w:spacing w:before="0" w:after="40"/>
              <w:jc w:val="center"/>
              <w:rPr/>
            </w:pPr>
            <w:r>
              <w:rPr>
                <w:rFonts w:eastAsia="Arial" w:cs="Arial"/>
                <w:b/>
                <w:bCs/>
                <w:color w:val="FFFFFF"/>
                <w:sz w:val="40"/>
                <w:szCs w:val="40"/>
              </w:rPr>
              <w:t>6x</w:t>
            </w:r>
          </w:p>
          <w:p>
            <w:pPr>
              <w:pStyle w:val="Normal"/>
              <w:spacing w:before="0" w:after="0"/>
              <w:jc w:val="center"/>
              <w:rPr/>
            </w:pPr>
            <w:r>
              <w:rPr>
                <w:rFonts w:eastAsia="Arial" w:cs="Arial"/>
                <w:color w:val="FFFFFF"/>
                <w:sz w:val="18"/>
                <w:szCs w:val="18"/>
              </w:rPr>
              <w:t>Growth in Legal Tech Entities (Arizona 2022–2025)</w:t>
            </w:r>
          </w:p>
        </w:tc>
      </w:tr>
    </w:tbl>
    <w:p>
      <w:pPr>
        <w:pStyle w:val="Normal"/>
        <w:spacing w:before="160" w:after="0"/>
        <w:rPr/>
      </w:pPr>
      <w:r>
        <w:rPr/>
      </w:r>
    </w:p>
    <w:p>
      <w:pPr>
        <w:pStyle w:val="Heading2"/>
        <w:spacing w:before="300" w:after="120"/>
        <w:rPr/>
      </w:pPr>
      <w:r>
        <w:rPr>
          <w:rFonts w:eastAsia="Arial" w:cs="Arial" w:ascii="Arial" w:hAnsi="Arial"/>
          <w:b/>
          <w:bCs/>
          <w:color w:val="0D7377"/>
          <w:sz w:val="26"/>
          <w:szCs w:val="26"/>
        </w:rPr>
        <w:t>8.2 Kenya's Ready Digital Infrastructure</w:t>
      </w:r>
    </w:p>
    <w:p>
      <w:pPr>
        <w:pStyle w:val="Normal"/>
        <w:spacing w:lineRule="exact" w:line="320" w:before="80" w:after="80"/>
        <w:rPr/>
      </w:pPr>
      <w:r>
        <w:rPr>
          <w:rFonts w:eastAsia="Arial" w:cs="Arial"/>
          <w:color w:val="1C1C1C"/>
          <w:sz w:val="22"/>
          <w:szCs w:val="22"/>
        </w:rPr>
        <w:t>Kenya is the ideal launch market, offering a unique combination of factors:</w:t>
      </w:r>
    </w:p>
    <w:p>
      <w:pPr>
        <w:pStyle w:val="Normal"/>
        <w:spacing w:before="80" w:after="0"/>
        <w:rPr/>
      </w:pPr>
      <w:r>
        <w:rPr/>
      </w:r>
    </w:p>
    <w:p>
      <w:pPr>
        <w:pStyle w:val="ListParagraph"/>
        <w:numPr>
          <w:ilvl w:val="0"/>
          <w:numId w:val="1"/>
        </w:numPr>
        <w:spacing w:lineRule="exact" w:line="300" w:before="60" w:after="60"/>
        <w:rPr/>
      </w:pPr>
      <w:r>
        <w:rPr>
          <w:rFonts w:eastAsia="Arial" w:cs="Arial"/>
          <w:b/>
          <w:bCs/>
          <w:color w:val="1A3A5C"/>
          <w:sz w:val="21"/>
          <w:szCs w:val="21"/>
        </w:rPr>
        <w:t xml:space="preserve">Mobile-First Economy: </w:t>
      </w:r>
      <w:r>
        <w:rPr>
          <w:rFonts w:eastAsia="Arial" w:cs="Arial"/>
          <w:color w:val="1C1C1C"/>
          <w:sz w:val="21"/>
          <w:szCs w:val="21"/>
        </w:rPr>
        <w:t>93%+ mobile penetration; M-Pesa enables instant digital payments for legal credits</w:t>
      </w:r>
    </w:p>
    <w:p>
      <w:pPr>
        <w:pStyle w:val="ListParagraph"/>
        <w:numPr>
          <w:ilvl w:val="0"/>
          <w:numId w:val="1"/>
        </w:numPr>
        <w:spacing w:lineRule="exact" w:line="300" w:before="60" w:after="60"/>
        <w:rPr/>
      </w:pPr>
      <w:r>
        <w:rPr>
          <w:rFonts w:eastAsia="Arial" w:cs="Arial"/>
          <w:b/>
          <w:bCs/>
          <w:color w:val="1A3A5C"/>
          <w:sz w:val="21"/>
          <w:szCs w:val="21"/>
        </w:rPr>
        <w:t xml:space="preserve">Judiciary Digitization: </w:t>
      </w:r>
      <w:r>
        <w:rPr>
          <w:rFonts w:eastAsia="Arial" w:cs="Arial"/>
          <w:color w:val="1C1C1C"/>
          <w:sz w:val="21"/>
          <w:szCs w:val="21"/>
        </w:rPr>
        <w:t>By July 2024, all Kenyan courts went fully paperless  creating the digital rails this platform needs</w:t>
      </w:r>
    </w:p>
    <w:p>
      <w:pPr>
        <w:pStyle w:val="ListParagraph"/>
        <w:numPr>
          <w:ilvl w:val="0"/>
          <w:numId w:val="1"/>
        </w:numPr>
        <w:spacing w:lineRule="exact" w:line="300" w:before="60" w:after="60"/>
        <w:rPr/>
      </w:pPr>
      <w:r>
        <w:rPr>
          <w:rFonts w:eastAsia="Arial" w:cs="Arial"/>
          <w:b/>
          <w:bCs/>
          <w:color w:val="1A3A5C"/>
          <w:sz w:val="21"/>
          <w:szCs w:val="21"/>
        </w:rPr>
        <w:t xml:space="preserve">E-Judiciary App: </w:t>
      </w:r>
      <w:r>
        <w:rPr>
          <w:rFonts w:eastAsia="Arial" w:cs="Arial"/>
          <w:color w:val="1C1C1C"/>
          <w:sz w:val="21"/>
          <w:szCs w:val="21"/>
        </w:rPr>
        <w:t>Over 5,000 downloads in prototype phase; clear public appetite for digital justice tools</w:t>
      </w:r>
    </w:p>
    <w:p>
      <w:pPr>
        <w:pStyle w:val="ListParagraph"/>
        <w:numPr>
          <w:ilvl w:val="0"/>
          <w:numId w:val="1"/>
        </w:numPr>
        <w:spacing w:lineRule="exact" w:line="300" w:before="60" w:after="60"/>
        <w:rPr/>
      </w:pPr>
      <w:r>
        <w:rPr>
          <w:rFonts w:eastAsia="Arial" w:cs="Arial"/>
          <w:b/>
          <w:bCs/>
          <w:color w:val="1A3A5C"/>
          <w:sz w:val="21"/>
          <w:szCs w:val="21"/>
        </w:rPr>
        <w:t xml:space="preserve">Developer Ecosystem: </w:t>
      </w:r>
      <w:r>
        <w:rPr>
          <w:rFonts w:eastAsia="Arial" w:cs="Arial"/>
          <w:color w:val="1C1C1C"/>
          <w:sz w:val="21"/>
          <w:szCs w:val="21"/>
        </w:rPr>
        <w:t>Nairobi's 'Silicon Savannah' provides a deep talent pool for platform development</w:t>
      </w:r>
    </w:p>
    <w:p>
      <w:pPr>
        <w:pStyle w:val="ListParagraph"/>
        <w:numPr>
          <w:ilvl w:val="0"/>
          <w:numId w:val="1"/>
        </w:numPr>
        <w:spacing w:lineRule="exact" w:line="300" w:before="60" w:after="60"/>
        <w:rPr/>
      </w:pPr>
      <w:r>
        <w:rPr>
          <w:rFonts w:eastAsia="Arial" w:cs="Arial"/>
          <w:b/>
          <w:bCs/>
          <w:color w:val="1A3A5C"/>
          <w:sz w:val="21"/>
          <w:szCs w:val="21"/>
        </w:rPr>
        <w:t xml:space="preserve">Strong Legal Framework: </w:t>
      </w:r>
      <w:r>
        <w:rPr>
          <w:rFonts w:eastAsia="Arial" w:cs="Arial"/>
          <w:color w:val="1C1C1C"/>
          <w:sz w:val="21"/>
          <w:szCs w:val="21"/>
        </w:rPr>
        <w:t>2010 Constitution's Bill of Rights creates clear, enforceable rights for the platform to champion</w:t>
      </w:r>
    </w:p>
    <w:p>
      <w:pPr>
        <w:pStyle w:val="Normal"/>
        <w:spacing w:before="160" w:after="0"/>
        <w:rPr/>
      </w:pPr>
      <w:r>
        <w:rPr/>
      </w:r>
    </w:p>
    <w:p>
      <w:pPr>
        <w:pStyle w:val="Heading2"/>
        <w:spacing w:before="300" w:after="120"/>
        <w:rPr/>
      </w:pPr>
      <w:r>
        <w:rPr>
          <w:rFonts w:eastAsia="Arial" w:cs="Arial" w:ascii="Arial" w:hAnsi="Arial"/>
          <w:b/>
          <w:bCs/>
          <w:color w:val="0D7377"/>
          <w:sz w:val="26"/>
          <w:szCs w:val="26"/>
        </w:rPr>
        <w:t>8.3 Competitive Differentiation</w:t>
      </w:r>
    </w:p>
    <w:tbl>
      <w:tblPr>
        <w:tblW w:w="9360" w:type="dxa"/>
        <w:jc w:val="left"/>
        <w:tblInd w:w="0" w:type="dxa"/>
        <w:tblLayout w:type="fixed"/>
        <w:tblCellMar>
          <w:top w:w="100" w:type="dxa"/>
          <w:left w:w="120" w:type="dxa"/>
          <w:bottom w:w="100" w:type="dxa"/>
          <w:right w:w="120" w:type="dxa"/>
        </w:tblCellMar>
      </w:tblPr>
      <w:tblGrid>
        <w:gridCol w:w="2999"/>
        <w:gridCol w:w="3181"/>
        <w:gridCol w:w="3180"/>
      </w:tblGrid>
      <w:tr>
        <w:trPr>
          <w:tblHeader w:val="true"/>
        </w:trPr>
        <w:tc>
          <w:tcPr>
            <w:tcW w:w="2999" w:type="dxa"/>
            <w:tcBorders/>
            <w:shd w:fill="1A3A5C" w:val="clear"/>
          </w:tcPr>
          <w:p>
            <w:pPr>
              <w:pStyle w:val="Normal"/>
              <w:rPr/>
            </w:pPr>
            <w:r>
              <w:rPr>
                <w:rFonts w:eastAsia="Arial" w:cs="Arial"/>
                <w:b/>
                <w:bCs/>
                <w:color w:val="FFFFFF"/>
                <w:sz w:val="20"/>
                <w:szCs w:val="20"/>
              </w:rPr>
              <w:t>Feature</w:t>
            </w:r>
          </w:p>
        </w:tc>
        <w:tc>
          <w:tcPr>
            <w:tcW w:w="3181" w:type="dxa"/>
            <w:tcBorders/>
            <w:shd w:fill="5A5A5A" w:val="clear"/>
          </w:tcPr>
          <w:p>
            <w:pPr>
              <w:pStyle w:val="Normal"/>
              <w:rPr/>
            </w:pPr>
            <w:r>
              <w:rPr>
                <w:rFonts w:eastAsia="Arial" w:cs="Arial"/>
                <w:b/>
                <w:bCs/>
                <w:color w:val="FFFFFF"/>
                <w:sz w:val="20"/>
                <w:szCs w:val="20"/>
              </w:rPr>
              <w:t>Existing Solutions</w:t>
            </w:r>
          </w:p>
        </w:tc>
        <w:tc>
          <w:tcPr>
            <w:tcW w:w="3180" w:type="dxa"/>
            <w:tcBorders/>
            <w:shd w:fill="0D7377" w:val="clear"/>
          </w:tcPr>
          <w:p>
            <w:pPr>
              <w:pStyle w:val="Normal"/>
              <w:rPr/>
            </w:pPr>
            <w:r>
              <w:rPr>
                <w:rFonts w:eastAsia="Arial" w:cs="Arial"/>
                <w:b/>
                <w:bCs/>
                <w:color w:val="FFFFFF"/>
                <w:sz w:val="20"/>
                <w:szCs w:val="20"/>
              </w:rPr>
              <w:t>Our Platform</w:t>
            </w:r>
          </w:p>
        </w:tc>
      </w:tr>
      <w:tr>
        <w:trPr/>
        <w:tc>
          <w:tcPr>
            <w:tcW w:w="299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
              <w:rPr/>
            </w:pPr>
            <w:r>
              <w:rPr>
                <w:rFonts w:eastAsia="Arial" w:cs="Arial"/>
                <w:b/>
                <w:bCs/>
                <w:color w:val="1A3A5C"/>
                <w:sz w:val="20"/>
                <w:szCs w:val="20"/>
              </w:rPr>
              <w:t>Citizen Education</w:t>
            </w:r>
          </w:p>
        </w:tc>
        <w:tc>
          <w:tcPr>
            <w:tcW w:w="318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
              <w:rPr/>
            </w:pPr>
            <w:r>
              <w:rPr>
                <w:rFonts w:eastAsia="Arial" w:cs="Arial"/>
                <w:color w:val="5A5A5A"/>
                <w:sz w:val="20"/>
                <w:szCs w:val="20"/>
              </w:rPr>
              <w:t>None / Basic websites</w:t>
            </w:r>
          </w:p>
        </w:tc>
        <w:tc>
          <w:tcPr>
            <w:tcW w:w="3180" w:type="dxa"/>
            <w:tcBorders>
              <w:top w:val="single" w:sz="4" w:space="0" w:color="CCCCCC"/>
              <w:left w:val="single" w:sz="4" w:space="0" w:color="CCCCCC"/>
              <w:bottom w:val="single" w:sz="4" w:space="0" w:color="CCCCCC"/>
              <w:right w:val="single" w:sz="4" w:space="0" w:color="CCCCCC"/>
            </w:tcBorders>
            <w:shd w:fill="E8F8F4" w:val="clear"/>
            <w:tcMar>
              <w:top w:w="80" w:type="dxa"/>
              <w:bottom w:w="80" w:type="dxa"/>
            </w:tcMar>
          </w:tcPr>
          <w:p>
            <w:pPr>
              <w:pStyle w:val="Normal"/>
              <w:rPr/>
            </w:pPr>
            <w:r>
              <w:rPr>
                <w:rFonts w:eastAsia="Arial" w:cs="Arial"/>
                <w:b/>
                <w:bCs/>
                <w:color w:val="1B6B3A"/>
                <w:sz w:val="20"/>
                <w:szCs w:val="20"/>
              </w:rPr>
              <w:t>AI-powered, multilingual, situation-specific</w:t>
            </w:r>
          </w:p>
        </w:tc>
      </w:tr>
      <w:tr>
        <w:trPr/>
        <w:tc>
          <w:tcPr>
            <w:tcW w:w="299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
              <w:rPr/>
            </w:pPr>
            <w:r>
              <w:rPr>
                <w:rFonts w:eastAsia="Arial" w:cs="Arial"/>
                <w:b/>
                <w:bCs/>
                <w:color w:val="1A3A5C"/>
                <w:sz w:val="20"/>
                <w:szCs w:val="20"/>
              </w:rPr>
              <w:t>Lawyer Connection</w:t>
            </w:r>
          </w:p>
        </w:tc>
        <w:tc>
          <w:tcPr>
            <w:tcW w:w="318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
              <w:rPr/>
            </w:pPr>
            <w:r>
              <w:rPr>
                <w:rFonts w:eastAsia="Arial" w:cs="Arial"/>
                <w:color w:val="5A5A5A"/>
                <w:sz w:val="20"/>
                <w:szCs w:val="20"/>
              </w:rPr>
              <w:t>Yellow pages / referrals</w:t>
            </w:r>
          </w:p>
        </w:tc>
        <w:tc>
          <w:tcPr>
            <w:tcW w:w="3180" w:type="dxa"/>
            <w:tcBorders>
              <w:top w:val="single" w:sz="4" w:space="0" w:color="CCCCCC"/>
              <w:left w:val="single" w:sz="4" w:space="0" w:color="CCCCCC"/>
              <w:bottom w:val="single" w:sz="4" w:space="0" w:color="CCCCCC"/>
              <w:right w:val="single" w:sz="4" w:space="0" w:color="CCCCCC"/>
            </w:tcBorders>
            <w:shd w:fill="E8F8F4" w:val="clear"/>
            <w:tcMar>
              <w:top w:w="80" w:type="dxa"/>
              <w:bottom w:w="80" w:type="dxa"/>
            </w:tcMar>
          </w:tcPr>
          <w:p>
            <w:pPr>
              <w:pStyle w:val="Normal"/>
              <w:rPr/>
            </w:pPr>
            <w:r>
              <w:rPr>
                <w:rFonts w:eastAsia="Arial" w:cs="Arial"/>
                <w:b/>
                <w:bCs/>
                <w:color w:val="1B6B3A"/>
                <w:sz w:val="20"/>
                <w:szCs w:val="20"/>
              </w:rPr>
              <w:t>Verified marketplace with reputation scores</w:t>
            </w:r>
          </w:p>
        </w:tc>
      </w:tr>
      <w:tr>
        <w:trPr/>
        <w:tc>
          <w:tcPr>
            <w:tcW w:w="299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
              <w:rPr/>
            </w:pPr>
            <w:r>
              <w:rPr>
                <w:rFonts w:eastAsia="Arial" w:cs="Arial"/>
                <w:b/>
                <w:bCs/>
                <w:color w:val="1A3A5C"/>
                <w:sz w:val="20"/>
                <w:szCs w:val="20"/>
              </w:rPr>
              <w:t>Payment Model</w:t>
            </w:r>
          </w:p>
        </w:tc>
        <w:tc>
          <w:tcPr>
            <w:tcW w:w="318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
              <w:rPr/>
            </w:pPr>
            <w:r>
              <w:rPr>
                <w:rFonts w:eastAsia="Arial" w:cs="Arial"/>
                <w:color w:val="5A5A5A"/>
                <w:sz w:val="20"/>
                <w:szCs w:val="20"/>
              </w:rPr>
              <w:t>Full upfront fees</w:t>
            </w:r>
          </w:p>
        </w:tc>
        <w:tc>
          <w:tcPr>
            <w:tcW w:w="3180" w:type="dxa"/>
            <w:tcBorders>
              <w:top w:val="single" w:sz="4" w:space="0" w:color="CCCCCC"/>
              <w:left w:val="single" w:sz="4" w:space="0" w:color="CCCCCC"/>
              <w:bottom w:val="single" w:sz="4" w:space="0" w:color="CCCCCC"/>
              <w:right w:val="single" w:sz="4" w:space="0" w:color="CCCCCC"/>
            </w:tcBorders>
            <w:shd w:fill="E8F8F4" w:val="clear"/>
            <w:tcMar>
              <w:top w:w="80" w:type="dxa"/>
              <w:bottom w:w="80" w:type="dxa"/>
            </w:tcMar>
          </w:tcPr>
          <w:p>
            <w:pPr>
              <w:pStyle w:val="Normal"/>
              <w:rPr/>
            </w:pPr>
            <w:r>
              <w:rPr>
                <w:rFonts w:eastAsia="Arial" w:cs="Arial"/>
                <w:b/>
                <w:bCs/>
                <w:color w:val="1B6B3A"/>
                <w:sz w:val="20"/>
                <w:szCs w:val="20"/>
              </w:rPr>
              <w:t>Credits + phased installments + escrow</w:t>
            </w:r>
          </w:p>
        </w:tc>
      </w:tr>
      <w:tr>
        <w:trPr/>
        <w:tc>
          <w:tcPr>
            <w:tcW w:w="299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
              <w:rPr/>
            </w:pPr>
            <w:r>
              <w:rPr>
                <w:rFonts w:eastAsia="Arial" w:cs="Arial"/>
                <w:b/>
                <w:bCs/>
                <w:color w:val="1A3A5C"/>
                <w:sz w:val="20"/>
                <w:szCs w:val="20"/>
              </w:rPr>
              <w:t>Court Integration</w:t>
            </w:r>
          </w:p>
        </w:tc>
        <w:tc>
          <w:tcPr>
            <w:tcW w:w="318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
              <w:rPr/>
            </w:pPr>
            <w:r>
              <w:rPr>
                <w:rFonts w:eastAsia="Arial" w:cs="Arial"/>
                <w:color w:val="5A5A5A"/>
                <w:sz w:val="20"/>
                <w:szCs w:val="20"/>
              </w:rPr>
              <w:t>Separate systems</w:t>
            </w:r>
          </w:p>
        </w:tc>
        <w:tc>
          <w:tcPr>
            <w:tcW w:w="3180" w:type="dxa"/>
            <w:tcBorders>
              <w:top w:val="single" w:sz="4" w:space="0" w:color="CCCCCC"/>
              <w:left w:val="single" w:sz="4" w:space="0" w:color="CCCCCC"/>
              <w:bottom w:val="single" w:sz="4" w:space="0" w:color="CCCCCC"/>
              <w:right w:val="single" w:sz="4" w:space="0" w:color="CCCCCC"/>
            </w:tcBorders>
            <w:shd w:fill="E8F8F4" w:val="clear"/>
            <w:tcMar>
              <w:top w:w="80" w:type="dxa"/>
              <w:bottom w:w="80" w:type="dxa"/>
            </w:tcMar>
          </w:tcPr>
          <w:p>
            <w:pPr>
              <w:pStyle w:val="Normal"/>
              <w:rPr/>
            </w:pPr>
            <w:r>
              <w:rPr>
                <w:rFonts w:eastAsia="Arial" w:cs="Arial"/>
                <w:b/>
                <w:bCs/>
                <w:color w:val="1B6B3A"/>
                <w:sz w:val="20"/>
                <w:szCs w:val="20"/>
              </w:rPr>
              <w:t>Fully integrated with JICMS and e-filing</w:t>
            </w:r>
          </w:p>
        </w:tc>
      </w:tr>
      <w:tr>
        <w:trPr/>
        <w:tc>
          <w:tcPr>
            <w:tcW w:w="299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
              <w:rPr/>
            </w:pPr>
            <w:r>
              <w:rPr>
                <w:rFonts w:eastAsia="Arial" w:cs="Arial"/>
                <w:b/>
                <w:bCs/>
                <w:color w:val="1A3A5C"/>
                <w:sz w:val="20"/>
                <w:szCs w:val="20"/>
              </w:rPr>
              <w:t>Evidence Management</w:t>
            </w:r>
          </w:p>
        </w:tc>
        <w:tc>
          <w:tcPr>
            <w:tcW w:w="318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
              <w:rPr/>
            </w:pPr>
            <w:r>
              <w:rPr>
                <w:rFonts w:eastAsia="Arial" w:cs="Arial"/>
                <w:color w:val="5A5A5A"/>
                <w:sz w:val="20"/>
                <w:szCs w:val="20"/>
              </w:rPr>
              <w:t>Physical / email</w:t>
            </w:r>
          </w:p>
        </w:tc>
        <w:tc>
          <w:tcPr>
            <w:tcW w:w="3180" w:type="dxa"/>
            <w:tcBorders>
              <w:top w:val="single" w:sz="4" w:space="0" w:color="CCCCCC"/>
              <w:left w:val="single" w:sz="4" w:space="0" w:color="CCCCCC"/>
              <w:bottom w:val="single" w:sz="4" w:space="0" w:color="CCCCCC"/>
              <w:right w:val="single" w:sz="4" w:space="0" w:color="CCCCCC"/>
            </w:tcBorders>
            <w:shd w:fill="E8F8F4" w:val="clear"/>
            <w:tcMar>
              <w:top w:w="80" w:type="dxa"/>
              <w:bottom w:w="80" w:type="dxa"/>
            </w:tcMar>
          </w:tcPr>
          <w:p>
            <w:pPr>
              <w:pStyle w:val="Normal"/>
              <w:rPr/>
            </w:pPr>
            <w:r>
              <w:rPr>
                <w:rFonts w:eastAsia="Arial" w:cs="Arial"/>
                <w:b/>
                <w:bCs/>
                <w:color w:val="1B6B3A"/>
                <w:sz w:val="20"/>
                <w:szCs w:val="20"/>
              </w:rPr>
              <w:t>Encrypted vault with blockchain audit trail</w:t>
            </w:r>
          </w:p>
        </w:tc>
      </w:tr>
      <w:tr>
        <w:trPr/>
        <w:tc>
          <w:tcPr>
            <w:tcW w:w="299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
              <w:rPr/>
            </w:pPr>
            <w:r>
              <w:rPr>
                <w:rFonts w:eastAsia="Arial" w:cs="Arial"/>
                <w:b/>
                <w:bCs/>
                <w:color w:val="1A3A5C"/>
                <w:sz w:val="20"/>
                <w:szCs w:val="20"/>
              </w:rPr>
              <w:t>AI Assistance</w:t>
            </w:r>
          </w:p>
        </w:tc>
        <w:tc>
          <w:tcPr>
            <w:tcW w:w="318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
              <w:rPr/>
            </w:pPr>
            <w:r>
              <w:rPr>
                <w:rFonts w:eastAsia="Arial" w:cs="Arial"/>
                <w:color w:val="5A5A5A"/>
                <w:sz w:val="20"/>
                <w:szCs w:val="20"/>
              </w:rPr>
              <w:t>Generic chatbots</w:t>
            </w:r>
          </w:p>
        </w:tc>
        <w:tc>
          <w:tcPr>
            <w:tcW w:w="3180" w:type="dxa"/>
            <w:tcBorders>
              <w:top w:val="single" w:sz="4" w:space="0" w:color="CCCCCC"/>
              <w:left w:val="single" w:sz="4" w:space="0" w:color="CCCCCC"/>
              <w:bottom w:val="single" w:sz="4" w:space="0" w:color="CCCCCC"/>
              <w:right w:val="single" w:sz="4" w:space="0" w:color="CCCCCC"/>
            </w:tcBorders>
            <w:shd w:fill="E8F8F4" w:val="clear"/>
            <w:tcMar>
              <w:top w:w="80" w:type="dxa"/>
              <w:bottom w:w="80" w:type="dxa"/>
            </w:tcMar>
          </w:tcPr>
          <w:p>
            <w:pPr>
              <w:pStyle w:val="Normal"/>
              <w:rPr/>
            </w:pPr>
            <w:r>
              <w:rPr>
                <w:rFonts w:eastAsia="Arial" w:cs="Arial"/>
                <w:b/>
                <w:bCs/>
                <w:color w:val="1B6B3A"/>
                <w:sz w:val="20"/>
                <w:szCs w:val="20"/>
              </w:rPr>
              <w:t>Jurisdiction-specific legal AI with case prediction</w:t>
            </w:r>
          </w:p>
        </w:tc>
      </w:tr>
      <w:tr>
        <w:trPr/>
        <w:tc>
          <w:tcPr>
            <w:tcW w:w="299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
              <w:rPr/>
            </w:pPr>
            <w:r>
              <w:rPr>
                <w:rFonts w:eastAsia="Arial" w:cs="Arial"/>
                <w:b/>
                <w:bCs/>
                <w:color w:val="1A3A5C"/>
                <w:sz w:val="20"/>
                <w:szCs w:val="20"/>
              </w:rPr>
              <w:t>Emergency Access</w:t>
            </w:r>
          </w:p>
        </w:tc>
        <w:tc>
          <w:tcPr>
            <w:tcW w:w="318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
              <w:rPr/>
            </w:pPr>
            <w:r>
              <w:rPr>
                <w:rFonts w:eastAsia="Arial" w:cs="Arial"/>
                <w:color w:val="5A5A5A"/>
                <w:sz w:val="20"/>
                <w:szCs w:val="20"/>
              </w:rPr>
              <w:t>None</w:t>
            </w:r>
          </w:p>
        </w:tc>
        <w:tc>
          <w:tcPr>
            <w:tcW w:w="3180" w:type="dxa"/>
            <w:tcBorders>
              <w:top w:val="single" w:sz="4" w:space="0" w:color="CCCCCC"/>
              <w:left w:val="single" w:sz="4" w:space="0" w:color="CCCCCC"/>
              <w:bottom w:val="single" w:sz="4" w:space="0" w:color="CCCCCC"/>
              <w:right w:val="single" w:sz="4" w:space="0" w:color="CCCCCC"/>
            </w:tcBorders>
            <w:shd w:fill="E8F8F4" w:val="clear"/>
            <w:tcMar>
              <w:top w:w="80" w:type="dxa"/>
              <w:bottom w:w="80" w:type="dxa"/>
            </w:tcMar>
          </w:tcPr>
          <w:p>
            <w:pPr>
              <w:pStyle w:val="Normal"/>
              <w:rPr/>
            </w:pPr>
            <w:r>
              <w:rPr>
                <w:rFonts w:eastAsia="Arial" w:cs="Arial"/>
                <w:b/>
                <w:bCs/>
                <w:color w:val="1B6B3A"/>
                <w:sz w:val="20"/>
                <w:szCs w:val="20"/>
              </w:rPr>
              <w:t>One-tap emergency legal + police notification</w:t>
            </w:r>
          </w:p>
        </w:tc>
      </w:tr>
      <w:tr>
        <w:trPr/>
        <w:tc>
          <w:tcPr>
            <w:tcW w:w="2999" w:type="dxa"/>
            <w:tcBorders>
              <w:top w:val="single" w:sz="4" w:space="0" w:color="CCCCCC"/>
              <w:left w:val="single" w:sz="4" w:space="0" w:color="CCCCCC"/>
              <w:bottom w:val="single" w:sz="4" w:space="0" w:color="CCCCCC"/>
              <w:right w:val="single" w:sz="4" w:space="0" w:color="CCCCCC"/>
            </w:tcBorders>
            <w:shd w:fill="F5F5F5" w:val="clear"/>
            <w:tcMar>
              <w:top w:w="80" w:type="dxa"/>
              <w:bottom w:w="80" w:type="dxa"/>
            </w:tcMar>
          </w:tcPr>
          <w:p>
            <w:pPr>
              <w:pStyle w:val="Normal"/>
              <w:rPr/>
            </w:pPr>
            <w:r>
              <w:rPr>
                <w:rFonts w:eastAsia="Arial" w:cs="Arial"/>
                <w:b/>
                <w:bCs/>
                <w:color w:val="1A3A5C"/>
                <w:sz w:val="20"/>
                <w:szCs w:val="20"/>
              </w:rPr>
              <w:t>Global Scope</w:t>
            </w:r>
          </w:p>
        </w:tc>
        <w:tc>
          <w:tcPr>
            <w:tcW w:w="3181" w:type="dxa"/>
            <w:tcBorders>
              <w:top w:val="single" w:sz="4" w:space="0" w:color="CCCCCC"/>
              <w:left w:val="single" w:sz="4" w:space="0" w:color="CCCCCC"/>
              <w:bottom w:val="single" w:sz="4" w:space="0" w:color="CCCCCC"/>
              <w:right w:val="single" w:sz="4" w:space="0" w:color="CCCCCC"/>
            </w:tcBorders>
            <w:shd w:fill="FFFFFF" w:val="clear"/>
            <w:tcMar>
              <w:top w:w="80" w:type="dxa"/>
              <w:bottom w:w="80" w:type="dxa"/>
            </w:tcMar>
          </w:tcPr>
          <w:p>
            <w:pPr>
              <w:pStyle w:val="Normal"/>
              <w:rPr/>
            </w:pPr>
            <w:r>
              <w:rPr>
                <w:rFonts w:eastAsia="Arial" w:cs="Arial"/>
                <w:color w:val="5A5A5A"/>
                <w:sz w:val="20"/>
                <w:szCs w:val="20"/>
              </w:rPr>
              <w:t>Single country</w:t>
            </w:r>
          </w:p>
        </w:tc>
        <w:tc>
          <w:tcPr>
            <w:tcW w:w="3180" w:type="dxa"/>
            <w:tcBorders>
              <w:top w:val="single" w:sz="4" w:space="0" w:color="CCCCCC"/>
              <w:left w:val="single" w:sz="4" w:space="0" w:color="CCCCCC"/>
              <w:bottom w:val="single" w:sz="4" w:space="0" w:color="CCCCCC"/>
              <w:right w:val="single" w:sz="4" w:space="0" w:color="CCCCCC"/>
            </w:tcBorders>
            <w:shd w:fill="E8F8F4" w:val="clear"/>
            <w:tcMar>
              <w:top w:w="80" w:type="dxa"/>
              <w:bottom w:w="80" w:type="dxa"/>
            </w:tcMar>
          </w:tcPr>
          <w:p>
            <w:pPr>
              <w:pStyle w:val="Normal"/>
              <w:rPr/>
            </w:pPr>
            <w:r>
              <w:rPr>
                <w:rFonts w:eastAsia="Arial" w:cs="Arial"/>
                <w:b/>
                <w:bCs/>
                <w:color w:val="1B6B3A"/>
                <w:sz w:val="20"/>
                <w:szCs w:val="20"/>
              </w:rPr>
              <w:t>Multi-country, expandable legal database</w:t>
            </w:r>
          </w:p>
        </w:tc>
      </w:tr>
    </w:tbl>
    <w:p>
      <w:pPr>
        <w:pStyle w:val="Normal"/>
        <w:pBdr>
          <w:bottom w:val="single" w:sz="4" w:space="1" w:color="CCCCCC"/>
        </w:pBdr>
        <w:spacing w:before="160" w:after="160"/>
        <w:rPr/>
      </w:pPr>
      <w:r>
        <w:rPr/>
      </w:r>
    </w:p>
    <w:p>
      <w:pPr>
        <w:pStyle w:val="Normal"/>
        <w:spacing w:before="0" w:after="0"/>
        <w:rPr/>
      </w:pPr>
      <w:r>
        <w:rPr/>
      </w:r>
      <w:r>
        <w:br w:type="page"/>
      </w:r>
    </w:p>
    <w:p>
      <w:pPr>
        <w:pStyle w:val="Heading1"/>
        <w:pBdr>
          <w:bottom w:val="single" w:sz="8" w:space="4" w:color="C9A84C"/>
        </w:pBdr>
        <w:spacing w:before="0" w:after="160"/>
        <w:rPr/>
      </w:pPr>
      <w:r>
        <w:rPr>
          <w:rFonts w:eastAsia="Arial" w:cs="Arial" w:ascii="Arial" w:hAnsi="Arial"/>
          <w:b/>
          <w:bCs/>
          <w:color w:val="1A3A5C"/>
          <w:sz w:val="34"/>
          <w:szCs w:val="34"/>
        </w:rPr>
        <w:t>9. IMPLEMENTATION ROADMAP</w:t>
      </w:r>
    </w:p>
    <w:p>
      <w:pPr>
        <w:pStyle w:val="Normal"/>
        <w:spacing w:before="80" w:after="0"/>
        <w:rPr/>
      </w:pPr>
      <w:r>
        <w:rPr/>
      </w:r>
    </w:p>
    <w:p>
      <w:pPr>
        <w:pStyle w:val="Heading2"/>
        <w:spacing w:before="300" w:after="120"/>
        <w:rPr/>
      </w:pPr>
      <w:r>
        <w:rPr>
          <w:rFonts w:eastAsia="Arial" w:cs="Arial" w:ascii="Arial" w:hAnsi="Arial"/>
          <w:b/>
          <w:bCs/>
          <w:color w:val="0D7377"/>
          <w:sz w:val="26"/>
          <w:szCs w:val="26"/>
        </w:rPr>
        <w:t>Phase 1 — Foundation (Months 1–</w:t>
      </w:r>
      <w:r>
        <w:rPr>
          <w:rFonts w:eastAsia="Arial" w:cs="Arial" w:ascii="Arial" w:hAnsi="Arial"/>
          <w:b/>
          <w:bCs/>
          <w:color w:val="0D7377"/>
          <w:sz w:val="26"/>
          <w:szCs w:val="26"/>
        </w:rPr>
        <w:t>3</w:t>
      </w:r>
      <w:r>
        <w:rPr>
          <w:rFonts w:eastAsia="Arial" w:cs="Arial" w:ascii="Arial" w:hAnsi="Arial"/>
          <w:b/>
          <w:bCs/>
          <w:color w:val="0D7377"/>
          <w:sz w:val="26"/>
          <w:szCs w:val="26"/>
        </w:rPr>
        <w:t>)</w:t>
      </w:r>
    </w:p>
    <w:p>
      <w:pPr>
        <w:pStyle w:val="Normal"/>
        <w:spacing w:lineRule="exact" w:line="320" w:before="80" w:after="80"/>
        <w:rPr/>
      </w:pPr>
      <w:r>
        <w:rPr>
          <w:rFonts w:eastAsia="Arial" w:cs="Arial"/>
          <w:color w:val="1C1C1C"/>
          <w:sz w:val="22"/>
          <w:szCs w:val="22"/>
        </w:rPr>
        <w:t>Build the core platform infrastructure and launch in Nairobi with a controlled pilot:</w:t>
      </w:r>
    </w:p>
    <w:p>
      <w:pPr>
        <w:pStyle w:val="Normal"/>
        <w:spacing w:before="80" w:after="0"/>
        <w:rPr/>
      </w:pPr>
      <w:r>
        <w:rPr/>
      </w:r>
    </w:p>
    <w:p>
      <w:pPr>
        <w:pStyle w:val="ListParagraph"/>
        <w:numPr>
          <w:ilvl w:val="0"/>
          <w:numId w:val="1"/>
        </w:numPr>
        <w:spacing w:lineRule="exact" w:line="300" w:before="60" w:after="60"/>
        <w:rPr/>
      </w:pPr>
      <w:r>
        <w:rPr>
          <w:rFonts w:eastAsia="Arial" w:cs="Arial"/>
          <w:color w:val="1C1C1C"/>
          <w:sz w:val="21"/>
          <w:szCs w:val="21"/>
        </w:rPr>
        <w:t>Develop the Citizens Module with AI Legal Assistant (Swahili + English)</w:t>
      </w:r>
    </w:p>
    <w:p>
      <w:pPr>
        <w:pStyle w:val="ListParagraph"/>
        <w:numPr>
          <w:ilvl w:val="0"/>
          <w:numId w:val="1"/>
        </w:numPr>
        <w:spacing w:lineRule="exact" w:line="300" w:before="60" w:after="60"/>
        <w:rPr/>
      </w:pPr>
      <w:r>
        <w:rPr>
          <w:rFonts w:eastAsia="Arial" w:cs="Arial"/>
          <w:color w:val="1C1C1C"/>
          <w:sz w:val="21"/>
          <w:szCs w:val="21"/>
        </w:rPr>
        <w:t>Build and verify the Kenya Legal Database (Constitution, key statutes, 10 years of case law)</w:t>
      </w:r>
    </w:p>
    <w:p>
      <w:pPr>
        <w:pStyle w:val="ListParagraph"/>
        <w:numPr>
          <w:ilvl w:val="0"/>
          <w:numId w:val="1"/>
        </w:numPr>
        <w:spacing w:lineRule="exact" w:line="300" w:before="60" w:after="60"/>
        <w:rPr/>
      </w:pPr>
      <w:r>
        <w:rPr>
          <w:rFonts w:eastAsia="Arial" w:cs="Arial"/>
          <w:color w:val="1C1C1C"/>
          <w:sz w:val="21"/>
          <w:szCs w:val="21"/>
        </w:rPr>
        <w:t>Integrate with Judiciary JICMS for e-filing and case tracking</w:t>
      </w:r>
    </w:p>
    <w:p>
      <w:pPr>
        <w:pStyle w:val="ListParagraph"/>
        <w:numPr>
          <w:ilvl w:val="0"/>
          <w:numId w:val="1"/>
        </w:numPr>
        <w:spacing w:lineRule="exact" w:line="300" w:before="60" w:after="60"/>
        <w:rPr/>
      </w:pPr>
      <w:r>
        <w:rPr>
          <w:rFonts w:eastAsia="Arial" w:cs="Arial"/>
          <w:color w:val="1C1C1C"/>
          <w:sz w:val="21"/>
          <w:szCs w:val="21"/>
        </w:rPr>
        <w:t>Launch Lawyer Marketplace with Law Society of Kenya verification</w:t>
      </w:r>
    </w:p>
    <w:p>
      <w:pPr>
        <w:pStyle w:val="ListParagraph"/>
        <w:numPr>
          <w:ilvl w:val="0"/>
          <w:numId w:val="1"/>
        </w:numPr>
        <w:spacing w:lineRule="exact" w:line="300" w:before="60" w:after="60"/>
        <w:rPr/>
      </w:pPr>
      <w:r>
        <w:rPr>
          <w:rFonts w:eastAsia="Arial" w:cs="Arial"/>
          <w:color w:val="1C1C1C"/>
          <w:sz w:val="21"/>
          <w:szCs w:val="21"/>
        </w:rPr>
        <w:t>Implement payment system with M-Pesa integration and credit wallet</w:t>
      </w:r>
    </w:p>
    <w:p>
      <w:pPr>
        <w:pStyle w:val="ListParagraph"/>
        <w:numPr>
          <w:ilvl w:val="0"/>
          <w:numId w:val="1"/>
        </w:numPr>
        <w:spacing w:lineRule="exact" w:line="300" w:before="60" w:after="60"/>
        <w:rPr/>
      </w:pPr>
      <w:r>
        <w:rPr>
          <w:rFonts w:eastAsia="Arial" w:cs="Arial"/>
          <w:color w:val="1C1C1C"/>
          <w:sz w:val="21"/>
          <w:szCs w:val="21"/>
        </w:rPr>
        <w:t>Security audit, penetration testing, and Kenya Data Protection Act compliance certification</w:t>
      </w:r>
    </w:p>
    <w:p>
      <w:pPr>
        <w:pStyle w:val="ListParagraph"/>
        <w:numPr>
          <w:ilvl w:val="0"/>
          <w:numId w:val="1"/>
        </w:numPr>
        <w:spacing w:lineRule="exact" w:line="300" w:before="60" w:after="60"/>
        <w:rPr/>
      </w:pPr>
      <w:r>
        <w:rPr>
          <w:rFonts w:eastAsia="Arial" w:cs="Arial"/>
          <w:color w:val="1C1C1C"/>
          <w:sz w:val="21"/>
          <w:szCs w:val="21"/>
        </w:rPr>
        <w:t>Pilot with 500 citizens and 50 lawyers in Nairobi County</w:t>
      </w:r>
    </w:p>
    <w:p>
      <w:pPr>
        <w:pStyle w:val="Normal"/>
        <w:spacing w:before="160" w:after="0"/>
        <w:rPr/>
      </w:pPr>
      <w:r>
        <w:rPr/>
      </w:r>
    </w:p>
    <w:p>
      <w:pPr>
        <w:pStyle w:val="Heading2"/>
        <w:spacing w:before="300" w:after="120"/>
        <w:rPr/>
      </w:pPr>
      <w:r>
        <w:rPr>
          <w:rFonts w:eastAsia="Arial" w:cs="Arial" w:ascii="Arial" w:hAnsi="Arial"/>
          <w:b/>
          <w:bCs/>
          <w:color w:val="0D7377"/>
          <w:sz w:val="26"/>
          <w:szCs w:val="26"/>
        </w:rPr>
        <w:t xml:space="preserve">Phase 2 — Scale (Months </w:t>
      </w:r>
      <w:r>
        <w:rPr>
          <w:rFonts w:eastAsia="Arial" w:cs="Arial" w:ascii="Arial" w:hAnsi="Arial"/>
          <w:b/>
          <w:bCs/>
          <w:color w:val="0D7377"/>
          <w:sz w:val="26"/>
          <w:szCs w:val="26"/>
        </w:rPr>
        <w:t>4</w:t>
      </w:r>
      <w:r>
        <w:rPr>
          <w:rFonts w:eastAsia="Arial" w:cs="Arial" w:ascii="Arial" w:hAnsi="Arial"/>
          <w:b/>
          <w:bCs/>
          <w:color w:val="0D7377"/>
          <w:sz w:val="26"/>
          <w:szCs w:val="26"/>
        </w:rPr>
        <w:t>–1</w:t>
      </w:r>
      <w:r>
        <w:rPr>
          <w:rFonts w:eastAsia="Arial" w:cs="Arial" w:ascii="Arial" w:hAnsi="Arial"/>
          <w:b/>
          <w:bCs/>
          <w:color w:val="0D7377"/>
          <w:sz w:val="26"/>
          <w:szCs w:val="26"/>
        </w:rPr>
        <w:t>2</w:t>
      </w:r>
      <w:r>
        <w:rPr>
          <w:rFonts w:eastAsia="Arial" w:cs="Arial" w:ascii="Arial" w:hAnsi="Arial"/>
          <w:b/>
          <w:bCs/>
          <w:color w:val="0D7377"/>
          <w:sz w:val="26"/>
          <w:szCs w:val="26"/>
        </w:rPr>
        <w:t>)</w:t>
      </w:r>
    </w:p>
    <w:p>
      <w:pPr>
        <w:pStyle w:val="Normal"/>
        <w:spacing w:lineRule="exact" w:line="320" w:before="80" w:after="80"/>
        <w:rPr/>
      </w:pPr>
      <w:r>
        <w:rPr>
          <w:rFonts w:eastAsia="Arial" w:cs="Arial"/>
          <w:color w:val="1C1C1C"/>
          <w:sz w:val="22"/>
          <w:szCs w:val="22"/>
        </w:rPr>
        <w:t>Expand to all 47 Kenya counties and launch core AI features:</w:t>
      </w:r>
    </w:p>
    <w:p>
      <w:pPr>
        <w:pStyle w:val="Normal"/>
        <w:spacing w:before="80" w:after="0"/>
        <w:rPr/>
      </w:pPr>
      <w:r>
        <w:rPr/>
      </w:r>
    </w:p>
    <w:p>
      <w:pPr>
        <w:pStyle w:val="ListParagraph"/>
        <w:numPr>
          <w:ilvl w:val="0"/>
          <w:numId w:val="1"/>
        </w:numPr>
        <w:spacing w:lineRule="exact" w:line="300" w:before="60" w:after="60"/>
        <w:rPr/>
      </w:pPr>
      <w:r>
        <w:rPr>
          <w:rFonts w:eastAsia="Arial" w:cs="Arial"/>
          <w:color w:val="1C1C1C"/>
          <w:sz w:val="21"/>
          <w:szCs w:val="21"/>
        </w:rPr>
        <w:t>Roll out to all 47 counties with multilingual support (Swahili, English + 3 regional languages)</w:t>
      </w:r>
    </w:p>
    <w:p>
      <w:pPr>
        <w:pStyle w:val="ListParagraph"/>
        <w:numPr>
          <w:ilvl w:val="0"/>
          <w:numId w:val="1"/>
        </w:numPr>
        <w:spacing w:lineRule="exact" w:line="300" w:before="60" w:after="60"/>
        <w:rPr/>
      </w:pPr>
      <w:r>
        <w:rPr>
          <w:rFonts w:eastAsia="Arial" w:cs="Arial"/>
          <w:color w:val="1C1C1C"/>
          <w:sz w:val="21"/>
          <w:szCs w:val="21"/>
        </w:rPr>
        <w:t>Launch AI Document Generator (contracts, affidavits, demand letters)</w:t>
      </w:r>
    </w:p>
    <w:p>
      <w:pPr>
        <w:pStyle w:val="ListParagraph"/>
        <w:numPr>
          <w:ilvl w:val="0"/>
          <w:numId w:val="1"/>
        </w:numPr>
        <w:spacing w:lineRule="exact" w:line="300" w:before="60" w:after="60"/>
        <w:rPr/>
      </w:pPr>
      <w:r>
        <w:rPr>
          <w:rFonts w:eastAsia="Arial" w:cs="Arial"/>
          <w:color w:val="1C1C1C"/>
          <w:sz w:val="21"/>
          <w:szCs w:val="21"/>
        </w:rPr>
        <w:t>Integrate with Land Registry, Business Registry, and IPRS</w:t>
      </w:r>
    </w:p>
    <w:p>
      <w:pPr>
        <w:pStyle w:val="ListParagraph"/>
        <w:numPr>
          <w:ilvl w:val="0"/>
          <w:numId w:val="1"/>
        </w:numPr>
        <w:spacing w:lineRule="exact" w:line="300" w:before="60" w:after="60"/>
        <w:rPr/>
      </w:pPr>
      <w:r>
        <w:rPr>
          <w:rFonts w:eastAsia="Arial" w:cs="Arial"/>
          <w:color w:val="1C1C1C"/>
          <w:sz w:val="21"/>
          <w:szCs w:val="21"/>
        </w:rPr>
        <w:t>Launch mobile application (Android + iOS)</w:t>
      </w:r>
    </w:p>
    <w:p>
      <w:pPr>
        <w:pStyle w:val="ListParagraph"/>
        <w:numPr>
          <w:ilvl w:val="0"/>
          <w:numId w:val="1"/>
        </w:numPr>
        <w:spacing w:lineRule="exact" w:line="300" w:before="60" w:after="60"/>
        <w:rPr/>
      </w:pPr>
      <w:r>
        <w:rPr>
          <w:rFonts w:eastAsia="Arial" w:cs="Arial"/>
          <w:color w:val="1C1C1C"/>
          <w:sz w:val="21"/>
          <w:szCs w:val="21"/>
        </w:rPr>
        <w:t>Deploy Emergency Legal Button with police integration</w:t>
      </w:r>
    </w:p>
    <w:p>
      <w:pPr>
        <w:pStyle w:val="ListParagraph"/>
        <w:numPr>
          <w:ilvl w:val="0"/>
          <w:numId w:val="1"/>
        </w:numPr>
        <w:spacing w:lineRule="exact" w:line="300" w:before="60" w:after="60"/>
        <w:rPr/>
      </w:pPr>
      <w:r>
        <w:rPr>
          <w:rFonts w:eastAsia="Arial" w:cs="Arial"/>
          <w:color w:val="1C1C1C"/>
          <w:sz w:val="21"/>
          <w:szCs w:val="21"/>
        </w:rPr>
        <w:t>Launch Legal Analytics Dashboard for Judiciary and government partners</w:t>
      </w:r>
    </w:p>
    <w:p>
      <w:pPr>
        <w:pStyle w:val="ListParagraph"/>
        <w:numPr>
          <w:ilvl w:val="0"/>
          <w:numId w:val="1"/>
        </w:numPr>
        <w:spacing w:lineRule="exact" w:line="300" w:before="60" w:after="60"/>
        <w:rPr/>
      </w:pPr>
      <w:r>
        <w:rPr>
          <w:rFonts w:eastAsia="Arial" w:cs="Arial"/>
          <w:color w:val="1C1C1C"/>
          <w:sz w:val="21"/>
          <w:szCs w:val="21"/>
        </w:rPr>
        <w:t>Target: 50,000 active citizens, 500 lawyers, 1,000 cases filed</w:t>
      </w:r>
    </w:p>
    <w:p>
      <w:pPr>
        <w:pStyle w:val="Normal"/>
        <w:spacing w:before="160" w:after="0"/>
        <w:rPr/>
      </w:pPr>
      <w:r>
        <w:rPr/>
      </w:r>
    </w:p>
    <w:p>
      <w:pPr>
        <w:pStyle w:val="Heading2"/>
        <w:spacing w:before="300" w:after="120"/>
        <w:rPr/>
      </w:pPr>
      <w:r>
        <w:rPr>
          <w:rFonts w:eastAsia="Arial" w:cs="Arial" w:ascii="Arial" w:hAnsi="Arial"/>
          <w:b/>
          <w:bCs/>
          <w:color w:val="0D7377"/>
          <w:sz w:val="26"/>
          <w:szCs w:val="26"/>
        </w:rPr>
        <w:t>Phase 3  Regional Expansion (Months 1</w:t>
      </w:r>
      <w:r>
        <w:rPr>
          <w:rFonts w:eastAsia="Arial" w:cs="Arial" w:ascii="Arial" w:hAnsi="Arial"/>
          <w:b/>
          <w:bCs/>
          <w:color w:val="0D7377"/>
          <w:sz w:val="26"/>
          <w:szCs w:val="26"/>
        </w:rPr>
        <w:t>3</w:t>
      </w:r>
      <w:r>
        <w:rPr>
          <w:rFonts w:eastAsia="Arial" w:cs="Arial" w:ascii="Arial" w:hAnsi="Arial"/>
          <w:b/>
          <w:bCs/>
          <w:color w:val="0D7377"/>
          <w:sz w:val="26"/>
          <w:szCs w:val="26"/>
        </w:rPr>
        <w:t>–</w:t>
      </w:r>
      <w:r>
        <w:rPr>
          <w:rFonts w:eastAsia="Arial" w:cs="Arial" w:ascii="Arial" w:hAnsi="Arial"/>
          <w:b/>
          <w:bCs/>
          <w:color w:val="0D7377"/>
          <w:sz w:val="26"/>
          <w:szCs w:val="26"/>
        </w:rPr>
        <w:t>18</w:t>
      </w:r>
      <w:r>
        <w:rPr>
          <w:rFonts w:eastAsia="Arial" w:cs="Arial" w:ascii="Arial" w:hAnsi="Arial"/>
          <w:b/>
          <w:bCs/>
          <w:color w:val="0D7377"/>
          <w:sz w:val="26"/>
          <w:szCs w:val="26"/>
        </w:rPr>
        <w:t>)</w:t>
      </w:r>
    </w:p>
    <w:p>
      <w:pPr>
        <w:pStyle w:val="Normal"/>
        <w:spacing w:lineRule="exact" w:line="320" w:before="80" w:after="80"/>
        <w:rPr/>
      </w:pPr>
      <w:r>
        <w:rPr>
          <w:rFonts w:eastAsia="Arial" w:cs="Arial"/>
          <w:color w:val="1C1C1C"/>
          <w:sz w:val="22"/>
          <w:szCs w:val="22"/>
        </w:rPr>
        <w:t>Extend the platform to East Africa and launch advanced AI features:</w:t>
      </w:r>
    </w:p>
    <w:p>
      <w:pPr>
        <w:pStyle w:val="Normal"/>
        <w:spacing w:before="80" w:after="0"/>
        <w:rPr/>
      </w:pPr>
      <w:r>
        <w:rPr/>
      </w:r>
    </w:p>
    <w:p>
      <w:pPr>
        <w:pStyle w:val="ListParagraph"/>
        <w:numPr>
          <w:ilvl w:val="0"/>
          <w:numId w:val="1"/>
        </w:numPr>
        <w:spacing w:lineRule="exact" w:line="300" w:before="60" w:after="60"/>
        <w:rPr/>
      </w:pPr>
      <w:r>
        <w:rPr>
          <w:rFonts w:eastAsia="Arial" w:cs="Arial"/>
          <w:color w:val="1C1C1C"/>
          <w:sz w:val="21"/>
          <w:szCs w:val="21"/>
        </w:rPr>
        <w:t>Expand to Uganda, Tanzania, Rwanda, Ethiopia, and South Africa</w:t>
      </w:r>
    </w:p>
    <w:p>
      <w:pPr>
        <w:pStyle w:val="ListParagraph"/>
        <w:numPr>
          <w:ilvl w:val="0"/>
          <w:numId w:val="1"/>
        </w:numPr>
        <w:spacing w:lineRule="exact" w:line="300" w:before="60" w:after="60"/>
        <w:rPr/>
      </w:pPr>
      <w:r>
        <w:rPr>
          <w:rFonts w:eastAsia="Arial" w:cs="Arial"/>
          <w:color w:val="1C1C1C"/>
          <w:sz w:val="21"/>
          <w:szCs w:val="21"/>
        </w:rPr>
        <w:t>Launch AI Case Prediction Engine with historical case data</w:t>
      </w:r>
    </w:p>
    <w:p>
      <w:pPr>
        <w:pStyle w:val="ListParagraph"/>
        <w:numPr>
          <w:ilvl w:val="0"/>
          <w:numId w:val="1"/>
        </w:numPr>
        <w:spacing w:lineRule="exact" w:line="300" w:before="60" w:after="60"/>
        <w:rPr/>
      </w:pPr>
      <w:r>
        <w:rPr>
          <w:rFonts w:eastAsia="Arial" w:cs="Arial"/>
          <w:color w:val="1C1C1C"/>
          <w:sz w:val="21"/>
          <w:szCs w:val="21"/>
        </w:rPr>
        <w:t>Introduce B2B integrations (banks, real estate, HR platforms)</w:t>
      </w:r>
    </w:p>
    <w:p>
      <w:pPr>
        <w:pStyle w:val="ListParagraph"/>
        <w:numPr>
          <w:ilvl w:val="0"/>
          <w:numId w:val="1"/>
        </w:numPr>
        <w:spacing w:lineRule="exact" w:line="300" w:before="60" w:after="60"/>
        <w:rPr/>
      </w:pPr>
      <w:r>
        <w:rPr>
          <w:rFonts w:eastAsia="Arial" w:cs="Arial"/>
          <w:color w:val="1C1C1C"/>
          <w:sz w:val="21"/>
          <w:szCs w:val="21"/>
        </w:rPr>
        <w:t>Launch Government White-Label Programme for county legal aid offices</w:t>
      </w:r>
    </w:p>
    <w:p>
      <w:pPr>
        <w:pStyle w:val="ListParagraph"/>
        <w:numPr>
          <w:ilvl w:val="0"/>
          <w:numId w:val="1"/>
        </w:numPr>
        <w:spacing w:lineRule="exact" w:line="300" w:before="60" w:after="60"/>
        <w:rPr/>
      </w:pPr>
      <w:r>
        <w:rPr>
          <w:rFonts w:eastAsia="Arial" w:cs="Arial"/>
          <w:color w:val="1C1C1C"/>
          <w:sz w:val="21"/>
          <w:szCs w:val="21"/>
        </w:rPr>
        <w:t>Establish partnerships with African Development Bank, UN Women, and legal aid NGOs</w:t>
      </w:r>
    </w:p>
    <w:p>
      <w:pPr>
        <w:pStyle w:val="ListParagraph"/>
        <w:numPr>
          <w:ilvl w:val="0"/>
          <w:numId w:val="1"/>
        </w:numPr>
        <w:spacing w:lineRule="exact" w:line="300" w:before="60" w:after="60"/>
        <w:rPr/>
      </w:pPr>
      <w:r>
        <w:rPr>
          <w:rFonts w:eastAsia="Arial" w:cs="Arial"/>
          <w:color w:val="1C1C1C"/>
          <w:sz w:val="21"/>
          <w:szCs w:val="21"/>
        </w:rPr>
        <w:t>Target: 500,000 active citizens, 5,000 lawyers, presence in 6 countries</w:t>
      </w:r>
    </w:p>
    <w:p>
      <w:pPr>
        <w:pStyle w:val="Normal"/>
        <w:spacing w:before="160" w:after="0"/>
        <w:rPr/>
      </w:pPr>
      <w:r>
        <w:rPr/>
      </w:r>
    </w:p>
    <w:p>
      <w:pPr>
        <w:pStyle w:val="Heading2"/>
        <w:spacing w:before="300" w:after="120"/>
        <w:rPr/>
      </w:pPr>
      <w:r>
        <w:rPr>
          <w:rFonts w:eastAsia="Arial" w:cs="Arial" w:ascii="Arial" w:hAnsi="Arial"/>
          <w:b/>
          <w:bCs/>
          <w:color w:val="0D7377"/>
          <w:sz w:val="26"/>
          <w:szCs w:val="26"/>
        </w:rPr>
        <w:t>Phase 4 — Global Platform (Year 4+)</w:t>
      </w:r>
    </w:p>
    <w:p>
      <w:pPr>
        <w:pStyle w:val="Normal"/>
        <w:spacing w:lineRule="exact" w:line="320" w:before="80" w:after="80"/>
        <w:rPr/>
      </w:pPr>
      <w:r>
        <w:rPr>
          <w:rFonts w:eastAsia="Arial" w:cs="Arial"/>
          <w:color w:val="1C1C1C"/>
          <w:sz w:val="22"/>
          <w:szCs w:val="22"/>
        </w:rPr>
        <w:t>Scale to a global legal platform with AI at the center of justice delivery:</w:t>
      </w:r>
    </w:p>
    <w:p>
      <w:pPr>
        <w:pStyle w:val="Normal"/>
        <w:spacing w:before="80" w:after="0"/>
        <w:rPr/>
      </w:pPr>
      <w:r>
        <w:rPr/>
      </w:r>
    </w:p>
    <w:p>
      <w:pPr>
        <w:pStyle w:val="ListParagraph"/>
        <w:numPr>
          <w:ilvl w:val="0"/>
          <w:numId w:val="1"/>
        </w:numPr>
        <w:spacing w:lineRule="exact" w:line="300" w:before="60" w:after="60"/>
        <w:rPr/>
      </w:pPr>
      <w:r>
        <w:rPr>
          <w:rFonts w:eastAsia="Arial" w:cs="Arial"/>
          <w:color w:val="1C1C1C"/>
          <w:sz w:val="21"/>
          <w:szCs w:val="21"/>
        </w:rPr>
        <w:t>Expand to 25+ countries with country-specific legal modules</w:t>
      </w:r>
    </w:p>
    <w:p>
      <w:pPr>
        <w:pStyle w:val="ListParagraph"/>
        <w:numPr>
          <w:ilvl w:val="0"/>
          <w:numId w:val="1"/>
        </w:numPr>
        <w:spacing w:lineRule="exact" w:line="300" w:before="60" w:after="60"/>
        <w:rPr/>
      </w:pPr>
      <w:r>
        <w:rPr>
          <w:rFonts w:eastAsia="Arial" w:cs="Arial"/>
          <w:color w:val="1C1C1C"/>
          <w:sz w:val="21"/>
          <w:szCs w:val="21"/>
        </w:rPr>
        <w:t>Launch AI Court Assistance module (subject to regulatory approval in each jurisdiction)</w:t>
      </w:r>
    </w:p>
    <w:p>
      <w:pPr>
        <w:pStyle w:val="ListParagraph"/>
        <w:numPr>
          <w:ilvl w:val="0"/>
          <w:numId w:val="1"/>
        </w:numPr>
        <w:spacing w:lineRule="exact" w:line="300" w:before="60" w:after="60"/>
        <w:rPr/>
      </w:pPr>
      <w:r>
        <w:rPr>
          <w:rFonts w:eastAsia="Arial" w:cs="Arial"/>
          <w:color w:val="1C1C1C"/>
          <w:sz w:val="21"/>
          <w:szCs w:val="21"/>
        </w:rPr>
        <w:t>Partner with the World Bank's Increasing Access to Justice initiative</w:t>
      </w:r>
    </w:p>
    <w:p>
      <w:pPr>
        <w:pStyle w:val="ListParagraph"/>
        <w:numPr>
          <w:ilvl w:val="0"/>
          <w:numId w:val="1"/>
        </w:numPr>
        <w:spacing w:lineRule="exact" w:line="300" w:before="60" w:after="60"/>
        <w:rPr/>
      </w:pPr>
      <w:r>
        <w:rPr>
          <w:rFonts w:eastAsia="Arial" w:cs="Arial"/>
          <w:color w:val="1C1C1C"/>
          <w:sz w:val="21"/>
          <w:szCs w:val="21"/>
        </w:rPr>
        <w:t>List on a major stock exchange or raise Series B/C funding</w:t>
      </w:r>
    </w:p>
    <w:p>
      <w:pPr>
        <w:pStyle w:val="ListParagraph"/>
        <w:numPr>
          <w:ilvl w:val="0"/>
          <w:numId w:val="1"/>
        </w:numPr>
        <w:spacing w:lineRule="exact" w:line="300" w:before="60" w:after="60"/>
        <w:rPr/>
      </w:pPr>
      <w:r>
        <w:rPr>
          <w:rFonts w:eastAsia="Arial" w:cs="Arial"/>
          <w:color w:val="1C1C1C"/>
          <w:sz w:val="21"/>
          <w:szCs w:val="21"/>
        </w:rPr>
        <w:t>Target: 5 million citizens, 50,000 lawyers, 50+ countries</w:t>
      </w:r>
    </w:p>
    <w:p>
      <w:pPr>
        <w:pStyle w:val="Normal"/>
        <w:pBdr>
          <w:bottom w:val="single" w:sz="4" w:space="1" w:color="CCCCCC"/>
        </w:pBdr>
        <w:spacing w:before="160" w:after="160"/>
        <w:rPr/>
      </w:pPr>
      <w:r>
        <w:rPr/>
      </w:r>
    </w:p>
    <w:p>
      <w:pPr>
        <w:pStyle w:val="Normal"/>
        <w:spacing w:before="0" w:after="0"/>
        <w:rPr/>
      </w:pPr>
      <w:r>
        <w:rPr/>
      </w:r>
      <w:r>
        <w:br w:type="page"/>
      </w:r>
    </w:p>
    <w:p>
      <w:pPr>
        <w:pStyle w:val="Heading1"/>
        <w:pBdr>
          <w:bottom w:val="single" w:sz="8" w:space="4" w:color="C9A84C"/>
        </w:pBdr>
        <w:spacing w:before="0" w:after="160"/>
        <w:rPr/>
      </w:pPr>
      <w:r>
        <w:rPr>
          <w:rFonts w:eastAsia="Arial" w:cs="Arial" w:ascii="Arial" w:hAnsi="Arial"/>
          <w:b/>
          <w:bCs/>
          <w:color w:val="1A3A5C"/>
          <w:sz w:val="34"/>
          <w:szCs w:val="34"/>
        </w:rPr>
        <w:t>10. SOCIAL IMPACT &amp; DEVELOPMENT ALIGNMENT</w:t>
      </w:r>
    </w:p>
    <w:p>
      <w:pPr>
        <w:pStyle w:val="Normal"/>
        <w:spacing w:before="80" w:after="0"/>
        <w:rPr/>
      </w:pPr>
      <w:r>
        <w:rPr/>
      </w:r>
    </w:p>
    <w:p>
      <w:pPr>
        <w:pStyle w:val="Heading2"/>
        <w:spacing w:before="300" w:after="120"/>
        <w:rPr/>
      </w:pPr>
      <w:r>
        <w:rPr>
          <w:rFonts w:eastAsia="Arial" w:cs="Arial" w:ascii="Arial" w:hAnsi="Arial"/>
          <w:b/>
          <w:bCs/>
          <w:color w:val="0D7377"/>
          <w:sz w:val="26"/>
          <w:szCs w:val="26"/>
        </w:rPr>
        <w:t>10.1 Sustainable Development Goals Alignment</w:t>
      </w:r>
    </w:p>
    <w:p>
      <w:pPr>
        <w:pStyle w:val="Normal"/>
        <w:spacing w:lineRule="exact" w:line="320" w:before="80" w:after="80"/>
        <w:rPr/>
      </w:pPr>
      <w:r>
        <w:rPr>
          <w:rFonts w:eastAsia="Arial" w:cs="Arial"/>
          <w:color w:val="1C1C1C"/>
          <w:sz w:val="22"/>
          <w:szCs w:val="22"/>
        </w:rPr>
        <w:t>The platform directly advances four core UN Sustainable Development Goals:</w:t>
      </w:r>
    </w:p>
    <w:p>
      <w:pPr>
        <w:pStyle w:val="Normal"/>
        <w:spacing w:before="80" w:after="0"/>
        <w:rPr/>
      </w:pPr>
      <w:r>
        <w:rPr/>
      </w:r>
    </w:p>
    <w:p>
      <w:pPr>
        <w:pStyle w:val="ListParagraph"/>
        <w:numPr>
          <w:ilvl w:val="0"/>
          <w:numId w:val="1"/>
        </w:numPr>
        <w:spacing w:lineRule="exact" w:line="300" w:before="60" w:after="60"/>
        <w:rPr/>
      </w:pPr>
      <w:r>
        <w:rPr>
          <w:rFonts w:eastAsia="Arial" w:cs="Arial"/>
          <w:b/>
          <w:bCs/>
          <w:color w:val="1A3A5C"/>
          <w:sz w:val="21"/>
          <w:szCs w:val="21"/>
        </w:rPr>
        <w:t xml:space="preserve">SDG 16 — Peace, Justice and Strong Institutions: </w:t>
      </w:r>
      <w:r>
        <w:rPr>
          <w:rFonts w:eastAsia="Arial" w:cs="Arial"/>
          <w:color w:val="1C1C1C"/>
          <w:sz w:val="21"/>
          <w:szCs w:val="21"/>
        </w:rPr>
        <w:t>Digital courts, transparent case tracking, and AI accountability tools strengthen institutional integrity</w:t>
      </w:r>
    </w:p>
    <w:p>
      <w:pPr>
        <w:pStyle w:val="ListParagraph"/>
        <w:numPr>
          <w:ilvl w:val="0"/>
          <w:numId w:val="1"/>
        </w:numPr>
        <w:spacing w:lineRule="exact" w:line="300" w:before="60" w:after="60"/>
        <w:rPr/>
      </w:pPr>
      <w:r>
        <w:rPr>
          <w:rFonts w:eastAsia="Arial" w:cs="Arial"/>
          <w:b/>
          <w:bCs/>
          <w:color w:val="1A3A5C"/>
          <w:sz w:val="21"/>
          <w:szCs w:val="21"/>
        </w:rPr>
        <w:t xml:space="preserve">SDG 10 — Reduced Inequalities: </w:t>
      </w:r>
      <w:r>
        <w:rPr>
          <w:rFonts w:eastAsia="Arial" w:cs="Arial"/>
          <w:color w:val="1C1C1C"/>
          <w:sz w:val="21"/>
          <w:szCs w:val="21"/>
        </w:rPr>
        <w:t>Credit-based model and mobile access ensure legal services reach the poor, rural, disabled, and marginalized</w:t>
      </w:r>
    </w:p>
    <w:p>
      <w:pPr>
        <w:pStyle w:val="ListParagraph"/>
        <w:numPr>
          <w:ilvl w:val="0"/>
          <w:numId w:val="1"/>
        </w:numPr>
        <w:spacing w:lineRule="exact" w:line="300" w:before="60" w:after="60"/>
        <w:rPr/>
      </w:pPr>
      <w:r>
        <w:rPr>
          <w:rFonts w:eastAsia="Arial" w:cs="Arial"/>
          <w:b/>
          <w:bCs/>
          <w:color w:val="1A3A5C"/>
          <w:sz w:val="21"/>
          <w:szCs w:val="21"/>
        </w:rPr>
        <w:t xml:space="preserve">SDG 5 — Gender Equality: </w:t>
      </w:r>
      <w:r>
        <w:rPr>
          <w:rFonts w:eastAsia="Arial" w:cs="Arial"/>
          <w:color w:val="1C1C1C"/>
          <w:sz w:val="21"/>
          <w:szCs w:val="21"/>
        </w:rPr>
        <w:t>Specialized modules for GBV survivors, property rights for women, and family law protections</w:t>
      </w:r>
    </w:p>
    <w:p>
      <w:pPr>
        <w:pStyle w:val="ListParagraph"/>
        <w:numPr>
          <w:ilvl w:val="0"/>
          <w:numId w:val="1"/>
        </w:numPr>
        <w:spacing w:lineRule="exact" w:line="300" w:before="60" w:after="60"/>
        <w:rPr/>
      </w:pPr>
      <w:r>
        <w:rPr>
          <w:rFonts w:eastAsia="Arial" w:cs="Arial"/>
          <w:b/>
          <w:bCs/>
          <w:color w:val="1A3A5C"/>
          <w:sz w:val="21"/>
          <w:szCs w:val="21"/>
        </w:rPr>
        <w:t xml:space="preserve">SDG 1 — No Poverty: </w:t>
      </w:r>
      <w:r>
        <w:rPr>
          <w:rFonts w:eastAsia="Arial" w:cs="Arial"/>
          <w:color w:val="1C1C1C"/>
          <w:sz w:val="21"/>
          <w:szCs w:val="21"/>
        </w:rPr>
        <w:t>Resolving land and labour disputes that trap communities in poverty; affordable legal protection for small businesses</w:t>
      </w:r>
    </w:p>
    <w:p>
      <w:pPr>
        <w:pStyle w:val="Normal"/>
        <w:spacing w:before="160" w:after="0"/>
        <w:rPr/>
      </w:pPr>
      <w:r>
        <w:rPr/>
      </w:r>
    </w:p>
    <w:p>
      <w:pPr>
        <w:pStyle w:val="Heading2"/>
        <w:spacing w:before="300" w:after="120"/>
        <w:rPr/>
      </w:pPr>
      <w:r>
        <w:rPr>
          <w:rFonts w:eastAsia="Arial" w:cs="Arial" w:ascii="Arial" w:hAnsi="Arial"/>
          <w:b/>
          <w:bCs/>
          <w:color w:val="0D7377"/>
          <w:sz w:val="26"/>
          <w:szCs w:val="26"/>
        </w:rPr>
        <w:t>10.2 Measurable Impact Metrics</w:t>
      </w:r>
    </w:p>
    <w:tbl>
      <w:tblPr>
        <w:tblW w:w="9360" w:type="dxa"/>
        <w:jc w:val="left"/>
        <w:tblInd w:w="0" w:type="dxa"/>
        <w:tblLayout w:type="fixed"/>
        <w:tblCellMar>
          <w:top w:w="100" w:type="dxa"/>
          <w:left w:w="160" w:type="dxa"/>
          <w:bottom w:w="100" w:type="dxa"/>
          <w:right w:w="160" w:type="dxa"/>
        </w:tblCellMar>
      </w:tblPr>
      <w:tblGrid>
        <w:gridCol w:w="4199"/>
        <w:gridCol w:w="5160"/>
      </w:tblGrid>
      <w:tr>
        <w:trPr>
          <w:tblHeader w:val="true"/>
        </w:trPr>
        <w:tc>
          <w:tcPr>
            <w:tcW w:w="4199" w:type="dxa"/>
            <w:tcBorders>
              <w:top w:val="single" w:sz="4" w:space="0" w:color="CCCCCC"/>
              <w:left w:val="single" w:sz="4" w:space="0" w:color="CCCCCC"/>
              <w:bottom w:val="single" w:sz="4" w:space="0" w:color="CCCCCC"/>
              <w:right w:val="single" w:sz="4" w:space="0" w:color="CCCCCC"/>
            </w:tcBorders>
            <w:shd w:fill="1A3A5C" w:val="clear"/>
          </w:tcPr>
          <w:p>
            <w:pPr>
              <w:pStyle w:val="Normal"/>
              <w:rPr/>
            </w:pPr>
            <w:r>
              <w:rPr>
                <w:rFonts w:eastAsia="Arial" w:cs="Arial"/>
                <w:b/>
                <w:bCs/>
                <w:color w:val="FFFFFF"/>
                <w:sz w:val="21"/>
                <w:szCs w:val="21"/>
              </w:rPr>
              <w:t>Impact Area</w:t>
            </w:r>
          </w:p>
        </w:tc>
        <w:tc>
          <w:tcPr>
            <w:tcW w:w="5160" w:type="dxa"/>
            <w:tcBorders>
              <w:top w:val="single" w:sz="4" w:space="0" w:color="CCCCCC"/>
              <w:left w:val="single" w:sz="4" w:space="0" w:color="CCCCCC"/>
              <w:bottom w:val="single" w:sz="4" w:space="0" w:color="CCCCCC"/>
              <w:right w:val="single" w:sz="4" w:space="0" w:color="CCCCCC"/>
            </w:tcBorders>
            <w:shd w:fill="0D7377" w:val="clear"/>
          </w:tcPr>
          <w:p>
            <w:pPr>
              <w:pStyle w:val="Normal"/>
              <w:rPr/>
            </w:pPr>
            <w:r>
              <w:rPr>
                <w:rFonts w:eastAsia="Arial" w:cs="Arial"/>
                <w:b/>
                <w:bCs/>
                <w:color w:val="FFFFFF"/>
                <w:sz w:val="21"/>
                <w:szCs w:val="21"/>
              </w:rPr>
              <w:t>Target (Year 3)</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Citizens with Legal Literacy</w:t>
            </w:r>
          </w:p>
        </w:tc>
        <w:tc>
          <w:tcPr>
            <w:tcW w:w="51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1 million citizens educated on their rights</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Cases Filed Digitally</w:t>
            </w:r>
          </w:p>
        </w:tc>
        <w:tc>
          <w:tcPr>
            <w:tcW w:w="51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100,000 cases filed through the platform</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Lawyer-Client Connections</w:t>
            </w:r>
          </w:p>
        </w:tc>
        <w:tc>
          <w:tcPr>
            <w:tcW w:w="51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25,000 successful lawyer-client matches</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Legal Documents Generated</w:t>
            </w:r>
          </w:p>
        </w:tc>
        <w:tc>
          <w:tcPr>
            <w:tcW w:w="51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500,000 AI-generated legal documents</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Average Cost Reduction</w:t>
            </w:r>
          </w:p>
        </w:tc>
        <w:tc>
          <w:tcPr>
            <w:tcW w:w="51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70% reduction in cost of basic legal services</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Court Backlog Contribution</w:t>
            </w:r>
          </w:p>
        </w:tc>
        <w:tc>
          <w:tcPr>
            <w:tcW w:w="51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10% reduction in Magistrate Court filing backlogs</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Emergency Responses</w:t>
            </w:r>
          </w:p>
        </w:tc>
        <w:tc>
          <w:tcPr>
            <w:tcW w:w="51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10,000 Emergency Legal Button activations handled</w:t>
            </w:r>
          </w:p>
        </w:tc>
      </w:tr>
      <w:tr>
        <w:trPr/>
        <w:tc>
          <w:tcPr>
            <w:tcW w:w="4199"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Women Served</w:t>
            </w:r>
          </w:p>
        </w:tc>
        <w:tc>
          <w:tcPr>
            <w:tcW w:w="5160" w:type="dxa"/>
            <w:tcBorders>
              <w:top w:val="single" w:sz="4" w:space="0" w:color="CCCCCC"/>
              <w:left w:val="single" w:sz="4" w:space="0" w:color="CCCCCC"/>
              <w:bottom w:val="single" w:sz="4" w:space="0" w:color="CCCCCC"/>
              <w:right w:val="single" w:sz="4" w:space="0" w:color="CCCCCC"/>
            </w:tcBorders>
            <w:shd w:fill="FFFFFF" w:val="clear"/>
          </w:tcPr>
          <w:p>
            <w:pPr>
              <w:pStyle w:val="Normal"/>
              <w:rPr/>
            </w:pPr>
            <w:r>
              <w:rPr>
                <w:rFonts w:eastAsia="Arial" w:cs="Arial"/>
                <w:b w:val="false"/>
                <w:bCs w:val="false"/>
                <w:color w:val="1C1C1C"/>
                <w:sz w:val="21"/>
                <w:szCs w:val="21"/>
              </w:rPr>
              <w:t>40%+ of platform users female (priority target)</w:t>
            </w:r>
          </w:p>
        </w:tc>
      </w:tr>
    </w:tbl>
    <w:p>
      <w:pPr>
        <w:pStyle w:val="Normal"/>
        <w:spacing w:before="160" w:after="0"/>
        <w:rPr/>
      </w:pPr>
      <w:r>
        <w:rPr/>
      </w:r>
    </w:p>
    <w:p>
      <w:pPr>
        <w:pStyle w:val="Heading2"/>
        <w:spacing w:before="300" w:after="120"/>
        <w:rPr/>
      </w:pPr>
      <w:r>
        <w:rPr>
          <w:rFonts w:eastAsia="Arial" w:cs="Arial" w:ascii="Arial" w:hAnsi="Arial"/>
          <w:b/>
          <w:bCs/>
          <w:color w:val="0D7377"/>
          <w:sz w:val="26"/>
          <w:szCs w:val="26"/>
        </w:rPr>
        <w:t>10.3 Kenya's Digital Justice Leadership</w:t>
      </w:r>
    </w:p>
    <w:p>
      <w:pPr>
        <w:pStyle w:val="Normal"/>
        <w:spacing w:lineRule="exact" w:line="320" w:before="80" w:after="80"/>
        <w:rPr/>
      </w:pPr>
      <w:r>
        <w:rPr>
          <w:rFonts w:eastAsia="Arial" w:cs="Arial"/>
          <w:color w:val="1C1C1C"/>
          <w:sz w:val="22"/>
          <w:szCs w:val="22"/>
        </w:rPr>
        <w:t>Kenya is already a continental leader in digital justice reform. The E-Judiciary Mobile App launched in May 2025, the KES 250 million LAN court connectivity project completed in June 2025, the 'Mahakama Popote' virtual court system handling thousands of remote cases, and the Judiciary's AI Adoption Policy Framework in development  all create a uniquely receptive environment for this platform.</w:t>
      </w:r>
    </w:p>
    <w:p>
      <w:pPr>
        <w:pStyle w:val="Normal"/>
        <w:spacing w:before="80" w:after="0"/>
        <w:rPr/>
      </w:pPr>
      <w:r>
        <w:rPr/>
      </w:r>
    </w:p>
    <w:p>
      <w:pPr>
        <w:pStyle w:val="Normal"/>
        <w:spacing w:lineRule="exact" w:line="320" w:before="80" w:after="80"/>
        <w:rPr/>
      </w:pPr>
      <w:r>
        <w:rPr>
          <w:rFonts w:eastAsia="Arial" w:cs="Arial"/>
          <w:color w:val="1C1C1C"/>
          <w:sz w:val="22"/>
          <w:szCs w:val="22"/>
        </w:rPr>
        <w:t>This platform does not compete with government initiatives. It amplifies them  placing citizen-facing intelligence on top of the government's digital infrastructure and closing the last mile between the system and the people it serves.</w:t>
      </w:r>
    </w:p>
    <w:p>
      <w:pPr>
        <w:pStyle w:val="Normal"/>
        <w:pBdr>
          <w:bottom w:val="single" w:sz="4" w:space="1" w:color="CCCCCC"/>
        </w:pBdr>
        <w:spacing w:before="160" w:after="160"/>
        <w:rPr/>
      </w:pPr>
      <w:r>
        <w:rPr/>
      </w:r>
    </w:p>
    <w:p>
      <w:pPr>
        <w:pStyle w:val="Normal"/>
        <w:spacing w:before="0" w:after="0"/>
        <w:rPr/>
      </w:pPr>
      <w:r>
        <w:rPr/>
      </w:r>
      <w:r>
        <w:br w:type="page"/>
      </w:r>
    </w:p>
    <w:p>
      <w:pPr>
        <w:pStyle w:val="Heading1"/>
        <w:pBdr>
          <w:bottom w:val="single" w:sz="8" w:space="4" w:color="C9A84C"/>
        </w:pBdr>
        <w:spacing w:before="0" w:after="160"/>
        <w:rPr/>
      </w:pPr>
      <w:r>
        <w:rPr>
          <w:rFonts w:eastAsia="Arial" w:cs="Arial" w:ascii="Arial" w:hAnsi="Arial"/>
          <w:b/>
          <w:bCs/>
          <w:color w:val="1A3A5C"/>
          <w:sz w:val="34"/>
          <w:szCs w:val="34"/>
        </w:rPr>
        <w:t>11. CONCLUSION</w:t>
      </w:r>
    </w:p>
    <w:p>
      <w:pPr>
        <w:pStyle w:val="Normal"/>
        <w:spacing w:before="80" w:after="0"/>
        <w:rPr/>
      </w:pPr>
      <w:r>
        <w:rPr/>
      </w:r>
    </w:p>
    <w:p>
      <w:pPr>
        <w:pStyle w:val="Normal"/>
        <w:spacing w:lineRule="exact" w:line="320" w:before="80" w:after="80"/>
        <w:rPr/>
      </w:pPr>
      <w:r>
        <w:rPr>
          <w:rFonts w:eastAsia="Arial" w:cs="Arial"/>
          <w:color w:val="1C1C1C"/>
          <w:sz w:val="22"/>
          <w:szCs w:val="22"/>
        </w:rPr>
        <w:t>The Global Legal Rights &amp; Justice Platform is more than a technology product. It is a justice infrastructure — the digital equivalent of building courthouses in every citizen's pocket.</w:t>
      </w:r>
    </w:p>
    <w:p>
      <w:pPr>
        <w:pStyle w:val="Normal"/>
        <w:spacing w:before="80" w:after="0"/>
        <w:rPr/>
      </w:pPr>
      <w:r>
        <w:rPr/>
      </w:r>
    </w:p>
    <w:p>
      <w:pPr>
        <w:pStyle w:val="Normal"/>
        <w:spacing w:lineRule="exact" w:line="320" w:before="80" w:after="80"/>
        <w:rPr/>
      </w:pPr>
      <w:r>
        <w:rPr>
          <w:rFonts w:eastAsia="Arial" w:cs="Arial"/>
          <w:color w:val="1C1C1C"/>
          <w:sz w:val="22"/>
          <w:szCs w:val="22"/>
        </w:rPr>
        <w:t>The problem is vast, urgent, and well-documented. The technology exists and is maturing rapidly. The legal framework — particularly Kenya's 2010 Constitution — is strong enough to build upon. Kenya's judiciary is already on a digital transformation journey that this platform is designed to accelerate and deepen.</w:t>
      </w:r>
    </w:p>
    <w:p>
      <w:pPr>
        <w:pStyle w:val="Normal"/>
        <w:spacing w:before="80" w:after="0"/>
        <w:rPr/>
      </w:pPr>
      <w:r>
        <w:rPr/>
      </w:r>
    </w:p>
    <w:p>
      <w:pPr>
        <w:pStyle w:val="Normal"/>
        <w:spacing w:lineRule="exact" w:line="320" w:before="80" w:after="80"/>
        <w:rPr/>
      </w:pPr>
      <w:r>
        <w:rPr>
          <w:rFonts w:eastAsia="Arial" w:cs="Arial"/>
          <w:color w:val="1C1C1C"/>
          <w:sz w:val="22"/>
          <w:szCs w:val="22"/>
        </w:rPr>
        <w:t>What has been missing is the integration layer: a single platform that brings together the citizen who doesn't know their rights, the lawyer who can't find clients, the court that is overwhelmed with paper, and the government that wants to deliver justice but lacks the digital tools to do so at scale.</w:t>
      </w:r>
    </w:p>
    <w:p>
      <w:pPr>
        <w:pStyle w:val="Normal"/>
        <w:spacing w:before="80" w:after="0"/>
        <w:rPr/>
      </w:pPr>
      <w:r>
        <w:rPr/>
      </w:r>
    </w:p>
    <w:tbl>
      <w:tblPr>
        <w:tblW w:w="9360" w:type="dxa"/>
        <w:jc w:val="left"/>
        <w:tblInd w:w="0" w:type="dxa"/>
        <w:tblLayout w:type="fixed"/>
        <w:tblCellMar>
          <w:top w:w="120" w:type="dxa"/>
          <w:left w:w="200" w:type="dxa"/>
          <w:bottom w:w="120" w:type="dxa"/>
          <w:right w:w="200" w:type="dxa"/>
        </w:tblCellMar>
      </w:tblPr>
      <w:tblGrid>
        <w:gridCol w:w="9360"/>
      </w:tblGrid>
      <w:tr>
        <w:trPr/>
        <w:tc>
          <w:tcPr>
            <w:tcW w:w="9360" w:type="dxa"/>
            <w:tcBorders/>
            <w:shd w:fill="FDF7E7" w:val="clear"/>
          </w:tcPr>
          <w:p>
            <w:pPr>
              <w:pStyle w:val="Normal"/>
              <w:spacing w:before="0" w:after="60"/>
              <w:rPr/>
            </w:pPr>
            <w:r>
              <w:rPr>
                <w:rFonts w:eastAsia="Arial" w:cs="Arial"/>
                <w:b/>
                <w:bCs/>
                <w:color w:val="C9A84C"/>
                <w:sz w:val="22"/>
                <w:szCs w:val="22"/>
              </w:rPr>
              <w:t>The Opportunity</w:t>
            </w:r>
          </w:p>
          <w:p>
            <w:pPr>
              <w:pStyle w:val="Normal"/>
              <w:spacing w:before="0" w:after="0"/>
              <w:rPr/>
            </w:pPr>
            <w:r>
              <w:rPr>
                <w:rFonts w:eastAsia="Arial" w:cs="Arial"/>
                <w:color w:val="1C1C1C"/>
                <w:sz w:val="21"/>
                <w:szCs w:val="21"/>
              </w:rPr>
              <w:t>Legal technology raised nearly $5 billion in 2024, yet almost none of that reached Africa's 1.4 billion people. This platform captures that opportunity — building at the intersection of constitutional law, artificial intelligence, mobile technology, and social impact — to create a legal ecosystem that serves every Kenyan, and ultimately, every human being on earth.</w:t>
            </w:r>
          </w:p>
        </w:tc>
      </w:tr>
    </w:tbl>
    <w:p>
      <w:pPr>
        <w:pStyle w:val="Normal"/>
        <w:spacing w:before="160" w:after="0"/>
        <w:rPr/>
      </w:pPr>
      <w:r>
        <w:rPr/>
      </w:r>
    </w:p>
    <w:p>
      <w:pPr>
        <w:pStyle w:val="Normal"/>
        <w:pBdr>
          <w:top w:val="single" w:sz="4" w:space="6" w:color="C9A84C"/>
          <w:bottom w:val="single" w:sz="4" w:space="6" w:color="C9A84C"/>
        </w:pBdr>
        <w:spacing w:before="200" w:after="200"/>
        <w:jc w:val="center"/>
        <w:rPr/>
      </w:pPr>
      <w:r>
        <w:rPr>
          <w:rFonts w:eastAsia="Georgia" w:cs="Georgia" w:ascii="Georgia" w:hAnsi="Georgia"/>
          <w:color w:val="C9A84C"/>
          <w:sz w:val="60"/>
          <w:szCs w:val="60"/>
        </w:rPr>
        <w:t>"</w:t>
      </w:r>
      <w:r>
        <w:rPr>
          <w:rFonts w:eastAsia="Georgia" w:cs="Georgia" w:ascii="Georgia" w:hAnsi="Georgia"/>
          <w:i/>
          <w:iCs/>
          <w:color w:val="1A3A5C"/>
          <w:sz w:val="28"/>
          <w:szCs w:val="28"/>
        </w:rPr>
        <w:t>Justice delayed is justice denied. With this platform, justice is no longer delayed — it is delivered."</w:t>
      </w:r>
    </w:p>
    <w:p>
      <w:pPr>
        <w:pStyle w:val="Normal"/>
        <w:spacing w:before="160" w:after="0"/>
        <w:rPr/>
      </w:pPr>
      <w:r>
        <w:rPr/>
      </w:r>
    </w:p>
    <w:p>
      <w:pPr>
        <w:pStyle w:val="Normal"/>
        <w:pBdr>
          <w:bottom w:val="single" w:sz="4" w:space="1" w:color="CCCCCC"/>
        </w:pBdr>
        <w:spacing w:before="160" w:after="160"/>
        <w:rPr/>
      </w:pPr>
      <w:r>
        <w:rPr/>
      </w:r>
    </w:p>
    <w:p>
      <w:pPr>
        <w:pStyle w:val="Normal"/>
        <w:spacing w:before="160" w:after="80"/>
        <w:jc w:val="center"/>
        <w:rPr/>
      </w:pPr>
      <w:r>
        <w:rPr>
          <w:rFonts w:eastAsia="Arial" w:cs="Arial"/>
          <w:i/>
          <w:iCs/>
          <w:color w:val="5A5A5A"/>
          <w:sz w:val="20"/>
          <w:szCs w:val="20"/>
        </w:rPr>
        <w:t xml:space="preserve">— </w:t>
      </w:r>
      <w:r>
        <w:rPr>
          <w:rFonts w:eastAsia="Arial" w:cs="Arial"/>
          <w:i/>
          <w:iCs/>
          <w:color w:val="5A5A5A"/>
          <w:sz w:val="20"/>
          <w:szCs w:val="20"/>
        </w:rPr>
        <w:t>End of Report —</w:t>
      </w:r>
    </w:p>
    <w:p>
      <w:pPr>
        <w:pStyle w:val="Normal"/>
        <w:spacing w:before="0" w:after="0"/>
        <w:jc w:val="center"/>
        <w:rPr/>
      </w:pPr>
      <w:r>
        <w:rPr>
          <w:rFonts w:eastAsia="Arial" w:cs="Arial"/>
          <w:color w:val="5A5A5A"/>
          <w:sz w:val="18"/>
          <w:szCs w:val="18"/>
        </w:rPr>
        <w:t>Global Legal Rights &amp; Justice Platform  |  April 2026</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swiss"/>
    <w:pitch w:val="variable"/>
  </w:font>
  <w:font w:name="Segoe UI Emoji">
    <w:charset w:val="01"/>
    <w:family w:val="roman"/>
    <w:pitch w:val="variable"/>
  </w:font>
  <w:font w:name="Georgia">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tabs>
        <w:tab w:val="clear" w:pos="720"/>
        <w:tab w:val="right" w:pos="9026" w:leader="none"/>
      </w:tabs>
      <w:spacing w:before="80" w:after="0"/>
      <w:rPr/>
    </w:pPr>
    <w:r>
      <w:rPr>
        <w:rFonts w:eastAsia="Arial" w:cs="Arial"/>
        <w:color w:val="5A5A5A"/>
        <w:sz w:val="17"/>
        <w:szCs w:val="17"/>
      </w:rPr>
      <w:t>Confidential — April 2026</w:t>
      <w:tab/>
      <w:t xml:space="preserve">Page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4" w:color="CCCCCC"/>
      </w:pBdr>
      <w:tabs>
        <w:tab w:val="clear" w:pos="720"/>
        <w:tab w:val="right" w:pos="9026" w:leader="none"/>
      </w:tabs>
      <w:spacing w:before="80" w:after="0"/>
      <w:rPr/>
    </w:pPr>
    <w:r>
      <w:rPr>
        <w:rFonts w:eastAsia="Arial" w:cs="Arial"/>
        <w:color w:val="5A5A5A"/>
        <w:sz w:val="17"/>
        <w:szCs w:val="17"/>
      </w:rPr>
      <w:t>Confidential — April 2026</w:t>
      <w:tab/>
      <w:t xml:space="preserve">Page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C9A84C"/>
      </w:pBdr>
      <w:spacing w:before="0" w:after="80"/>
      <w:rPr/>
    </w:pPr>
    <w:r>
      <w:rPr>
        <w:rFonts w:eastAsia="Arial" w:cs="Arial"/>
        <w:b/>
        <w:bCs/>
        <w:color w:val="1A3A5C"/>
        <w:sz w:val="18"/>
        <w:szCs w:val="18"/>
      </w:rPr>
      <w:t>GLOBAL LEGAL RIGHTS &amp; JUSTICE PLATFORM</w:t>
    </w:r>
    <w:r>
      <w:rPr>
        <w:rFonts w:eastAsia="Arial" w:cs="Arial"/>
        <w:color w:val="5A5A5A"/>
        <w:sz w:val="18"/>
        <w:szCs w:val="18"/>
      </w:rPr>
      <w:t xml:space="preserve">    |    Comprehensive Platform Proposal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4" w:color="C9A84C"/>
      </w:pBdr>
      <w:spacing w:before="0" w:after="80"/>
      <w:rPr/>
    </w:pPr>
    <w:r>
      <w:rPr>
        <w:rFonts w:eastAsia="Arial" w:cs="Arial"/>
        <w:b/>
        <w:bCs/>
        <w:color w:val="1A3A5C"/>
        <w:sz w:val="18"/>
        <w:szCs w:val="18"/>
      </w:rPr>
      <w:t>GLOBAL LEGAL RIGHTS &amp; JUSTICE PLATFORM</w:t>
    </w:r>
    <w:r>
      <w:rPr>
        <w:rFonts w:eastAsia="Arial" w:cs="Arial"/>
        <w:color w:val="5A5A5A"/>
        <w:sz w:val="18"/>
        <w:szCs w:val="18"/>
      </w:rPr>
      <w:t xml:space="preserve">    |    Comprehensive Platform Proposal</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080" w:hanging="360"/>
      </w:pPr>
      <w:rPr>
        <w:rFonts w:ascii="OpenSymbol" w:hAnsi="OpenSymbol" w:cs="OpenSymbol" w:hint="default"/>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color w:val="1C1C1C"/>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Arial" w:hAnsi="Arial" w:eastAsia="Arial" w:cs="Arial"/>
      <w:color w:val="1C1C1C"/>
      <w:kern w:val="0"/>
      <w:sz w:val="22"/>
      <w:szCs w:val="22"/>
      <w:lang w:val="en-US" w:eastAsia="zh-CN" w:bidi="hi-IN"/>
    </w:rPr>
  </w:style>
  <w:style w:type="paragraph" w:styleId="Heading1">
    <w:name w:val="Heading 1"/>
    <w:basedOn w:val="Heading"/>
    <w:qFormat/>
    <w:pPr>
      <w:spacing w:before="400" w:after="160"/>
      <w:outlineLvl w:val="0"/>
    </w:pPr>
    <w:rPr>
      <w:rFonts w:ascii="Arial" w:hAnsi="Arial" w:eastAsia="Arial" w:cs="Arial"/>
      <w:b/>
      <w:bCs/>
      <w:color w:val="1A3A5C"/>
      <w:sz w:val="34"/>
      <w:szCs w:val="34"/>
    </w:rPr>
  </w:style>
  <w:style w:type="paragraph" w:styleId="Heading2">
    <w:name w:val="Heading 2"/>
    <w:basedOn w:val="Heading"/>
    <w:qFormat/>
    <w:pPr>
      <w:spacing w:before="300" w:after="120"/>
      <w:outlineLvl w:val="1"/>
    </w:pPr>
    <w:rPr>
      <w:rFonts w:ascii="Arial" w:hAnsi="Arial" w:eastAsia="Arial" w:cs="Arial"/>
      <w:b/>
      <w:bCs/>
      <w:color w:val="0D7377"/>
      <w:sz w:val="26"/>
      <w:szCs w:val="26"/>
    </w:rPr>
  </w:style>
  <w:style w:type="paragraph" w:styleId="Heading3">
    <w:name w:val="Heading 3"/>
    <w:basedOn w:val="Heading"/>
    <w:qFormat/>
    <w:pPr>
      <w:spacing w:before="200" w:after="80"/>
      <w:outlineLvl w:val="2"/>
    </w:pPr>
    <w:rPr>
      <w:rFonts w:ascii="Arial" w:hAnsi="Arial" w:eastAsia="Arial" w:cs="Arial"/>
      <w:b/>
      <w:bCs/>
      <w:color w:val="1A3A5C"/>
      <w:sz w:val="22"/>
      <w:szCs w:val="22"/>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Arial" w:hAnsi="Arial" w:eastAsia="Arial" w:cs="Arial"/>
      <w:b/>
      <w:bCs/>
      <w:color w:val="1C1C1C"/>
      <w:kern w:val="0"/>
      <w:sz w:val="22"/>
      <w:szCs w:val="22"/>
      <w:lang w:val="en-US" w:eastAsia="zh-CN" w:bidi="hi-IN"/>
    </w:rPr>
  </w:style>
  <w:style w:type="paragraph" w:styleId="ListParagraph">
    <w:name w:val="List Paragraph"/>
    <w:qFormat/>
    <w:pPr>
      <w:widowControl/>
      <w:bidi w:val="0"/>
      <w:spacing w:before="0" w:after="0"/>
      <w:jc w:val="left"/>
    </w:pPr>
    <w:rPr>
      <w:rFonts w:ascii="Arial" w:hAnsi="Arial" w:eastAsia="Arial" w:cs="Arial"/>
      <w:color w:val="1C1C1C"/>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ages>21</Pages>
  <Words>3880</Words>
  <Characters>23117</Characters>
  <CharactersWithSpaces>26627</CharactersWithSpaces>
  <Paragraphs>338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2026-04-13T03:13:31Z</dcterms:created>
  <dc:creator>Un-named</dc:creator>
  <dc:description/>
  <dc:language>en-US</dc:language>
  <cp:lastModifiedBy/>
  <dcterms:modified xsi:type="dcterms:W3CDTF">2026-04-13T17:35:31Z</dcterms:modified>
  <cp:revision>2</cp:revision>
  <dc:subject/>
  <dc:title/>
</cp:coreProperties>
</file>