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drawing>
          <wp:inline distT="0" distB="0" distL="0" distR="0">
            <wp:extent cx="3333750" cy="2219325"/>
            <wp:effectExtent t="0" r="0" b="0" l="0"/>
            <wp:docPr id="1" name="sttaurx-logo" descr="STTAURX - Blockchain That Empowers" title="STTAURX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1a1a2e"/>
          <w:sz w:val="44"/>
          <w:szCs w:val="44"/>
        </w:rPr>
        <w:t xml:space="preserve">EXECUTIVE SUMMARY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Strategic Trade Transmission &amp; Arbitrage Risk X-ecution Solutions</w:t>
      </w:r>
    </w:p>
    <w:p>
      <w:pPr>
        <w:pStyle w:val="Heading1"/>
      </w:pPr>
      <w:r>
        <w:t xml:space="preserve">Introduction</w:t>
      </w:r>
    </w:p>
    <w:p>
      <w:pPr>
        <w:spacing w:after="200"/>
      </w:pPr>
      <w:r>
        <w:t xml:space="preserve">STTAURX introduces the world's first gold-backed stablecoin designed specifically for international trade finance. By combining the stability of physical gold with blockchain efficiency, we eliminate the friction, delays, and currency risk that plague $18 trillion in annual cross-border trade.</w:t>
      </w:r>
    </w:p>
    <w:p>
      <w:pPr>
        <w:pStyle w:val="Heading1"/>
      </w:pPr>
      <w:r>
        <w:t xml:space="preserve">The Problem</w:t>
      </w:r>
    </w:p>
    <w:p>
      <w:pPr>
        <w:spacing w:after="200"/>
      </w:pPr>
      <w:r>
        <w:t xml:space="preserve">International trade finance is fundamentally broken: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5-10 days </w:t>
      </w:r>
      <w:r>
        <w:t xml:space="preserve">settlement time through correspondent banking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3-7% fees </w:t>
      </w:r>
      <w:r>
        <w:t xml:space="preserve">to intermediaries (SWIFT, banks, agents)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20+ paper documents </w:t>
      </w:r>
      <w:r>
        <w:t xml:space="preserve">per transaction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$1.7 trillion trade finance gap </w:t>
      </w:r>
      <w:r>
        <w:t xml:space="preserve">for SMEs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Currency volatility </w:t>
      </w:r>
      <w:r>
        <w:t xml:space="preserve">during settlement period</w:t>
      </w:r>
    </w:p>
    <w:p>
      <w:pPr>
        <w:pStyle w:val="Heading1"/>
      </w:pPr>
      <w:r>
        <w:t xml:space="preserve">Our Solution: GOLD Token</w:t>
      </w:r>
    </w:p>
    <w:p>
      <w:pPr>
        <w:spacing w:after="200"/>
      </w:pPr>
      <w:r>
        <w:t xml:space="preserve">The GOLD token maintains a strict 1:1 backing with physical gold stored in audited vaults: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4d03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4d03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Backing Ratio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GOLD = 1 gram physical gold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LBMA-certified vaults (Brinks, Loomis)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Audit Frequency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Monthly third-party verification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Redemption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Physical gold or fiat at spot price</w:t>
            </w:r>
          </w:p>
        </w:tc>
      </w:tr>
    </w:tbl>
    <w:p/>
    <w:p>
      <w:pPr>
        <w:pStyle w:val="Heading1"/>
      </w:pPr>
      <w:r>
        <w:t xml:space="preserve">Smart Letter of Credit</w:t>
      </w:r>
    </w:p>
    <w:p>
      <w:pPr>
        <w:spacing w:after="200"/>
      </w:pPr>
      <w:r>
        <w:t xml:space="preserve">Our revolutionary Smart LC automates milestone-based payments: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4d03f"/>
                <w:sz w:val="22"/>
                <w:szCs w:val="22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4d03f"/>
                <w:sz w:val="22"/>
                <w:szCs w:val="22"/>
              </w:rPr>
              <w:t xml:space="preserve">Payment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4d03f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1. Shipment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Bill of Lading verified on-chain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2. Customs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Import clearance documentation verified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3. 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Delivery confirmation + quality inspection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Staking &amp; Yield Model</w:t>
      </w:r>
    </w:p>
    <w:p>
      <w:pPr>
        <w:spacing w:after="200"/>
      </w:pPr>
      <w:r>
        <w:t xml:space="preserve">GOLD holders earn yield from trade finance fees through our tiered staking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4d03f"/>
                <w:sz w:val="22"/>
                <w:szCs w:val="22"/>
              </w:rPr>
              <w:t xml:space="preserve">Lock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4d03f"/>
                <w:sz w:val="22"/>
                <w:szCs w:val="22"/>
              </w:rPr>
              <w:t xml:space="preserve">APY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4d03f"/>
                <w:sz w:val="22"/>
                <w:szCs w:val="22"/>
              </w:rPr>
              <w:t xml:space="preserve">Bonus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Flexible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1.0x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1.5x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2.0x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2.5x</w:t>
            </w:r>
          </w:p>
        </w:tc>
      </w:tr>
    </w:tbl>
    <w:p/>
    <w:p>
      <w:pPr>
        <w:pStyle w:val="Heading1"/>
      </w:pPr>
      <w:r>
        <w:t xml:space="preserve">Fee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4d03f"/>
                <w:sz w:val="22"/>
                <w:szCs w:val="22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4d03f"/>
                <w:sz w:val="22"/>
                <w:szCs w:val="22"/>
              </w:rPr>
              <w:t xml:space="preserve">Fee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GOLD Minting/Redemption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Smart LC Creation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Milestone Payment Release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0.05%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Peer-to-peer Transfer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0.02%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Total Trade Finance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&lt; 1% (vs 3-7% traditional)</w:t>
            </w:r>
          </w:p>
        </w:tc>
      </w:tr>
    </w:tbl>
    <w:p/>
    <w:p>
      <w:pPr>
        <w:pStyle w:val="Heading1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$18 trillion </w:t>
      </w:r>
      <w:r>
        <w:t xml:space="preserve">annual cross-border trade volume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$1.7 trillion </w:t>
      </w:r>
      <w:r>
        <w:t xml:space="preserve">unmet trade finance demand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80% </w:t>
      </w:r>
      <w:r>
        <w:t xml:space="preserve">of SME trade finance applications rejected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$200B+ </w:t>
      </w:r>
      <w:r>
        <w:t xml:space="preserve">tokenized gold market by 2028</w:t>
      </w:r>
    </w:p>
    <w:p>
      <w:pPr>
        <w:pStyle w:val="Heading1"/>
      </w:pPr>
      <w:r>
        <w:t xml:space="preserve">Competitive Advantage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First-mover: </w:t>
      </w:r>
      <w:r>
        <w:t xml:space="preserve">Only gold-backed stablecoin with integrated trade finance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 backing: </w:t>
      </w:r>
      <w:r>
        <w:t xml:space="preserve">Physical gold vs algorithmic alternatives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LCs: </w:t>
      </w:r>
      <w:r>
        <w:t xml:space="preserve">Automated milestone payments reduce fraud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Yield generation: </w:t>
      </w:r>
      <w:r>
        <w:t xml:space="preserve">Sustainable returns from real economic activity</w:t>
      </w:r>
    </w:p>
    <w:p>
      <w:pPr>
        <w:pStyle w:val="Heading1"/>
      </w:pPr>
      <w:r>
        <w:t xml:space="preserve">Contact &amp; Resources</w:t>
      </w:r>
    </w:p>
    <w:p>
      <w:pPr>
        <w:spacing w:after="100"/>
      </w:pPr>
      <w:r>
        <w:rPr>
          <w:b/>
          <w:bCs/>
        </w:rPr>
        <w:t xml:space="preserve">Website: </w:t>
      </w:r>
      <w:r>
        <w:t xml:space="preserve">https://sttaurx.io</w:t>
      </w:r>
    </w:p>
    <w:p>
      <w:pPr>
        <w:spacing w:after="100"/>
      </w:pPr>
      <w:r>
        <w:rPr>
          <w:b/>
          <w:bCs/>
        </w:rPr>
        <w:t xml:space="preserve">Documentation: </w:t>
      </w:r>
      <w:r>
        <w:t xml:space="preserve">https://docs.sttaurx.io</w:t>
      </w:r>
    </w:p>
    <w:p>
      <w:pPr>
        <w:spacing w:after="100"/>
      </w:pPr>
      <w:r>
        <w:rPr>
          <w:b/>
          <w:bCs/>
        </w:rPr>
        <w:t xml:space="preserve">Explorer: </w:t>
      </w:r>
      <w:r>
        <w:t xml:space="preserve">https://explorer.sttaurx.io</w:t>
      </w:r>
    </w:p>
    <w:p>
      <w:r>
        <w:rPr>
          <w:b/>
          <w:bCs/>
        </w:rPr>
        <w:t xml:space="preserve">Contact: </w:t>
      </w:r>
      <w:r>
        <w:t xml:space="preserve">info@sttaurx.io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2026 STTAURX Platform |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STTAURX Platform Whitepaper |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7883983760ae6b31cd44f0507f6731df71b4ccc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2026-02-01T22:46:08.347Z</dcterms:created>
  <dcterms:modified xsi:type="dcterms:W3CDTF">2026-02-01T22:46:08.348Z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