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t xml:space="preserve">[Date]</w:t>
      </w:r>
    </w:p>
    <w:p>
      <w:pPr>
        <w:spacing w:after="140"/>
      </w:pPr>
      <w:r>
        <w:t xml:space="preserve">John Darrell Van Horn, Ph.D.</w:t>
      </w:r>
      <w:r>
        <w:br/>
        <w:t xml:space="preserve">Professor of Psychology and Quantitative Foundation Distinguished Professor of Data Science</w:t>
      </w:r>
      <w:r>
        <w:br/>
        <w:t xml:space="preserve">University of Virginia</w:t>
      </w:r>
    </w:p>
    <w:p>
      <w:pPr>
        <w:spacing w:after="140"/>
      </w:pPr>
      <w:r>
        <w:rPr>
          <w:b/>
          <w:bCs/>
        </w:rPr>
        <w:t xml:space="preserve">Re: Application for NEO GPU Compute Access (Ivy/Rio) – Lynch Laboratory</w:t>
      </w:r>
    </w:p>
    <w:p>
      <w:pPr>
        <w:spacing w:after="140"/>
      </w:pPr>
      <w:r>
        <w:t xml:space="preserve">Dear Dr. Van Horn,</w:t>
      </w:r>
    </w:p>
    <w:p>
      <w:pPr>
        <w:spacing w:after="140"/>
      </w:pPr>
      <w:r>
        <w:t xml:space="preserve">Thank you for making the NEO system available to NIH-funded investigators, and congratulations on the S10 award. On behalf of Dr. Wendy Lynch and the Lynch Laboratory, I am writing to apply for access. Our project description is attached, and this letter summarizes it.</w:t>
      </w:r>
    </w:p>
    <w:p>
      <w:pPr>
        <w:spacing w:after="140"/>
      </w:pPr>
      <w:r>
        <w:rPr>
          <w:b/>
          <w:bCs/>
        </w:rPr>
        <w:t xml:space="preserve">The problem. </w:t>
      </w:r>
      <w:r>
        <w:t xml:space="preserve">Our research program generates large datasets, including single-nucleus RNA-sequencing (snRNA-seq) and immunohistochemistry (IHC) images, that we cannot analyze as quickly or as thoroughly as we would like. Sequencing studies routinely yield far more differentially expressed genes (DEGs), cell states, and pathways than we can reasonably evaluate experimentally. The most important transcriptional changes in addiction may not simply be the largest DEGs. Their significance may depend on behavioral phenotype, sex, and stage of the addiction process or abstinence. IHC image analysis is similarly time-consuming, and its throughput limits how many samples and brain regions we can examine.</w:t>
      </w:r>
    </w:p>
    <w:p>
      <w:pPr>
        <w:spacing w:after="140"/>
      </w:pPr>
      <w:r>
        <w:rPr>
          <w:b/>
          <w:bCs/>
        </w:rPr>
        <w:t xml:space="preserve">Application area. </w:t>
      </w:r>
      <w:r>
        <w:t xml:space="preserve">We would use NEO for two projects. The first applies GPU-accelerated and machine-learning methods to our RNA-seq and snRNA-seq data to prioritize cell-type-specific transcriptional changes in relation to behavior, sex, and abstinence stage. [Datasets: names, species, number of samples or nuclei, approximate size.] The second develops and applies deep-learning models to speed up the analysis of our IHC images. [Stains, brain regions, number of images, approximate size.]</w:t>
      </w:r>
    </w:p>
    <w:p>
      <w:pPr>
        <w:spacing w:after="140"/>
      </w:pPr>
      <w:r>
        <w:rPr>
          <w:b/>
          <w:bCs/>
        </w:rPr>
        <w:t xml:space="preserve">Why NEO and Ivy. </w:t>
      </w:r>
      <w:r>
        <w:t xml:space="preserve">Our AI work currently runs on a single desktop workstation with one 16 GB GPU, and its analysis environment has no deep-learning libraries installed. That is enough for small models but not for training or running the larger models these projects call for. Our RNA-seq data and analysis files alone occupy about 110 GB. We also want our unpublished experimental data to remain in University-managed, secure systems, and Ivy provides this.</w:t>
      </w:r>
    </w:p>
    <w:p>
      <w:pPr>
        <w:spacing w:after="140"/>
      </w:pPr>
      <w:r>
        <w:rPr>
          <w:b/>
          <w:bCs/>
        </w:rPr>
        <w:t xml:space="preserve">Our lab’s readiness. </w:t>
      </w:r>
      <w:r>
        <w:t xml:space="preserve">We are not starting from scratch. Dr. Greatness Olaitan, a postdoctoral fellow in the Lynch Lab, has built a locally hosted set of AI assistants that work directly with our laboratory files. They have been used to troubleshoot sequencing pipelines and to support imaging analysis. We test them against datasets in which the answers are already known, and every number they report must trace to a command that was actually run. We would bring the same standards to our work on NEO.</w:t>
      </w:r>
    </w:p>
    <w:p>
      <w:pPr>
        <w:spacing w:after="140"/>
      </w:pPr>
      <w:r>
        <w:rPr>
          <w:b/>
          <w:bCs/>
        </w:rPr>
        <w:t xml:space="preserve">How we would use NEO. </w:t>
      </w:r>
      <w:r>
        <w:t xml:space="preserve">Once approved, we would use SLURM to run GPU batch jobs for the sequencing analyses and for training and applying the image-analysis models. We would check results against datasets with established findings and document our methods so that the analyses can be reproduced. Outputs would be stored in our Ivy home and project directories. If we need additional software, such as deep-learning libraries, we will ask Research Computing to review it before installation. [Confirm software list.]</w:t>
      </w:r>
    </w:p>
    <w:p>
      <w:pPr>
        <w:spacing w:after="140"/>
      </w:pPr>
      <w:r>
        <w:rPr>
          <w:b/>
          <w:bCs/>
        </w:rPr>
        <w:t xml:space="preserve">Resources requested. </w:t>
      </w:r>
      <w:r>
        <w:t xml:space="preserve">We are asking for [X] GPU(s), approximately [X] GPU-hours per month, and [X] TB of Ivy project storage to begin (our RNA-seq folder alone is about 110 GB), and we are glad to adjust to what is available. Our team includes Dr. Wendy Lynch (PI), Dr. Greatness Olaitan, Kenneth Okojie, and Aaron Le. [Confirm names and roles.] Our Ivy/Rio project is [name / status].</w:t>
      </w:r>
    </w:p>
    <w:p>
      <w:pPr>
        <w:spacing w:after="140"/>
      </w:pPr>
      <w:r>
        <w:rPr>
          <w:b/>
          <w:bCs/>
        </w:rPr>
        <w:t xml:space="preserve">Collaboration and acknowledgment. </w:t>
      </w:r>
      <w:r>
        <w:t xml:space="preserve">We would welcome collaboration with the School of Data Science faculty you mentioned. We will list S10 award 1S10OD038249-01 in the funding and acknowledgment sections of all resulting publications, presentations, and posters, and we will let you know if NEO is listed in the Resources section of any new NIH application.</w:t>
      </w:r>
    </w:p>
    <w:p>
      <w:pPr>
        <w:spacing w:after="140"/>
      </w:pPr>
      <w:r>
        <w:t xml:space="preserve">Thank you for your consideration. We would be glad to answer any questions from the NEO Advisory Board.</w:t>
      </w:r>
    </w:p>
    <w:p>
      <w:pPr>
        <w:spacing w:after="140"/>
      </w:pPr>
      <w:r>
        <w:t xml:space="preserve">Respectfully yours,</w:t>
      </w:r>
    </w:p>
    <w:p>
      <w:pPr>
        <w:spacing w:after="140"/>
      </w:pPr>
      <w:r>
        <w:t xml:space="preserve">Greatness O. Olaitan, Ph.D.</w:t>
      </w:r>
      <w:r>
        <w:br/>
        <w:t xml:space="preserve">Postdoctoral Fellow, Lynch Laboratory</w:t>
      </w:r>
      <w:r>
        <w:br/>
        <w:t xml:space="preserve">On behalf of Wendy J. Lynch, Ph.D. (PI)</w:t>
      </w:r>
      <w:r>
        <w:br/>
        <w:t xml:space="preserve">[UVA email]</w:t>
      </w:r>
    </w:p>
    <w:p>
      <w:pPr>
        <w:spacing w:after="140"/>
      </w:pPr>
      <w:r>
        <w:t xml:space="preserve">cc: Wendy J. Lynch; Kenneth Okojie</w:t>
      </w:r>
    </w:p>
    <w:sectPr>
      <w:pgSz w:w="12240" w:h="15840"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2026-09-29T02:02:13.792Z</dcterms:created>
  <dcterms:modified xsi:type="dcterms:W3CDTF">2026-09-29T02:02:13.799Z</dcterms:modified>
</cp:coreProperties>
</file>

<file path=docProps/custom.xml><?xml version="1.0" encoding="utf-8"?>
<Properties xmlns="http://schemas.openxmlformats.org/officeDocument/2006/custom-properties" xmlns:vt="http://schemas.openxmlformats.org/officeDocument/2006/docPropsVTypes"/>
</file>