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sz w:val="26"/>
          <w:szCs w:val="26"/>
        </w:rPr>
        <w:t xml:space="preserve">LOI: From Data to Discovery: A Secure Multi-Agent AI Platform for Multimodal Addiction Neuroscience</w:t>
      </w:r>
    </w:p>
    <w:p>
      <w:pPr>
        <w:spacing w:after="140"/>
      </w:pPr>
      <w:r>
        <w:rPr>
          <w:b/>
          <w:bCs/>
        </w:rPr>
        <w:t xml:space="preserve">The problem. </w:t>
      </w:r>
      <w:r>
        <w:t xml:space="preserve">Our research program generates large, heterogeneous datasets, including behavioral, neurochemical, molecular, and imaging data that ultimately need to be interpreted together. The challenge is increasingly moving efficiently from complex data to the findings most likely to advance biological understanding. In our work, behavior provides the phenotype against which downstream molecular, neurochemical, and physiological changes are interpreted.</w:t>
      </w:r>
    </w:p>
    <w:p>
      <w:pPr>
        <w:spacing w:after="140"/>
      </w:pPr>
      <w:r>
        <w:t xml:space="preserve">This is particularly challenging for high-dimensional datasets such as single-nucleus RNA-sequencing (snRNA-seq). These studies routinely yield far more differentially expressed genes (DEGs), cell states, and pathways than we can reasonably evaluate experimentally. Moreover, the most important transcriptional changes in addiction may not simply be the largest DEGs. Their significance may depend on behavioral phenotype, sex, stage of the addiction process or abstinence. Manually evaluating these relationships across thousands of genes is not feasible.</w:t>
      </w:r>
    </w:p>
    <w:p>
      <w:pPr>
        <w:spacing w:after="140"/>
      </w:pPr>
      <w:r>
        <w:t xml:space="preserve">The Lynch and Venton Labs bring complementary strengths in behavioral neuroscience, addiction research, neurochemistry, molecular biology, imaging, and computational approaches, but no single investigator has equal depth across all areas. Data-analysis and AI capabilities are also advancing rapidly. We see agentic AI as an opportunity to bring this expertise together, accelerate the path from data to discovery, and make advanced analytical approaches more accessible and reproducible across the team.</w:t>
      </w:r>
    </w:p>
    <w:p>
      <w:pPr>
        <w:spacing w:after="140"/>
      </w:pPr>
      <w:r>
        <w:rPr>
          <w:b/>
          <w:bCs/>
        </w:rPr>
        <w:t xml:space="preserve">How our lab handles it now. </w:t>
      </w:r>
      <w:r>
        <w:t xml:space="preserve">Our studies generally begin with behavior. Before interpreting molecular or neurochemical findings, we first establish that the behavioral dataset is sound and that the expected phenotype is present. This requires reviewing individual data points and patterns over time, checking baseline equivalence and control groups, visualizing data in multiple ways, and investigating unexpected findings to determine whether they reflect biology or a technical issue. This step is essential to the integrity of our work but can take an enormous amount of investigator time.</w:t>
      </w:r>
    </w:p>
    <w:p>
      <w:pPr>
        <w:spacing w:after="140"/>
      </w:pPr>
      <w:r>
        <w:t xml:space="preserve">Downstream datasets are then analyzed separately using modality-specific programs and pipelines. Investigators with expertise in each area review the results, and findings are integrated through additional analyses, collaborative meetings, and literature review. As our datasets become larger and more complex, the number of potentially important findings grows much faster than our capacity to evaluate them.</w:t>
      </w:r>
    </w:p>
    <w:p>
      <w:pPr>
        <w:spacing w:after="140"/>
      </w:pPr>
      <w:r>
        <w:rPr>
          <w:b/>
          <w:bCs/>
        </w:rPr>
        <w:t xml:space="preserve">Application area. </w:t>
      </w:r>
      <w:r>
        <w:t xml:space="preserve">The proposed platform spans hypothesis generation, experimental design, computational workflows, literature synthesis, and laboratory workflows. We would develop and evaluate it using active projects in our addiction neuroscience program. These include snRNA-seq studies requiring prioritization of cell-type-specific molecular changes and focused-ultrasound (FUS) neuromodulation studies in which stimulation conditions must be evaluated across neurochemical, behavioral, imaging, and sex-dependent outcomes.</w:t>
      </w:r>
    </w:p>
    <w:p>
      <w:pPr>
        <w:spacing w:after="140"/>
      </w:pPr>
      <w:r>
        <w:rPr>
          <w:b/>
          <w:bCs/>
        </w:rPr>
        <w:t xml:space="preserve">Where an agent could help. </w:t>
      </w:r>
      <w:r>
        <w:t xml:space="preserve">We envision a coordinated multi-agent platform that supports the path from data quality and analysis through integration and prioritization. One important starting point is behavioral data vetting. An agent could organize and visualize individual data points, assess patterns and trajectories, check baseline equivalence and control performance, and identify unusual findings for closer review. These functions would be developed with experienced behavioral scientists so that the system reflects the design and biological logic of the study.</w:t>
      </w:r>
    </w:p>
    <w:p>
      <w:pPr>
        <w:spacing w:after="140"/>
      </w:pPr>
      <w:r>
        <w:t xml:space="preserve">Specialized agents could then execute and troubleshoot computational pipelines, analyze individual data types, search and synthesize relevant literature, and identify relationships across datasets. For snRNA-seq, an agent could move beyond simple DEG ranking by integrating behavioral phenotype, sex, abstinence stage, cell state, pathway relationships, and prior literature to identify transcriptional changes most likely to be mechanistically important and worth validating.</w:t>
      </w:r>
    </w:p>
    <w:p>
      <w:pPr>
        <w:spacing w:after="140"/>
      </w:pPr>
      <w:r>
        <w:t xml:space="preserve">For FUS studies, agents could integrate stimulation parameters with imaging/calibration data, machine-learning-extracted fast-scan cyclic voltammetry signals, behavioral outcomes, and sex to identify and rank conditions associated with the strongest biological effects. A coordinating agent could bring findings across modalities together, identify converging results or unexpected discrepancies, and prioritize observations with the greatest mechanistic or translational potential.</w:t>
      </w:r>
    </w:p>
    <w:p>
      <w:pPr>
        <w:spacing w:after="140"/>
      </w:pPr>
      <w:r>
        <w:t xml:space="preserve">A literature-synthesis agent could work alongside these analyses, providing supporting or conflicting evidence as candidates emerge. The platform could also document how analyses were performed and allow investigators to examine the basis for each result or prioritization decision. This would make the system useful not only for analysis but also for bringing team members with different backgrounds up to speed on emerging analytical and AI approaches.</w:t>
      </w:r>
    </w:p>
    <w:p>
      <w:pPr>
        <w:spacing w:after="140"/>
      </w:pPr>
      <w:r>
        <w:t xml:space="preserve">Rigorous evaluation would be built into development. We could test the system on datasets in which important findings have already been established, compare agent-identified behavioral anomalies with expert review, and prospectively track whether prioritized molecular targets or FUS conditions are supported by subsequent experiments.</w:t>
      </w:r>
    </w:p>
    <w:p>
      <w:pPr>
        <w:spacing w:after="140"/>
      </w:pPr>
      <w:r>
        <w:rPr>
          <w:b/>
          <w:bCs/>
        </w:rPr>
        <w:t xml:space="preserve">Our lab’s readiness. </w:t>
      </w:r>
      <w:r>
        <w:t xml:space="preserve">We already have a working, tested platform rather than a concept. Dr. Greatness Olaitan, a postdoctoral fellow in the Lynch Lab, has built a locally hosted system of 13 specialist agents that work directly with laboratory project files. They cover statistics and R/Python pipelines, pipeline debugging, image analysis, literature synthesis and extraction, manuscript drafting and editing, acoustic dosimetry, and hardware design. The system has already been used to troubleshoot sequencing pipelines and support FUS calibration and imaging analysis.</w:t>
      </w:r>
    </w:p>
    <w:p>
      <w:pPr>
        <w:spacing w:after="140"/>
      </w:pPr>
      <w:r>
        <w:t xml:space="preserve">Reliability has been engineered in from the start. Every command an agent runs leaves an auditable receipt, and every reported number must trace to command output. Agents must use vetted loaders for our irregular laboratory spreadsheets, unsourced numbers are flagged, and requests outside an agent’s scope are routed to the right specialist. We measure the system with known-answer test batteries whose ground truth is computed at test time. Across our first three 12-run batteries (36 runs), the agents reported no fabricated values; every failure was a non-answer, and each was traced to a specific defect and fixed. Pass rates rose from 7 of 12 to 10 of 12 as defects were fixed, and the remaining failures are under review.</w:t>
      </w:r>
    </w:p>
    <w:p>
      <w:pPr>
        <w:spacing w:after="140"/>
      </w:pPr>
      <w:r>
        <w:t xml:space="preserve">The Lynch and Venton Labs provide the scientific expertise and active datasets needed to build and rigorously evaluate the platform. The Lynch Lab contributes expertise in behavioral pharmacology, addiction, substance use disorders, sex differences, molecular neuroscience, and experimental therapeutics. The Venton laboratory contributes expertise in fast-scan cyclic voltammetry, neurochemical measurement, focused ultrasound, and computational analysis of dopamine signaling. Dr. Olaitan works across these areas and provides the technical bridge to the existing prototype.</w:t>
      </w:r>
    </w:p>
    <w:p>
      <w:pPr>
        <w:spacing w:after="140"/>
      </w:pPr>
      <w:r>
        <w:rPr>
          <w:b/>
          <w:bCs/>
        </w:rPr>
        <w:t xml:space="preserve">Where the prototype stands today. </w:t>
      </w:r>
      <w:r>
        <w:t xml:space="preserve">The prototype runs on a single desktop workstation (AMD Ryzen 7 9800X3D, 96 GB RAM, one 16 GB GPU, Windows 11 Home) using open-weight models served locally, with no cloud model access. Attachment A summarizes what it can and cannot do. In brief, it is a strong proof of concept for behavioral data vetting and statistics, but it is not yet a dependable platform for unattended use, and it has not yet been validated on snRNA-seq prioritization, IHC quantification, or FUS/FSCV integration.</w:t>
      </w:r>
    </w:p>
    <w:p>
      <w:pPr>
        <w:spacing w:after="140"/>
      </w:pPr>
      <w:r>
        <w:rPr>
          <w:b/>
          <w:bCs/>
        </w:rPr>
        <w:t xml:space="preserve">Support we need most. </w:t>
      </w:r>
      <w:r>
        <w:t xml:space="preserve">Our greatest need is AI engineering expertise to transform this local prototype into a coordinated and reliable multi-agent platform. The gaps we have measured are specific: model capacity (our hardware limits us to roughly 20B-parameter models), reliability of multi-step tool use, a single-user, single-machine design, and validation on our main data types. We need help with workflow orchestration, tool integration, provenance tracking, evaluation, and secure scaling beyond a single workstation. Infrastructure and compute support and model credits would allow us to evaluate different approaches across larger datasets.</w:t>
      </w:r>
    </w:p>
    <w:p>
      <w:pPr>
        <w:spacing w:after="140"/>
      </w:pPr>
      <w:r>
        <w:t xml:space="preserve">Team training is also a major priority. Different members of our group bring deep expertise in behavior, neurochemistry, experimental design, molecular biology, or computation. We want to bring those strengths together while expanding our shared understanding of current AI and data-analysis capabilities. Hands-on guidance in building and evaluating the platform would help us develop common, reproducible approaches across the research team. Proposal-development support would help us translate the resulting system and preliminary findings into competitive external applications.</w:t>
      </w:r>
    </w:p>
    <w:p>
      <w:pPr>
        <w:spacing w:after="140"/>
      </w:pPr>
      <w:r>
        <w:t xml:space="preserve">AI Launch would allow us to transform an operational prototype into a generalizable scientific platform that accelerates discovery across our current research program and provides the foundation for a new externally funded line of AI-enabled experimental neuroscience. The resulting capabilities would directly support future NIH applications in neuromodulation, addiction, sex differences, and molecular mechanisms of disease, while providing a broader foundation for externally funded work in AI-enabled scientific discovery.</w:t>
      </w:r>
    </w:p>
    <w:p>
      <w:r>
        <w:br w:type="page"/>
      </w:r>
    </w:p>
    <w:p>
      <w:pPr>
        <w:spacing w:after="120"/>
      </w:pPr>
      <w:r>
        <w:rPr>
          <w:b/>
          <w:bCs/>
          <w:sz w:val="26"/>
          <w:szCs w:val="26"/>
        </w:rPr>
        <w:t xml:space="preserve">Attachment A – Current Platform: Capabilities and Limitations</w:t>
      </w:r>
    </w:p>
    <w:p>
      <w:pPr>
        <w:spacing w:after="140"/>
      </w:pPr>
      <w:r>
        <w:t xml:space="preserve">Status as of late September 2026, from our own logs and test results.</w:t>
      </w:r>
    </w:p>
    <w:p>
      <w:pPr>
        <w:spacing w:after="100" w:before="200"/>
      </w:pPr>
      <w:r>
        <w:rPr>
          <w:b/>
          <w:bCs/>
          <w:sz w:val="24"/>
          <w:szCs w:val="24"/>
        </w:rPr>
        <w:t xml:space="preserve">What it can do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Agent area</w:t>
            </w:r>
          </w:p>
        </w:tc>
        <w:tc>
          <w:tcPr>
            <w:tcW w:type="dxa" w:w="61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Current capability</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Statistics and pipelines (Bio-Statistician, Deep Debugger, Rapid Shell)</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Runs commands against lab files and reports counts, means, correlations, and figures. Uses vetted loaders for irregular lab spreadsheets (duplicate headers, side-by-side tables, summary rows). Applies Fisher r-to-z and Benjamini–Hochberg correction.</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Image analysis (Image Analyst, vision model)</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Describes lab images such as Western blots and FSCV colour plots and routes measurement tasks. Descriptive only; no validated quantification yet.</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Acoustics and hardware (LIFU Chronic Operations, UMSAN Model Engineer, Fixture and Transducer CAD)</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Dosimetry calculations (ISPPA, ISPTA, MI), UMSAN model code support, and 3D-printable fixture design with volume and watertightness checks.</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Writing and literature (Grant Writer, Senior PI Editor, Literature Synthesizer and Extractor, Clinical Diagnostics)</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Drafting, editing, and structured extraction from provided text. These agents have no terminal access.</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Routing between agents</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On a held-out test, 23 of 26 out-of-scope requests were routed to the right specialist and 5 of 6 in-scope requests were kept.</w:t>
            </w:r>
          </w:p>
        </w:tc>
      </w:tr>
    </w:tbl>
    <w:p>
      <w:pPr>
        <w:spacing w:after="100" w:before="200"/>
      </w:pPr>
      <w:r>
        <w:rPr>
          <w:b/>
          <w:bCs/>
          <w:sz w:val="24"/>
          <w:szCs w:val="24"/>
        </w:rPr>
        <w:t xml:space="preserve">Safeguards built in</w:t>
      </w:r>
    </w:p>
    <w:p>
      <w:pPr>
        <w:pStyle w:val="ListParagraph"/>
        <w:numPr>
          <w:ilvl w:val="0"/>
          <w:numId w:val="2"/>
        </w:numPr>
        <w:spacing w:after="80"/>
      </w:pPr>
      <w:r>
        <w:t xml:space="preserve">Auditable receipt for every command (process ID, exit code, output); reported numbers must trace to command output.</w:t>
      </w:r>
    </w:p>
    <w:p>
      <w:pPr>
        <w:pStyle w:val="ListParagraph"/>
        <w:numPr>
          <w:ilvl w:val="0"/>
          <w:numId w:val="2"/>
        </w:numPr>
        <w:spacing w:after="80"/>
      </w:pPr>
      <w:r>
        <w:t xml:space="preserve">The runner flags unsourced decimals, never reports unfinished commands as results, and stops repeated or circling agents.</w:t>
      </w:r>
    </w:p>
    <w:p>
      <w:pPr>
        <w:pStyle w:val="ListParagraph"/>
        <w:numPr>
          <w:ilvl w:val="0"/>
          <w:numId w:val="2"/>
        </w:numPr>
        <w:spacing w:after="80"/>
      </w:pPr>
      <w:r>
        <w:t xml:space="preserve">A gate forces agents to profile any lab spreadsheet with the vetted loader before reading it. The terminal is fail-closed, lab data is read-only, and web search is off on data-handling agents.</w:t>
      </w:r>
    </w:p>
    <w:p>
      <w:pPr>
        <w:pStyle w:val="ListParagraph"/>
        <w:numPr>
          <w:ilvl w:val="0"/>
          <w:numId w:val="2"/>
        </w:numPr>
        <w:spacing w:after="80"/>
      </w:pPr>
      <w:r>
        <w:t xml:space="preserve">Known-answer test batteries compute ground truth at test time.</w:t>
      </w:r>
    </w:p>
    <w:p>
      <w:pPr>
        <w:spacing w:after="100" w:before="200"/>
      </w:pPr>
      <w:r>
        <w:rPr>
          <w:b/>
          <w:bCs/>
          <w:sz w:val="24"/>
          <w:szCs w:val="24"/>
        </w:rPr>
        <w:t xml:space="preserve">Limitations</w:t>
      </w:r>
    </w:p>
    <w:p>
      <w:pPr>
        <w:pStyle w:val="ListParagraph"/>
        <w:numPr>
          <w:ilvl w:val="0"/>
          <w:numId w:val="2"/>
        </w:numPr>
        <w:spacing w:after="80"/>
      </w:pPr>
      <w:r>
        <w:rPr>
          <w:b/>
          <w:bCs/>
        </w:rPr>
        <w:t xml:space="preserve">Model size. </w:t>
      </w:r>
      <w:r>
        <w:t xml:space="preserve">Large dense models are unusable on our 16 GB GPU (a 70B model ran at about 1.5 tokens per second). Our practical ceiling is roughly 20B dense or 30B mixture-of-experts models, and agents built on them struggle with multi-step tool use.</w:t>
      </w:r>
    </w:p>
    <w:p>
      <w:pPr>
        <w:pStyle w:val="ListParagraph"/>
        <w:numPr>
          <w:ilvl w:val="0"/>
          <w:numId w:val="2"/>
        </w:numPr>
        <w:spacing w:after="80"/>
      </w:pPr>
      <w:r>
        <w:rPr>
          <w:b/>
          <w:bCs/>
        </w:rPr>
        <w:t xml:space="preserve">Reliability. </w:t>
      </w:r>
      <w:r>
        <w:t xml:space="preserve">Simple tasks (a file count, a column mean) often take 8–15 turns. Logged failure modes include malformed tool calls, invented file paths, repeated commands, and stalls. Our runner catches them, but they cost time.</w:t>
      </w:r>
    </w:p>
    <w:p>
      <w:pPr>
        <w:pStyle w:val="ListParagraph"/>
        <w:numPr>
          <w:ilvl w:val="0"/>
          <w:numId w:val="2"/>
        </w:numPr>
        <w:spacing w:after="80"/>
      </w:pPr>
      <w:r>
        <w:rPr>
          <w:b/>
          <w:bCs/>
        </w:rPr>
        <w:t xml:space="preserve">Accuracy. </w:t>
      </w:r>
      <w:r>
        <w:t xml:space="preserve">Battery pass rates rose from 7/12 to 10/12 as we fixed defects. Failures in the first 36 runs were non-answers, not wrong numbers, but human verification is still required.</w:t>
      </w:r>
    </w:p>
    <w:p>
      <w:pPr>
        <w:pStyle w:val="ListParagraph"/>
        <w:numPr>
          <w:ilvl w:val="0"/>
          <w:numId w:val="2"/>
        </w:numPr>
        <w:spacing w:after="80"/>
      </w:pPr>
      <w:r>
        <w:rPr>
          <w:b/>
          <w:bCs/>
        </w:rPr>
        <w:t xml:space="preserve">Arithmetic. </w:t>
      </w:r>
      <w:r>
        <w:t xml:space="preserve">The models miscalculate unless they run code, so a command must produce every number.</w:t>
      </w:r>
    </w:p>
    <w:p>
      <w:pPr>
        <w:pStyle w:val="ListParagraph"/>
        <w:numPr>
          <w:ilvl w:val="0"/>
          <w:numId w:val="2"/>
        </w:numPr>
        <w:spacing w:after="80"/>
      </w:pPr>
      <w:r>
        <w:rPr>
          <w:b/>
          <w:bCs/>
        </w:rPr>
        <w:t xml:space="preserve">Coverage. </w:t>
      </w:r>
      <w:r>
        <w:t xml:space="preserve">Validation so far covers behavioral tables and workbooks. snRNA-seq prioritization, IHC quantification, and FUS/FSCV integration are not yet validated.</w:t>
      </w:r>
    </w:p>
    <w:p>
      <w:pPr>
        <w:pStyle w:val="ListParagraph"/>
        <w:numPr>
          <w:ilvl w:val="0"/>
          <w:numId w:val="2"/>
        </w:numPr>
        <w:spacing w:after="80"/>
      </w:pPr>
      <w:r>
        <w:rPr>
          <w:b/>
          <w:bCs/>
        </w:rPr>
        <w:t xml:space="preserve">Scale and security. </w:t>
      </w:r>
      <w:r>
        <w:t xml:space="preserve">Single-user, single-machine, with no job scheduling, shared provenance store, or multi-user access control. Two clinical/literature agents cannot call tools with current models.</w:t>
      </w:r>
    </w:p>
    <w:sectPr>
      <w:pgSz w:w="12240" w:h="15840" w:orient="portrait"/>
      <w:pgMar w:top="12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2026-09-29T01:45:29.520Z</dcterms:created>
  <dcterms:modified xsi:type="dcterms:W3CDTF">2026-09-29T01:45:29.520Z</dcterms:modified>
</cp:coreProperties>
</file>

<file path=docProps/custom.xml><?xml version="1.0" encoding="utf-8"?>
<Properties xmlns="http://schemas.openxmlformats.org/officeDocument/2006/custom-properties" xmlns:vt="http://schemas.openxmlformats.org/officeDocument/2006/docPropsVTypes"/>
</file>