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</w:pPr>
      <w:r>
        <w:t xml:space="preserve">[Date]</w:t>
      </w:r>
    </w:p>
    <w:p>
      <w:pPr>
        <w:spacing w:after="140"/>
      </w:pPr>
      <w:r>
        <w:t xml:space="preserve">John Darrell Van Horn, Ph.D.</w:t>
      </w:r>
      <w:r>
        <w:br/>
        <w:t xml:space="preserve">Professor of Psychology and Quantitative Foundation Distinguished Professor of Data Science</w:t>
      </w:r>
      <w:r>
        <w:br/>
        <w:t xml:space="preserve">University of Virginia</w:t>
      </w:r>
    </w:p>
    <w:p>
      <w:pPr>
        <w:spacing w:after="140"/>
      </w:pPr>
      <w:r>
        <w:rPr>
          <w:b/>
          <w:bCs/>
        </w:rPr>
        <w:t xml:space="preserve">Re: Application for NEO GPU Compute Access (Ivy/Rio) – Lynch Laboratory</w:t>
      </w:r>
    </w:p>
    <w:p>
      <w:pPr>
        <w:spacing w:after="140"/>
      </w:pPr>
      <w:r>
        <w:t xml:space="preserve">Dear Dr. Van Horn,</w:t>
      </w:r>
    </w:p>
    <w:p>
      <w:pPr>
        <w:spacing w:after="140"/>
      </w:pPr>
      <w:r>
        <w:t xml:space="preserve">Congratulations on the NIH S10 award and on bringing NEO into service. On behalf of Dr. Wendy Lynch and the Lynch Laboratory, I am requesting access to the NEO NVIDIA Grace Hopper GPUs. Dr. Lynch forwarded your announcement to our group. The project description is attached; this letter summarizes it.</w:t>
      </w:r>
    </w:p>
    <w:p>
      <w:pPr>
        <w:spacing w:after="100" w:before="200"/>
      </w:pPr>
      <w:r>
        <w:rPr>
          <w:b/>
          <w:bCs/>
          <w:sz w:val="24"/>
          <w:szCs w:val="24"/>
        </w:rPr>
        <w:t xml:space="preserve">Project</w:t>
      </w:r>
    </w:p>
    <w:p>
      <w:pPr>
        <w:spacing w:after="140"/>
      </w:pPr>
      <w:r>
        <w:t xml:space="preserve">We would use NEO for two analysis problems in our addiction-neuroscience research that are limited by our current compute: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GPU-accelerated RNA-seq and snRNA-seq analysis. </w:t>
      </w:r>
      <w:r>
        <w:t xml:space="preserve">Our sequencing studies yield far more differentially expressed genes, cell states, and pathways than we can evaluate experimentally. We want to apply GPU-accelerated and machine-learning methods to prioritize cell-type-specific changes by behavioral phenotype, sex, and stage of the addiction process or abstinence. [Datasets: names, species, number of samples/nuclei, approximate size.]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AI-assisted image analysis of immunohistochemistry (IHC) data. </w:t>
      </w:r>
      <w:r>
        <w:t xml:space="preserve">We want to train and run deep-learning models to speed up analysis of our IHC images. [Stains, brain regions, number of images, approximate size.]</w:t>
      </w:r>
    </w:p>
    <w:p>
      <w:pPr>
        <w:spacing w:after="140"/>
      </w:pPr>
      <w:r>
        <w:t xml:space="preserve">Our existing local AI tools will support both projects (see below); NEO would provide the compute they lack.</w:t>
      </w:r>
    </w:p>
    <w:p>
      <w:pPr>
        <w:spacing w:after="100" w:before="200"/>
      </w:pPr>
      <w:r>
        <w:rPr>
          <w:b/>
          <w:bCs/>
          <w:sz w:val="24"/>
          <w:szCs w:val="24"/>
        </w:rPr>
        <w:t xml:space="preserve">Why NEO, and why Ivy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Compute. </w:t>
      </w:r>
      <w:r>
        <w:t xml:space="preserve">Our AI work currently runs on one desktop workstation (AMD Ryzen 7 9800X3D, 96 GB RAM, one 16 GB GPU). It cannot train or run larger image and sequencing models at useful speed.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Data security. </w:t>
      </w:r>
      <w:r>
        <w:t xml:space="preserve">Our unpublished experimental data should stay in University-managed, secure systems. Ivy meets that requirement, and NEO is available only through Ivy.</w:t>
      </w:r>
    </w:p>
    <w:p>
      <w:pPr>
        <w:spacing w:after="100" w:before="200"/>
      </w:pPr>
      <w:r>
        <w:rPr>
          <w:b/>
          <w:bCs/>
          <w:sz w:val="24"/>
          <w:szCs w:val="24"/>
        </w:rPr>
        <w:t xml:space="preserve">Existing preparation</w:t>
      </w:r>
    </w:p>
    <w:p>
      <w:pPr>
        <w:spacing w:after="140"/>
      </w:pPr>
      <w:r>
        <w:t xml:space="preserve">Dr. Greatness Olaitan (postdoctoral fellow, Lynch Lab) has built a locally hosted set of AI assistants that work directly with our laboratory files. They help troubleshoot R and Python sequencing pipelines, run audited statistical analyses, and describe laboratory images. We test them against known-answer datasets, and every number they report must trace to a command that was actually run. We would carry the same practices to NEO.</w:t>
      </w:r>
    </w:p>
    <w:p>
      <w:pPr>
        <w:spacing w:after="100" w:before="200"/>
      </w:pPr>
      <w:r>
        <w:rPr>
          <w:b/>
          <w:bCs/>
          <w:sz w:val="24"/>
          <w:szCs w:val="24"/>
        </w:rPr>
        <w:t xml:space="preserve">Proposed use of NEO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Submit GPU batch jobs through SLURM for RNA-seq/snRNA-seq analysis and for training and applying IHC image-analysis models.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Validate results against datasets where the answer is already established, and document the methods for reproducibility.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Store outputs in our Ivy home and project directories.</w:t>
      </w:r>
    </w:p>
    <w:p>
      <w:pPr>
        <w:spacing w:after="140"/>
      </w:pPr>
      <w:r>
        <w:rPr>
          <w:b/>
          <w:bCs/>
        </w:rPr>
        <w:t xml:space="preserve">Initial resource request: </w:t>
      </w:r>
      <w:r>
        <w:t xml:space="preserve">[X] GPU(s), approximately [X] GPU-hours per month, and [X] TB of Ivy project storage. We are glad to start small and grow. We will also ask Research Computing to review any additional software we need (for example, deep-learning libraries) before installation. [Confirm software list.]</w:t>
      </w:r>
    </w:p>
    <w:p>
      <w:pPr>
        <w:spacing w:after="140"/>
      </w:pPr>
      <w:r>
        <w:rPr>
          <w:b/>
          <w:bCs/>
        </w:rPr>
        <w:t xml:space="preserve">Team: </w:t>
      </w:r>
      <w:r>
        <w:t xml:space="preserve">Dr. Wendy Lynch (PI); Dr. Greatness Olaitan; Kenneth Okojie; Aaron Le. [Confirm names and roles.] Ivy/Rio project: [name / status].</w:t>
      </w:r>
    </w:p>
    <w:p>
      <w:pPr>
        <w:spacing w:after="100" w:before="200"/>
      </w:pPr>
      <w:r>
        <w:rPr>
          <w:b/>
          <w:bCs/>
          <w:sz w:val="24"/>
          <w:szCs w:val="24"/>
        </w:rPr>
        <w:t xml:space="preserve">Collaboration and acknowledgment</w:t>
      </w:r>
    </w:p>
    <w:p>
      <w:pPr>
        <w:spacing w:after="140"/>
      </w:pPr>
      <w:r>
        <w:t xml:space="preserve">We would welcome collaboration with the School of Data Science faculty you mentioned. We will cite S10 award 1S10OD038249-01 in all publications, presentations, and posters, and will tell you if NEO is listed in the Resources section of any new NIH application.</w:t>
      </w:r>
    </w:p>
    <w:p>
      <w:pPr>
        <w:spacing w:after="140"/>
      </w:pPr>
      <w:r>
        <w:t xml:space="preserve">Thank you for your consideration. We would be glad to answer questions from the NEO Advisory Board.</w:t>
      </w:r>
    </w:p>
    <w:p>
      <w:pPr>
        <w:spacing w:after="140"/>
      </w:pPr>
      <w:r>
        <w:t xml:space="preserve">Respectfully,</w:t>
      </w:r>
    </w:p>
    <w:p>
      <w:pPr>
        <w:spacing w:after="140"/>
      </w:pPr>
      <w:r>
        <w:t xml:space="preserve">Greatness O. Olaitan, Ph.D.</w:t>
      </w:r>
      <w:r>
        <w:br/>
        <w:t xml:space="preserve">Postdoctoral Fellow, Lynch Laboratory</w:t>
      </w:r>
      <w:r>
        <w:br/>
        <w:t xml:space="preserve">On behalf of Wendy J. Lynch, Ph.D. (PI)</w:t>
      </w:r>
      <w:r>
        <w:br/>
        <w:t xml:space="preserve">[UVA email]</w:t>
      </w:r>
    </w:p>
    <w:p>
      <w:pPr>
        <w:spacing w:after="140"/>
      </w:pPr>
      <w:r>
        <w:t xml:space="preserve">cc: Wendy J. Lynch; Kenneth Okojie</w:t>
      </w:r>
    </w:p>
    <w:sectPr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2026-09-29T01:45:29.375Z</dcterms:created>
  <dcterms:modified xsi:type="dcterms:W3CDTF">2026-09-29T01:45:29.378Z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