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pPr>
      <w:r>
        <w:t xml:space="preserve">[Date]</w:t>
      </w:r>
    </w:p>
    <w:p>
      <w:pPr>
        <w:spacing w:after="140"/>
      </w:pPr>
      <w:r>
        <w:t xml:space="preserve">John Darrell Van Horn, Ph.D.</w:t>
      </w:r>
      <w:r>
        <w:br/>
        <w:t xml:space="preserve">Professor of Psychology and Quantitative Foundation Distinguished Professor of Data Science</w:t>
      </w:r>
      <w:r>
        <w:br/>
        <w:t xml:space="preserve">University of Virginia</w:t>
      </w:r>
    </w:p>
    <w:p>
      <w:pPr>
        <w:spacing w:after="140"/>
      </w:pPr>
      <w:r>
        <w:rPr>
          <w:b/>
          <w:bCs/>
        </w:rPr>
        <w:t xml:space="preserve">Re: Application for NEO GPU Compute Access (Ivy/Rio) – Lynch Laboratory</w:t>
      </w:r>
    </w:p>
    <w:p>
      <w:pPr>
        <w:spacing w:after="140"/>
      </w:pPr>
      <w:r>
        <w:t xml:space="preserve">Dear Dr. Van Horn,</w:t>
      </w:r>
    </w:p>
    <w:p>
      <w:pPr>
        <w:spacing w:after="140"/>
      </w:pPr>
      <w:r>
        <w:t xml:space="preserve">Congratulations on the NIH S10 award and on getting the NEO system into service. On behalf of Dr. Wendy Lynch and the Lynch Laboratory, I am writing to request access to the NEO NVIDIA Grace Hopper GPUs for our addiction-neuroscience research. The project description is attached; this letter summarizes it, and Attachment A describes what our current AI platform can and cannot do today, so that NEO can take it to the next level. Dr. Lynch forwarded your announcement to our group and we are keen to begin.</w:t>
      </w:r>
    </w:p>
    <w:p>
      <w:pPr>
        <w:spacing w:after="100" w:before="200"/>
      </w:pPr>
      <w:r>
        <w:rPr>
          <w:b/>
          <w:bCs/>
          <w:sz w:val="24"/>
          <w:szCs w:val="24"/>
        </w:rPr>
        <w:t xml:space="preserve">Project</w:t>
      </w:r>
    </w:p>
    <w:p>
      <w:pPr>
        <w:spacing w:after="140"/>
      </w:pPr>
      <w:r>
        <w:t xml:space="preserve">Our project is a secure, locally governed multi-agent AI platform for analyzing multimodal addiction-neuroscience data. Our data span behavior, single-nucleus RNA-seq (snRNA-seq) and bulk RNA-seq, immunohistochemistry (IHC) images, and focused-ultrasound (FUS) and fast-scan cyclic voltammetry (FSCV) neurochemistry. The platform helps investigators vet behavioral data, run and troubleshoot analysis pipelines, and prioritize findings across modalities by phenotype, sex, and stage of the addiction process. Every reported number must trace to an executed command.</w:t>
      </w:r>
    </w:p>
    <w:p>
      <w:pPr>
        <w:spacing w:after="100" w:before="200"/>
      </w:pPr>
      <w:r>
        <w:rPr>
          <w:b/>
          <w:bCs/>
          <w:sz w:val="24"/>
          <w:szCs w:val="24"/>
        </w:rPr>
        <w:t xml:space="preserve">Why NEO, and why Ivy</w:t>
      </w:r>
    </w:p>
    <w:p>
      <w:pPr>
        <w:pStyle w:val="ListParagraph"/>
        <w:numPr>
          <w:ilvl w:val="0"/>
          <w:numId w:val="2"/>
        </w:numPr>
        <w:spacing w:after="80"/>
      </w:pPr>
      <w:r>
        <w:rPr>
          <w:b/>
          <w:bCs/>
        </w:rPr>
        <w:t xml:space="preserve">Our current hardware is the limit. </w:t>
      </w:r>
      <w:r>
        <w:t xml:space="preserve">The platform runs on one desktop workstation (AMD Ryzen 7 9800X3D, 96 GB RAM, a single 16 GB consumer GPU, Windows 11 Home). In our benchmarks, dense models larger than about 14 GB spill into system memory and collapse; a 70B-parameter model ran at about 1.5 tokens per second. Our practical ceiling is roughly 20B-parameter dense models, or 30B mixture-of-experts models, and larger open-weight language and vision models are out of reach.</w:t>
      </w:r>
    </w:p>
    <w:p>
      <w:pPr>
        <w:pStyle w:val="ListParagraph"/>
        <w:numPr>
          <w:ilvl w:val="0"/>
          <w:numId w:val="2"/>
        </w:numPr>
        <w:spacing w:after="80"/>
      </w:pPr>
      <w:r>
        <w:rPr>
          <w:b/>
          <w:bCs/>
        </w:rPr>
        <w:t xml:space="preserve">Data governance. </w:t>
      </w:r>
      <w:r>
        <w:t xml:space="preserve">Our policy is that unpublished protocols, manuscripts, and all experimental data stay off third-party clouds. Ivy is a secure, University-managed environment, so NEO lets us scale the platform without moving data outside that boundary.</w:t>
      </w:r>
    </w:p>
    <w:p>
      <w:pPr>
        <w:pStyle w:val="ListParagraph"/>
        <w:numPr>
          <w:ilvl w:val="0"/>
          <w:numId w:val="2"/>
        </w:numPr>
        <w:spacing w:after="80"/>
      </w:pPr>
      <w:r>
        <w:rPr>
          <w:b/>
          <w:bCs/>
        </w:rPr>
        <w:t xml:space="preserve">Image analysis. </w:t>
      </w:r>
      <w:r>
        <w:t xml:space="preserve">We want AI-assisted quantification of IHC images and other imaging data, including FUS calibration imaging. A vision-language model is already in our prototype, but our workstation limits its size and throughput.</w:t>
      </w:r>
    </w:p>
    <w:p>
      <w:pPr>
        <w:pStyle w:val="ListParagraph"/>
        <w:numPr>
          <w:ilvl w:val="0"/>
          <w:numId w:val="2"/>
        </w:numPr>
        <w:spacing w:after="80"/>
      </w:pPr>
      <w:r>
        <w:rPr>
          <w:b/>
          <w:bCs/>
        </w:rPr>
        <w:t xml:space="preserve">Sequencing. </w:t>
      </w:r>
      <w:r>
        <w:t xml:space="preserve">Cell-type-resolved snRNA-seq and RNA-seq workflows, and the model-driven prioritization of candidate genes and pathways built on them, would benefit from GPU acceleration.</w:t>
      </w:r>
    </w:p>
    <w:p>
      <w:pPr>
        <w:spacing w:after="100" w:before="200"/>
      </w:pPr>
      <w:r>
        <w:rPr>
          <w:b/>
          <w:bCs/>
          <w:sz w:val="24"/>
          <w:szCs w:val="24"/>
        </w:rPr>
        <w:t xml:space="preserve">Preliminary work</w:t>
      </w:r>
    </w:p>
    <w:p>
      <w:pPr>
        <w:spacing w:after="140"/>
      </w:pPr>
      <w:r>
        <w:t xml:space="preserve">Dr. Greatness Olaitan (postdoctoral fellow, Lynch Lab) has built a working multi-agent system that reads laboratory project files directly. It includes personas for statistics, R and Python pipeline debugging, literature extraction, image analysis, and CAD, and it has been used for sequencing-pipeline troubleshooting and FUS calibration and imaging support. We test it with known-answer batteries whose ground truth is computed at test time. Across our first three 12-run batteries (36 agent runs) the agent reported no fabricated numeric values; every failure was a non-answer, each traced to a specific tool or runner defect and fixed. In the most recent battery, 10 of 12 runs passed, and the two that did not are under review. The agent runner also writes an auditable receipt for every command it executes. This provenance and audit approach is what we intend to carry onto NEO.</w:t>
      </w:r>
    </w:p>
    <w:p>
      <w:pPr>
        <w:spacing w:after="100" w:before="200"/>
      </w:pPr>
      <w:r>
        <w:rPr>
          <w:b/>
          <w:bCs/>
          <w:sz w:val="24"/>
          <w:szCs w:val="24"/>
        </w:rPr>
        <w:t xml:space="preserve">Proposed use of NEO</w:t>
      </w:r>
    </w:p>
    <w:p>
      <w:pPr>
        <w:pStyle w:val="ListParagraph"/>
        <w:numPr>
          <w:ilvl w:val="0"/>
          <w:numId w:val="2"/>
        </w:numPr>
        <w:spacing w:after="80"/>
      </w:pPr>
      <w:r>
        <w:t xml:space="preserve">Run larger open-weight language and vision-language models (in the tens-of-billions to ~70B parameter class) for statistical-analysis, pipeline-debugging, literature-synthesis, and image-analysis agents on Ivy data.</w:t>
      </w:r>
    </w:p>
    <w:p>
      <w:pPr>
        <w:pStyle w:val="ListParagraph"/>
        <w:numPr>
          <w:ilvl w:val="0"/>
          <w:numId w:val="2"/>
        </w:numPr>
        <w:spacing w:after="80"/>
      </w:pPr>
      <w:r>
        <w:t xml:space="preserve">Submit batch GPU jobs through SLURM for snRNA-seq/RNA-seq analysis and for machine-learning extraction of FSCV signals and imaging features.</w:t>
      </w:r>
    </w:p>
    <w:p>
      <w:pPr>
        <w:pStyle w:val="ListParagraph"/>
        <w:numPr>
          <w:ilvl w:val="0"/>
          <w:numId w:val="2"/>
        </w:numPr>
        <w:spacing w:after="80"/>
      </w:pPr>
      <w:r>
        <w:t xml:space="preserve">Benchmark agent accuracy and reproducibility on datasets with known answers, comparing the larger models against our current 16 GB baseline.</w:t>
      </w:r>
    </w:p>
    <w:p>
      <w:pPr>
        <w:spacing w:after="140"/>
      </w:pPr>
      <w:r>
        <w:rPr>
          <w:b/>
          <w:bCs/>
        </w:rPr>
        <w:t xml:space="preserve">Initial resource request: </w:t>
      </w:r>
      <w:r>
        <w:t xml:space="preserve">[X] GPU(s), approximately [X] GPU-hours per month, and [X] TB of project storage on Ivy. We are happy to start small and scale as the project matures. We would also ask Research Computing to review installation of an inference runtime and open-weight model files for use on Ivy, subject to its security review.</w:t>
      </w:r>
    </w:p>
    <w:p>
      <w:pPr>
        <w:spacing w:after="140"/>
      </w:pPr>
      <w:r>
        <w:rPr>
          <w:b/>
          <w:bCs/>
        </w:rPr>
        <w:t xml:space="preserve">Team: </w:t>
      </w:r>
      <w:r>
        <w:t xml:space="preserve">Dr. Wendy Lynch (PI); Dr. Greatness Olaitan; Kenneth Okojie; Aaron Le; and Dr. Jill Venton’s laboratory for FSCV/FUS collaboration. [Confirm names and roles.] Our Ivy/Rio project is [project name/status: on file / requested].</w:t>
      </w:r>
    </w:p>
    <w:p>
      <w:pPr>
        <w:spacing w:after="100" w:before="200"/>
      </w:pPr>
      <w:r>
        <w:rPr>
          <w:b/>
          <w:bCs/>
          <w:sz w:val="24"/>
          <w:szCs w:val="24"/>
        </w:rPr>
        <w:t xml:space="preserve">Collaboration and acknowledgment</w:t>
      </w:r>
    </w:p>
    <w:p>
      <w:pPr>
        <w:spacing w:after="140"/>
      </w:pPr>
      <w:r>
        <w:t xml:space="preserve">We would welcome collaboration with the School of Data Science faculty you mentioned, particularly on evaluating agentic AI approaches on brain data. We will cite S10 award 1S10OD038249-01 in all resulting publications, presentations, and posters, and we will tell you if NEO is listed in the Resources section of any new NIH application.</w:t>
      </w:r>
    </w:p>
    <w:p>
      <w:pPr>
        <w:spacing w:after="140"/>
      </w:pPr>
      <w:r>
        <w:t xml:space="preserve">Thank you for your consideration. We would be glad to answer any questions or meet with the NEO Advisory Board.</w:t>
      </w:r>
    </w:p>
    <w:p>
      <w:pPr>
        <w:spacing w:after="140"/>
      </w:pPr>
      <w:r>
        <w:t xml:space="preserve">Respectfully,</w:t>
      </w:r>
    </w:p>
    <w:p>
      <w:pPr>
        <w:spacing w:after="140"/>
      </w:pPr>
      <w:r>
        <w:t xml:space="preserve">Greatness O. Olaitan, Ph.D.</w:t>
      </w:r>
      <w:r>
        <w:br/>
        <w:t xml:space="preserve">Postdoctoral Fellow, Lynch Laboratory</w:t>
      </w:r>
      <w:r>
        <w:br/>
        <w:t xml:space="preserve">On behalf of Wendy J. Lynch, Ph.D. (PI)</w:t>
      </w:r>
      <w:r>
        <w:br/>
        <w:t xml:space="preserve">greatnessolaitan02@gmail.com [replace with UVA email]</w:t>
      </w:r>
    </w:p>
    <w:p>
      <w:pPr>
        <w:spacing w:after="140"/>
      </w:pPr>
      <w:r>
        <w:t xml:space="preserve">cc: Wendy J. Lynch; Kenneth Okojie</w:t>
      </w:r>
    </w:p>
    <w:p>
      <w:pPr>
        <w:spacing w:after="140"/>
      </w:pPr>
      <w:r>
        <w:t xml:space="preserve">Attachment A: Current AI platform, capabilities and limitations</w:t>
      </w:r>
    </w:p>
    <w:p>
      <w:r>
        <w:br w:type="page"/>
      </w:r>
    </w:p>
    <w:p>
      <w:pPr>
        <w:spacing w:after="120"/>
      </w:pPr>
      <w:r>
        <w:rPr>
          <w:b/>
          <w:bCs/>
          <w:sz w:val="26"/>
          <w:szCs w:val="26"/>
        </w:rPr>
        <w:t xml:space="preserve">Attachment A – Current AI Platform: Capabilities and Limitations</w:t>
      </w:r>
    </w:p>
    <w:p>
      <w:pPr>
        <w:spacing w:after="140"/>
      </w:pPr>
      <w:r>
        <w:t xml:space="preserve">Status as of late September 2026, from our own logs and test results. This is a local prototype, not a production system.</w:t>
      </w:r>
    </w:p>
    <w:p>
      <w:pPr>
        <w:spacing w:after="100" w:before="200"/>
      </w:pPr>
      <w:r>
        <w:rPr>
          <w:b/>
          <w:bCs/>
          <w:sz w:val="24"/>
          <w:szCs w:val="24"/>
        </w:rPr>
        <w:t xml:space="preserve">Current environment</w:t>
      </w:r>
    </w:p>
    <w:p>
      <w:pPr>
        <w:pStyle w:val="ListParagraph"/>
        <w:numPr>
          <w:ilvl w:val="0"/>
          <w:numId w:val="2"/>
        </w:numPr>
        <w:spacing w:after="80"/>
      </w:pPr>
      <w:r>
        <w:t xml:space="preserve">Single workstation (LYNCHIMAGING): AMD Ryzen 7 9800X3D (8 cores), 96 GB RAM, one 16 GB GPU, Windows 11 Home. Single user, no failover.</w:t>
      </w:r>
    </w:p>
    <w:p>
      <w:pPr>
        <w:pStyle w:val="ListParagraph"/>
        <w:numPr>
          <w:ilvl w:val="0"/>
          <w:numId w:val="2"/>
        </w:numPr>
        <w:spacing w:after="80"/>
      </w:pPr>
      <w:r>
        <w:t xml:space="preserve">Open WebUI plus an isolated command-line environment, both in Docker containers, with local models served through Ollama. No cloud model access is connected. Lab data is mounted read-only; outputs go to one writable folder.</w:t>
      </w:r>
    </w:p>
    <w:p>
      <w:pPr>
        <w:pStyle w:val="ListParagraph"/>
        <w:numPr>
          <w:ilvl w:val="0"/>
          <w:numId w:val="2"/>
        </w:numPr>
        <w:spacing w:after="80"/>
      </w:pPr>
      <w:r>
        <w:t xml:space="preserve">13 specialist agents (“personas”) on 10 open-weight models, with 14 registered tools. All 13 pass our structural readiness check; that check does not measure answer quality.</w:t>
      </w:r>
    </w:p>
    <w:p>
      <w:pPr>
        <w:spacing w:after="100" w:before="200"/>
      </w:pPr>
      <w:r>
        <w:rPr>
          <w:b/>
          <w:bCs/>
          <w:sz w:val="24"/>
          <w:szCs w:val="24"/>
        </w:rPr>
        <w:t xml:space="preserve">What it can do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20"/>
                <w:szCs w:val="20"/>
              </w:rPr>
              <w:t xml:space="preserve">Agent area</w:t>
            </w:r>
          </w:p>
        </w:tc>
        <w:tc>
          <w:tcPr>
            <w:tcW w:type="dxa" w:w="6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20"/>
                <w:szCs w:val="20"/>
              </w:rPr>
              <w:t xml:space="preserve">Current capability</w:t>
            </w:r>
          </w:p>
        </w:tc>
      </w:tr>
      <w:t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Statistics and R/Python pipelines (Bio-Statistician, Deep Debugger, Rapid Shell)</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Runs commands against lab files and reports counts, means, correlations, and figures. Uses vetted loaders for the lab’s messy spreadsheets (duplicate headers, side-by-side tables, summary rows). Applies Fisher r-to-z and Benjamini–Hochberg correction.</w:t>
            </w:r>
          </w:p>
        </w:tc>
      </w:tr>
      <w:t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Image analysis (Image Analyst, vision model)</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Describes lab images such as Western blots and FSCV colour plots and routes measurement tasks. It is descriptive only; it does not yet do validated quantification.</w:t>
            </w:r>
          </w:p>
        </w:tc>
      </w:tr>
      <w:t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Acoustics and hardware (LIFU Chronic Operations, UMSAN Model Engineer, Fixture and Transducer CAD)</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Dosimetry calculations (ISPPA, ISPTA, MI), UMSAN model code support, and 3D-printable fixture design with volume and watertightness checks.</w:t>
            </w:r>
          </w:p>
        </w:tc>
      </w:tr>
      <w:t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Writing and literature (Grant Writer, Senior PI Editor, Literature Synthesizer, Literature Extractor, Clinical Diagnostics)</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Drafting, editing, and structured extraction from provided text. These agents have no terminal access.</w:t>
            </w:r>
          </w:p>
        </w:tc>
      </w:tr>
      <w:t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Routing between agents</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Each agent hands out-of-scope requests to the right specialist. Held-out test: 23 of 26 out-of-scope requests routed correctly, 5 of 6 in-scope kept.</w:t>
            </w:r>
          </w:p>
        </w:tc>
      </w:tr>
    </w:tbl>
    <w:p>
      <w:pPr>
        <w:spacing w:after="100" w:before="200"/>
      </w:pPr>
      <w:r>
        <w:rPr>
          <w:b/>
          <w:bCs/>
          <w:sz w:val="24"/>
          <w:szCs w:val="24"/>
        </w:rPr>
        <w:t xml:space="preserve">Safeguards built in</w:t>
      </w:r>
    </w:p>
    <w:p>
      <w:pPr>
        <w:pStyle w:val="ListParagraph"/>
        <w:numPr>
          <w:ilvl w:val="0"/>
          <w:numId w:val="2"/>
        </w:numPr>
        <w:spacing w:after="80"/>
      </w:pPr>
      <w:r>
        <w:t xml:space="preserve">Every command run by an agent leaves an auditable receipt (process ID, exit code, output). Reported numbers must trace to command output.</w:t>
      </w:r>
    </w:p>
    <w:p>
      <w:pPr>
        <w:pStyle w:val="ListParagraph"/>
        <w:numPr>
          <w:ilvl w:val="0"/>
          <w:numId w:val="2"/>
        </w:numPr>
        <w:spacing w:after="80"/>
      </w:pPr>
      <w:r>
        <w:t xml:space="preserve">The runner checks final answers: an unsourced decimal is flagged, unfinished commands are never reported as results, and a repeated or circling agent is stopped.</w:t>
      </w:r>
    </w:p>
    <w:p>
      <w:pPr>
        <w:pStyle w:val="ListParagraph"/>
        <w:numPr>
          <w:ilvl w:val="0"/>
          <w:numId w:val="2"/>
        </w:numPr>
        <w:spacing w:after="80"/>
      </w:pPr>
      <w:r>
        <w:t xml:space="preserve">A gate forces agents to profile any lab spreadsheet with the vetted loader before reading it. The terminal is fail-closed, and lab data is read-only. Web search is off on data-handling agents.</w:t>
      </w:r>
    </w:p>
    <w:p>
      <w:pPr>
        <w:pStyle w:val="ListParagraph"/>
        <w:numPr>
          <w:ilvl w:val="0"/>
          <w:numId w:val="2"/>
        </w:numPr>
        <w:spacing w:after="80"/>
      </w:pPr>
      <w:r>
        <w:t xml:space="preserve">Known-answer test batteries compute ground truth at test time rather than storing expected numbers.</w:t>
      </w:r>
    </w:p>
    <w:p>
      <w:pPr>
        <w:spacing w:after="100" w:before="200"/>
      </w:pPr>
      <w:r>
        <w:rPr>
          <w:b/>
          <w:bCs/>
          <w:sz w:val="24"/>
          <w:szCs w:val="24"/>
        </w:rPr>
        <w:t xml:space="preserve">Limitations that NEO would help address</w:t>
      </w:r>
    </w:p>
    <w:p>
      <w:pPr>
        <w:pStyle w:val="ListParagraph"/>
        <w:numPr>
          <w:ilvl w:val="0"/>
          <w:numId w:val="2"/>
        </w:numPr>
        <w:spacing w:after="80"/>
      </w:pPr>
      <w:r>
        <w:rPr>
          <w:b/>
          <w:bCs/>
        </w:rPr>
        <w:t xml:space="preserve">Model size. </w:t>
      </w:r>
      <w:r>
        <w:t xml:space="preserve">Large dense models are unusable on our GPU, and 30B-class models run only in mixture-of-experts form. Agents built on 20B-class models struggle with multi-step tool use.</w:t>
      </w:r>
    </w:p>
    <w:p>
      <w:pPr>
        <w:pStyle w:val="ListParagraph"/>
        <w:numPr>
          <w:ilvl w:val="0"/>
          <w:numId w:val="2"/>
        </w:numPr>
        <w:spacing w:after="80"/>
      </w:pPr>
      <w:r>
        <w:rPr>
          <w:b/>
          <w:bCs/>
        </w:rPr>
        <w:t xml:space="preserve">Reliability. </w:t>
      </w:r>
      <w:r>
        <w:t xml:space="preserve">Even simple tasks (a file count, a column mean) often take 8–15 turns. Failure modes we have logged include malformed tool calls, invented file paths, repeated commands, and stalls. Our runner catches these, but they cost time.</w:t>
      </w:r>
    </w:p>
    <w:p>
      <w:pPr>
        <w:pStyle w:val="ListParagraph"/>
        <w:numPr>
          <w:ilvl w:val="0"/>
          <w:numId w:val="2"/>
        </w:numPr>
        <w:spacing w:after="80"/>
      </w:pPr>
      <w:r>
        <w:rPr>
          <w:b/>
          <w:bCs/>
        </w:rPr>
        <w:t xml:space="preserve">Accuracy. </w:t>
      </w:r>
      <w:r>
        <w:t xml:space="preserve">On 12-run known-answer batteries the pass rate rose from 7 of 12 to 10 of 12 as we fixed defects. Every failure in the first 36 runs was a non-answer rather than a wrong number, but the platform still needs human verification and is not ready for unattended use.</w:t>
      </w:r>
    </w:p>
    <w:p>
      <w:pPr>
        <w:pStyle w:val="ListParagraph"/>
        <w:numPr>
          <w:ilvl w:val="0"/>
          <w:numId w:val="2"/>
        </w:numPr>
        <w:spacing w:after="80"/>
      </w:pPr>
      <w:r>
        <w:rPr>
          <w:b/>
          <w:bCs/>
        </w:rPr>
        <w:t xml:space="preserve">Arithmetic. </w:t>
      </w:r>
      <w:r>
        <w:t xml:space="preserve">The models miscalculate unless they run code. We therefore require a command to produce every number.</w:t>
      </w:r>
    </w:p>
    <w:p>
      <w:pPr>
        <w:pStyle w:val="ListParagraph"/>
        <w:numPr>
          <w:ilvl w:val="0"/>
          <w:numId w:val="2"/>
        </w:numPr>
        <w:spacing w:after="80"/>
      </w:pPr>
      <w:r>
        <w:rPr>
          <w:b/>
          <w:bCs/>
        </w:rPr>
        <w:t xml:space="preserve">Coverage. </w:t>
      </w:r>
      <w:r>
        <w:t xml:space="preserve">Validation so far is on behavioral tables and workbooks. We have not yet validated end-to-end snRNA-seq prioritization, IHC quantification, or FUS/FSCV integration; these are the aims for NEO.</w:t>
      </w:r>
    </w:p>
    <w:p>
      <w:pPr>
        <w:pStyle w:val="ListParagraph"/>
        <w:numPr>
          <w:ilvl w:val="0"/>
          <w:numId w:val="2"/>
        </w:numPr>
        <w:spacing w:after="80"/>
      </w:pPr>
      <w:r>
        <w:rPr>
          <w:b/>
          <w:bCs/>
        </w:rPr>
        <w:t xml:space="preserve">Scale and security. </w:t>
      </w:r>
      <w:r>
        <w:t xml:space="preserve">The platform is single-user and single-machine, with no job scheduling, shared provenance store, or multi-user access control. Some agents (the two clinical/literature agents) cannot call tools at all with the current models.</w:t>
      </w:r>
    </w:p>
    <w:p>
      <w:pPr>
        <w:spacing w:after="100" w:before="200"/>
      </w:pPr>
      <w:r>
        <w:rPr>
          <w:b/>
          <w:bCs/>
          <w:sz w:val="24"/>
          <w:szCs w:val="24"/>
        </w:rPr>
        <w:t xml:space="preserve">What NEO would let us do next</w:t>
      </w:r>
    </w:p>
    <w:p>
      <w:pPr>
        <w:pStyle w:val="ListParagraph"/>
        <w:numPr>
          <w:ilvl w:val="0"/>
          <w:numId w:val="2"/>
        </w:numPr>
        <w:spacing w:after="80"/>
      </w:pPr>
      <w:r>
        <w:t xml:space="preserve">Replace 20B-class models with larger open-weight models and re-run our known-answer batteries to measure the gain.</w:t>
      </w:r>
    </w:p>
    <w:p>
      <w:pPr>
        <w:pStyle w:val="ListParagraph"/>
        <w:numPr>
          <w:ilvl w:val="0"/>
          <w:numId w:val="2"/>
        </w:numPr>
        <w:spacing w:after="80"/>
      </w:pPr>
      <w:r>
        <w:t xml:space="preserve">Run several agents in parallel on Ivy, close to the data, under Research Computing’s security controls.</w:t>
      </w:r>
    </w:p>
    <w:p>
      <w:pPr>
        <w:pStyle w:val="ListParagraph"/>
        <w:numPr>
          <w:ilvl w:val="0"/>
          <w:numId w:val="2"/>
        </w:numPr>
        <w:spacing w:after="80"/>
      </w:pPr>
      <w:r>
        <w:t xml:space="preserve">Validate the platform on snRNA-seq, IHC image, and FUS/FSCV datasets with ground truth, then share the evaluation results with the NEO community.</w:t>
      </w:r>
    </w:p>
    <w:sectPr>
      <w:pgSz w:w="12240" w:h="15840" w:orient="portrait"/>
      <w:pgMar w:top="12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2026-09-29T01:40:45.752Z</dcterms:created>
  <dcterms:modified xsi:type="dcterms:W3CDTF">2026-09-29T01:40:45.754Z</dcterms:modified>
</cp:coreProperties>
</file>

<file path=docProps/custom.xml><?xml version="1.0" encoding="utf-8"?>
<Properties xmlns="http://schemas.openxmlformats.org/officeDocument/2006/custom-properties" xmlns:vt="http://schemas.openxmlformats.org/officeDocument/2006/docPropsVTypes"/>
</file>