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t xml:space="preserve">[Date]</w:t>
      </w:r>
    </w:p>
    <w:p>
      <w:pPr>
        <w:spacing w:after="140"/>
      </w:pPr>
      <w:r>
        <w:t xml:space="preserve">John Darrell Van Horn, Ph.D.</w:t>
      </w:r>
      <w:r>
        <w:br/>
        <w:t xml:space="preserve">Professor of Psychology and Quantitative Foundation Distinguished Professor of Data Science</w:t>
      </w:r>
      <w:r>
        <w:br/>
        <w:t xml:space="preserve">University of Virginia</w:t>
      </w:r>
    </w:p>
    <w:p>
      <w:pPr>
        <w:spacing w:after="140"/>
      </w:pPr>
      <w:r>
        <w:rPr>
          <w:b/>
          <w:bCs/>
        </w:rPr>
        <w:t xml:space="preserve">Re: Application for NEO GPU Compute Access (Ivy/Rio) – Lynch Laboratory, Department of Psychiatry and Neurobehavioral Sciences</w:t>
      </w:r>
    </w:p>
    <w:p>
      <w:pPr>
        <w:spacing w:after="140"/>
      </w:pPr>
      <w:r>
        <w:t xml:space="preserve">Dear Dr. Van Horn,</w:t>
      </w:r>
    </w:p>
    <w:p>
      <w:pPr>
        <w:spacing w:after="140"/>
      </w:pPr>
      <w:r>
        <w:t xml:space="preserve">Congratulations on the NIH S10 award and on getting the NEO system into service. On behalf of Dr. Wendy Lynch and the Lynch Laboratory, I am writing to request access to the NEO NVIDIA Grace Hopper GPUs for our addiction-neuroscience research. The completed project description is attached; this letter summarizes it. Dr. Lynch forwarded your announcement to our group and we are keen to begin.</w:t>
      </w:r>
    </w:p>
    <w:p>
      <w:pPr>
        <w:spacing w:after="100" w:before="200"/>
      </w:pPr>
      <w:r>
        <w:rPr>
          <w:b/>
          <w:bCs/>
          <w:sz w:val="24"/>
          <w:szCs w:val="24"/>
        </w:rPr>
        <w:t xml:space="preserve">Project</w:t>
      </w:r>
    </w:p>
    <w:p>
      <w:pPr>
        <w:spacing w:after="140"/>
      </w:pPr>
      <w:r>
        <w:t xml:space="preserve">Our project is a secure, locally governed multi-agent AI platform for analyzing multimodal addiction-neuroscience data. Our data span behavior, single-nucleus RNA-seq (snRNA-seq) and bulk RNA-seq, immunohistochemistry (IHC) images, and focused-ultrasound (FUS) and fast-scan cyclic voltammetry (FSCV) neurochemistry. The platform helps investigators vet behavioral data, run and troubleshoot analysis pipelines, and prioritize findings across modalities by phenotype, sex, and stage of the addiction process. Every reported number must trace to an executed command.</w:t>
      </w:r>
    </w:p>
    <w:p>
      <w:pPr>
        <w:spacing w:after="100" w:before="200"/>
      </w:pPr>
      <w:r>
        <w:rPr>
          <w:b/>
          <w:bCs/>
          <w:sz w:val="24"/>
          <w:szCs w:val="24"/>
        </w:rPr>
        <w:t xml:space="preserve">Why NEO, and why Ivy</w:t>
      </w:r>
    </w:p>
    <w:p>
      <w:pPr>
        <w:pStyle w:val="ListParagraph"/>
        <w:numPr>
          <w:ilvl w:val="0"/>
          <w:numId w:val="2"/>
        </w:numPr>
        <w:spacing w:after="80"/>
      </w:pPr>
      <w:r>
        <w:rPr>
          <w:b/>
          <w:bCs/>
        </w:rPr>
        <w:t xml:space="preserve">Our current hardware is the limit. </w:t>
      </w:r>
      <w:r>
        <w:t xml:space="preserve">The platform runs on a single lab workstation with a 16 GB consumer GPU. In our benchmarks, models larger than about 14 GB spill into system memory and collapse; a 70B-parameter model ran at about 1.5 tokens per second. We are therefore confined to roughly 20B-parameter models, and larger open-weight language and vision models are unusable for us.</w:t>
      </w:r>
    </w:p>
    <w:p>
      <w:pPr>
        <w:pStyle w:val="ListParagraph"/>
        <w:numPr>
          <w:ilvl w:val="0"/>
          <w:numId w:val="2"/>
        </w:numPr>
        <w:spacing w:after="80"/>
      </w:pPr>
      <w:r>
        <w:rPr>
          <w:b/>
          <w:bCs/>
        </w:rPr>
        <w:t xml:space="preserve">Data governance. </w:t>
      </w:r>
      <w:r>
        <w:t xml:space="preserve">Our policy is that unpublished protocols, manuscripts, and all experimental data stay off third-party clouds. Ivy is a secure, University-managed environment, so NEO lets us scale the platform without moving data outside that boundary.</w:t>
      </w:r>
    </w:p>
    <w:p>
      <w:pPr>
        <w:pStyle w:val="ListParagraph"/>
        <w:numPr>
          <w:ilvl w:val="0"/>
          <w:numId w:val="2"/>
        </w:numPr>
        <w:spacing w:after="80"/>
      </w:pPr>
      <w:r>
        <w:rPr>
          <w:b/>
          <w:bCs/>
        </w:rPr>
        <w:t xml:space="preserve">Image analysis. </w:t>
      </w:r>
      <w:r>
        <w:t xml:space="preserve">We want AI-assisted quantification of IHC images and other imaging data, including FUS calibration imaging. A vision-language model is already in our prototype, but our workstation limits its size and throughput.</w:t>
      </w:r>
    </w:p>
    <w:p>
      <w:pPr>
        <w:pStyle w:val="ListParagraph"/>
        <w:numPr>
          <w:ilvl w:val="0"/>
          <w:numId w:val="2"/>
        </w:numPr>
        <w:spacing w:after="80"/>
      </w:pPr>
      <w:r>
        <w:rPr>
          <w:b/>
          <w:bCs/>
        </w:rPr>
        <w:t xml:space="preserve">Sequencing. </w:t>
      </w:r>
      <w:r>
        <w:t xml:space="preserve">Cell-type-resolved snRNA-seq and RNA-seq workflows, and the model-driven prioritization of candidate genes and pathways built on them, would benefit from GPU acceleration.</w:t>
      </w:r>
    </w:p>
    <w:p>
      <w:pPr>
        <w:spacing w:after="100" w:before="200"/>
      </w:pPr>
      <w:r>
        <w:rPr>
          <w:b/>
          <w:bCs/>
          <w:sz w:val="24"/>
          <w:szCs w:val="24"/>
        </w:rPr>
        <w:t xml:space="preserve">Preliminary work</w:t>
      </w:r>
    </w:p>
    <w:p>
      <w:pPr>
        <w:spacing w:after="140"/>
      </w:pPr>
      <w:r>
        <w:t xml:space="preserve">Dr. Greatness Olaitan (postdoctoral fellow, Lynch Lab) has built a working multi-agent system that reads laboratory project files directly. It includes personas for statistics, R and Python pipeline debugging, literature extraction, image analysis, and CAD, and it has been used for sequencing-pipeline troubleshooting and FUS calibration and imaging support. We test it with known-answer batteries whose ground truth is computed at test time. In the latest battery (36 agent runs) the agent reported no incorrect numeric values; every failure was a non-answer, and each was traced to a specific tool or runner defect and fixed. The agent runner also writes an auditable receipt for every command it executes. This provenance and audit approach is what we intend to carry onto NEO.</w:t>
      </w:r>
    </w:p>
    <w:p>
      <w:pPr>
        <w:spacing w:after="100" w:before="200"/>
      </w:pPr>
      <w:r>
        <w:rPr>
          <w:b/>
          <w:bCs/>
          <w:sz w:val="24"/>
          <w:szCs w:val="24"/>
        </w:rPr>
        <w:t xml:space="preserve">Proposed use of NEO</w:t>
      </w:r>
    </w:p>
    <w:p>
      <w:pPr>
        <w:pStyle w:val="ListParagraph"/>
        <w:numPr>
          <w:ilvl w:val="0"/>
          <w:numId w:val="2"/>
        </w:numPr>
        <w:spacing w:after="80"/>
      </w:pPr>
      <w:r>
        <w:t xml:space="preserve">Run larger open-weight language and vision-language models (in the tens-of-billions to ~70B parameter class) for statistical-analysis, pipeline-debugging, literature-synthesis, and image-analysis agents on Ivy data.</w:t>
      </w:r>
    </w:p>
    <w:p>
      <w:pPr>
        <w:pStyle w:val="ListParagraph"/>
        <w:numPr>
          <w:ilvl w:val="0"/>
          <w:numId w:val="2"/>
        </w:numPr>
        <w:spacing w:after="80"/>
      </w:pPr>
      <w:r>
        <w:t xml:space="preserve">Submit batch GPU jobs through SLURM for snRNA-seq/RNA-seq analysis and for machine-learning extraction of FSCV signals and imaging features.</w:t>
      </w:r>
    </w:p>
    <w:p>
      <w:pPr>
        <w:pStyle w:val="ListParagraph"/>
        <w:numPr>
          <w:ilvl w:val="0"/>
          <w:numId w:val="2"/>
        </w:numPr>
        <w:spacing w:after="80"/>
      </w:pPr>
      <w:r>
        <w:t xml:space="preserve">Benchmark agent accuracy and reproducibility on datasets with known answers, comparing the larger models against our current 16 GB baseline.</w:t>
      </w:r>
    </w:p>
    <w:p>
      <w:pPr>
        <w:spacing w:after="140"/>
      </w:pPr>
      <w:r>
        <w:rPr>
          <w:b/>
          <w:bCs/>
        </w:rPr>
        <w:t xml:space="preserve">Initial resource request: </w:t>
      </w:r>
      <w:r>
        <w:t xml:space="preserve">[X] GPU(s), approximately [X] GPU-hours per month, and [X] TB of project storage on Ivy. We are happy to start small and scale as the project matures. We would also ask Research Computing to review installation of an inference runtime and open-weight model files for use on Ivy, subject to its security review.</w:t>
      </w:r>
    </w:p>
    <w:p>
      <w:pPr>
        <w:spacing w:after="140"/>
      </w:pPr>
      <w:r>
        <w:rPr>
          <w:b/>
          <w:bCs/>
        </w:rPr>
        <w:t xml:space="preserve">Team: </w:t>
      </w:r>
      <w:r>
        <w:t xml:space="preserve">Dr. Wendy Lynch (PI); Dr. Greatness Olaitan; Kenneth Okojie; Aaron Le; and Dr. Jill Venton’s laboratory for FSCV/FUS collaboration. [Confirm names and roles.] Our Ivy/Rio project is [project name/status: on file / requested].</w:t>
      </w:r>
    </w:p>
    <w:p>
      <w:pPr>
        <w:spacing w:after="100" w:before="200"/>
      </w:pPr>
      <w:r>
        <w:rPr>
          <w:b/>
          <w:bCs/>
          <w:sz w:val="24"/>
          <w:szCs w:val="24"/>
        </w:rPr>
        <w:t xml:space="preserve">Collaboration and acknowledgment</w:t>
      </w:r>
    </w:p>
    <w:p>
      <w:pPr>
        <w:spacing w:after="140"/>
      </w:pPr>
      <w:r>
        <w:t xml:space="preserve">We would welcome collaboration with the School of Data Science faculty you mentioned, particularly on evaluating agentic AI approaches on brain data. We will cite S10 award 1S10OD038249-01 in all resulting publications, presentations, and posters, and we will tell you if NEO is listed in the Resources section of any new NIH application.</w:t>
      </w:r>
    </w:p>
    <w:p>
      <w:pPr>
        <w:spacing w:after="140"/>
      </w:pPr>
      <w:r>
        <w:t xml:space="preserve">Thank you for your consideration. We would be glad to answer any questions or meet with the NEO Advisory Board.</w:t>
      </w:r>
    </w:p>
    <w:p>
      <w:pPr>
        <w:spacing w:after="140"/>
      </w:pPr>
      <w:r>
        <w:t xml:space="preserve">Respectfully,</w:t>
      </w:r>
    </w:p>
    <w:p>
      <w:pPr>
        <w:spacing w:after="140"/>
      </w:pPr>
      <w:r>
        <w:t xml:space="preserve">Greatness O. Olaitan, Ph.D.</w:t>
      </w:r>
      <w:r>
        <w:br/>
        <w:t xml:space="preserve">Postdoctoral Fellow, Lynch Laboratory</w:t>
      </w:r>
      <w:r>
        <w:br/>
        <w:t xml:space="preserve">On behalf of Wendy J. Lynch, Ph.D. (PI)</w:t>
      </w:r>
      <w:r>
        <w:br/>
        <w:t xml:space="preserve">greatnessolaitan02@gmail.com [replace with UVA email]</w:t>
      </w:r>
    </w:p>
    <w:p>
      <w:pPr>
        <w:spacing w:after="140"/>
      </w:pPr>
      <w:r>
        <w:t xml:space="preserve">cc: Wendy J. Lynch; Kenneth Okojie</w:t>
      </w:r>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2026-09-29T01:34:54.897Z</dcterms:created>
  <dcterms:modified xsi:type="dcterms:W3CDTF">2026-09-29T01:34:54.897Z</dcterms:modified>
</cp:coreProperties>
</file>

<file path=docProps/custom.xml><?xml version="1.0" encoding="utf-8"?>
<Properties xmlns="http://schemas.openxmlformats.org/officeDocument/2006/custom-properties" xmlns:vt="http://schemas.openxmlformats.org/officeDocument/2006/docPropsVTypes"/>
</file>