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9297" w14:textId="6170AFC2" w:rsidR="0001285C" w:rsidRDefault="0001285C" w:rsidP="0037615E">
      <w:pPr>
        <w:pStyle w:val="berschrift1"/>
        <w:numPr>
          <w:ilvl w:val="0"/>
          <w:numId w:val="4"/>
        </w:numPr>
      </w:pPr>
      <w:r>
        <w:t>Introduction</w:t>
      </w:r>
    </w:p>
    <w:p w14:paraId="2C6CB536" w14:textId="5D3B22C6" w:rsidR="0001285C" w:rsidRDefault="0001285C" w:rsidP="0037615E">
      <w:proofErr w:type="spellStart"/>
      <w:r>
        <w:t>Bla</w:t>
      </w:r>
      <w:proofErr w:type="spellEnd"/>
    </w:p>
    <w:p w14:paraId="17C3CB48" w14:textId="28ABF1E1" w:rsidR="0001285C" w:rsidRDefault="0001285C" w:rsidP="0037615E">
      <w:pPr>
        <w:pStyle w:val="berschrift2"/>
        <w:numPr>
          <w:ilvl w:val="1"/>
          <w:numId w:val="4"/>
        </w:numPr>
      </w:pPr>
      <w:r>
        <w:t>Literature</w:t>
      </w:r>
    </w:p>
    <w:p w14:paraId="5777995E" w14:textId="102A6BAB" w:rsidR="0001285C" w:rsidRDefault="002828A2" w:rsidP="0037615E">
      <w:r>
        <w:t xml:space="preserve">Previous studies have used statistical modeling and machine learning methods to estimate fire susceptibility for various areas and time periods at both a local and a regional scale. Logistic regression has been a popular method to model wildfire ignition, as it is suited to binary variables and estimates a probabilistic output, which can be interpreted as the estimated risk value associated with a given sample </w:t>
      </w:r>
      <w:r>
        <w:fldChar w:fldCharType="begin"/>
      </w:r>
      <w:r>
        <w:instrText xml:space="preserve"> ADDIN ZOTERO_ITEM CSL_CITATION {"citationID":"GKJuKLxv","properties":{"formattedCitation":"(Cao et al., 2017; Catry et al., 2009; Mart\\uc0\\u237{}nez et al., 2009; Rodrigues &amp; de la Riva, 2014; Syphard et al., 2008)","plainCitation":"(Cao et al., 2017; Catry et al., 2009; Martínez et al., 2009; Rodrigues &amp; de la Riva, 2014; Syphard et al., 2008)","noteIndex":0},"citationItems":[{"id":6,"uris":["http://zotero.org/users/7598357/items/UGFF7PDD"],"uri":["http://zotero.org/users/7598357/items/UGFF7PDD"],"itemData":{"id":6,"type":"article-journal","abstract":"Wildfire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39,"uris":["http://zotero.org/users/7598357/items/N89LJCNI"],"uri":["http://zotero.org/users/7598357/items/N89LJCNI"],"itemData":{"id":39,"type":"article-journal","abstract":"This paper provides insight into the use of Machine Learning (ML) models for the assessment of human-caused wildfire occurrence. It proposes the use of ML within the context of fire risk prediction, and more specifically, in the evaluation of human-induced wildfires in Spain. In this context, three ML algorithms—Random Forest (RF), Boosting Regression Trees (BRT), and Support Vector Machines (SVM)—are implemented and compared with traditional methods like Logistic Regression (LR). Results suggest that the use of any of these ML algorithms leads to an improvement in the accuracy—in terms of the AUC (area under the curve)—of the model when compared to LR outputs. According to the AUC values, RF and BRT seem to be the most adequate methods, reaching AUC values of 0.746 and 0.730 respectively. On the other hand, despite the fact that the SVM yields an AUC value higher than that from LR, the authors consider it inadequate for classifying wildfire occurrences because its calibration is extremely time-consuming.","container-title":"Environmental Modelling &amp; Software","DOI":"10.1016/j.envsoft.2014.03.003","ISSN":"1364-8152","journalAbbreviation":"Environmental Modelling &amp; Software","language":"en","page":"192-201","source":"ScienceDirect","title":"An insight into machine-learning algorithms to model human-caused wildfire occurrence","volume":"57","author":[{"family":"Rodrigues","given":"Marcos"},{"family":"Riva","given":"Juan","non-dropping-particle":"de la"}],"issued":{"date-parts":[["2014",7,1]]}}},{"id":60,"uris":["http://zotero.org/users/7598357/items/8UF4Q6PE"],"uri":["http://zotero.org/users/7598357/items/8UF4Q6PE"],"itemData":{"id":60,"type":"article-journal","abstract":"Humans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K."}],"issued":{"date-parts":[["2008"]]}}}],"schema":"https://github.com/citation-style-language/schema/raw/master/csl-citation.json"} </w:instrText>
      </w:r>
      <w:r>
        <w:fldChar w:fldCharType="separate"/>
      </w:r>
      <w:r w:rsidRPr="002828A2">
        <w:rPr>
          <w:color w:val="000000"/>
        </w:rPr>
        <w:t>(Cao et al., 2017; Catry et al., 2009; Martínez et al., 2009; Rodrigues &amp; de la Riva, 2014; Syphard et al., 2008)</w:t>
      </w:r>
      <w:r>
        <w:fldChar w:fldCharType="end"/>
      </w:r>
      <w:r w:rsidR="00D425EB">
        <w:t>. Non-parametric machine learning algorithms such as tree-based random forest and boosted trees have seen a rise in popularity and are often being compared to baseline predictions based on regression models</w:t>
      </w:r>
      <w:r w:rsidR="000F3A2A">
        <w:t xml:space="preserve"> </w:t>
      </w:r>
      <w:r w:rsidR="000F3A2A">
        <w:fldChar w:fldCharType="begin"/>
      </w:r>
      <w:r w:rsidR="000F3A2A">
        <w:instrText xml:space="preserve"> ADDIN ZOTERO_ITEM CSL_CITATION {"citationID":"JJzVfpBC","properties":{"formattedCitation":"(Cao et al., 2017; Oliveira et al., 2012; Rodrigues &amp; de la Riva, 2014)","plainCitation":"(Cao et al., 2017; Oliveira et al., 2012; Rodrigues &amp; de la Riva, 2014)","noteIndex":0},"citationItems":[{"id":6,"uris":["http://zotero.org/users/7598357/items/UGFF7PDD"],"uri":["http://zotero.org/users/7598357/items/UGFF7PDD"],"itemData":{"id":6,"type":"article-journal","abstract":"Wildfire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C."}],"issued":{"date-parts":[["2012",7,1]]}}},{"id":39,"uris":["http://zotero.org/users/7598357/items/N89LJCNI"],"uri":["http://zotero.org/users/7598357/items/N89LJCNI"],"itemData":{"id":39,"type":"article-journal","abstract":"This paper provides insight into the use of Machine Learning (ML) models for the assessment of human-caused wildfire occurrence. It proposes the use of ML within the context of fire risk prediction, and more specifically, in the evaluation of human-induced wildfires in Spain. In this context, three ML algorithms—Random Forest (RF), Boosting Regression Trees (BRT), and Support Vector Machines (SVM)—are implemented and compared with traditional methods like Logistic Regression (LR). Results suggest that the use of any of these ML algorithms leads to an improvement in the accuracy—in terms of the AUC (area under the curve)—of the model when compared to LR outputs. According to the AUC values, RF and BRT seem to be the most adequate methods, reaching AUC values of 0.746 and 0.730 respectively. On the other hand, despite the fact that the SVM yields an AUC value higher than that from LR, the authors consider it inadequate for classifying wildfire occurrences because its calibration is extremely time-consuming.","container-title":"Environmental Modelling &amp; Software","DOI":"10.1016/j.envsoft.2014.03.003","ISSN":"1364-8152","journalAbbreviation":"Environmental Modelling &amp; Software","language":"en","page":"192-201","source":"ScienceDirect","title":"An insight into machine-learning algorithms to model human-caused wildfire occurrence","volume":"57","author":[{"family":"Rodrigues","given":"Marcos"},{"family":"Riva","given":"Juan","non-dropping-particle":"de la"}],"issued":{"date-parts":[["2014",7,1]]}}}],"schema":"https://github.com/citation-style-language/schema/raw/master/csl-citation.json"} </w:instrText>
      </w:r>
      <w:r w:rsidR="000F3A2A">
        <w:fldChar w:fldCharType="separate"/>
      </w:r>
      <w:r w:rsidR="000F3A2A">
        <w:rPr>
          <w:noProof/>
        </w:rPr>
        <w:t>(Cao et al., 2017; Oliveira et al., 2012; Rodrigues &amp; de la Riva, 2014)</w:t>
      </w:r>
      <w:r w:rsidR="000F3A2A">
        <w:fldChar w:fldCharType="end"/>
      </w:r>
      <w:r w:rsidR="000F3A2A">
        <w:t xml:space="preserve">. </w:t>
      </w:r>
    </w:p>
    <w:p w14:paraId="46713718" w14:textId="19388457" w:rsidR="00176651" w:rsidRDefault="00DD18F7" w:rsidP="0037615E">
      <w:r>
        <w:t xml:space="preserve">Oliveira and co-authors have applied both </w:t>
      </w:r>
      <w:r w:rsidR="007130DA">
        <w:t>linear</w:t>
      </w:r>
      <w:r>
        <w:t xml:space="preserve"> regression and Random Forest </w:t>
      </w:r>
      <w:r w:rsidR="007130DA">
        <w:t xml:space="preserve">(based on regression trees) </w:t>
      </w:r>
      <w:r>
        <w:t xml:space="preserve">at a very large regional scale to model fire density </w:t>
      </w:r>
      <w:r w:rsidR="007130DA">
        <w:t xml:space="preserve">in Mediterranean Europe </w:t>
      </w:r>
      <w:r w:rsidR="007130DA">
        <w:fldChar w:fldCharType="begin"/>
      </w:r>
      <w:r w:rsidR="007130DA">
        <w:instrText xml:space="preserve"> ADDIN ZOTERO_ITEM CSL_CITATION {"citationID":"FWSHvIJd","properties":{"formattedCitation":"(Oliveira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7130DA">
        <w:fldChar w:fldCharType="separate"/>
      </w:r>
      <w:r w:rsidR="007130DA">
        <w:rPr>
          <w:noProof/>
        </w:rPr>
        <w:t>(Oliveira et al., 2012)</w:t>
      </w:r>
      <w:r w:rsidR="007130DA">
        <w:fldChar w:fldCharType="end"/>
      </w:r>
      <w:r w:rsidR="007130DA">
        <w:t xml:space="preserve">. In their study they aim to </w:t>
      </w:r>
      <w:r>
        <w:t>predict the likelihood of fire occurrence for spatial units at a 10</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resolution. </w:t>
      </w:r>
      <w:r w:rsidR="007130DA">
        <w:t xml:space="preserve">They use a mixture of environmental and human-centric variables, </w:t>
      </w:r>
      <w:r w:rsidR="00AD24AF">
        <w:t>concluding</w:t>
      </w:r>
      <w:r w:rsidR="007130DA">
        <w:t xml:space="preserve"> that Random Forest outperforms </w:t>
      </w:r>
      <w:r w:rsidR="00AD24AF">
        <w:t xml:space="preserve">their regression model. They list precipitation, soil moisture, unemployment rate and density of roads as their most important predictors </w:t>
      </w:r>
      <w:r w:rsidR="00AD24AF">
        <w:fldChar w:fldCharType="begin"/>
      </w:r>
      <w:r w:rsidR="00AD24AF">
        <w:instrText xml:space="preserve"> ADDIN ZOTERO_ITEM CSL_CITATION {"citationID":"Fjt1MGHU","properties":{"formattedCitation":"(Oliveira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D24AF">
        <w:fldChar w:fldCharType="separate"/>
      </w:r>
      <w:r w:rsidR="00AD24AF">
        <w:rPr>
          <w:noProof/>
        </w:rPr>
        <w:t>(Oliveira et al., 2012)</w:t>
      </w:r>
      <w:r w:rsidR="00AD24AF">
        <w:fldChar w:fldCharType="end"/>
      </w:r>
      <w:r w:rsidR="00AD24AF">
        <w:t xml:space="preserve">. </w:t>
      </w:r>
    </w:p>
    <w:p w14:paraId="2839C012" w14:textId="4EDE097B" w:rsidR="00AD24AF" w:rsidRDefault="00AD24AF" w:rsidP="0037615E">
      <w:r>
        <w:t xml:space="preserve">Cao and co-authors compare multiple methods of predictive modeling to predict wildfire ignition susceptibility in the South Chinese province of Yunnan </w:t>
      </w:r>
      <w:r>
        <w:fldChar w:fldCharType="begin"/>
      </w:r>
      <w:r>
        <w:instrText xml:space="preserve"> ADDIN ZOTERO_ITEM CSL_CITATION {"citationID":"VWlD2iRH","properties":{"formattedCitation":"(Cao et al., 2017)","plainCitation":"(Cao et al., 2017)","noteIndex":0},"citationItems":[{"id":6,"uris":["http://zotero.org/users/7598357/items/UGFF7PDD"],"uri":["http://zotero.org/users/7598357/items/UGFF7PDD"],"itemData":{"id":6,"type":"article-journal","abstract":"Wildfire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China","volume":"8","author":[{"family":"Cao","given":"Yinxue"},{"family":"Wang","given":"Ming"},{"family":"Liu","given":"Kai"}],"issued":{"date-parts":[["2017",6,1]]}}}],"schema":"https://github.com/citation-style-language/schema/raw/master/csl-citation.json"} </w:instrText>
      </w:r>
      <w:r>
        <w:fldChar w:fldCharType="separate"/>
      </w:r>
      <w:r>
        <w:rPr>
          <w:noProof/>
        </w:rPr>
        <w:t>(Cao et al., 2017)</w:t>
      </w:r>
      <w:r>
        <w:fldChar w:fldCharType="end"/>
      </w:r>
      <w:r>
        <w:t xml:space="preserve">. Unlike Oliveira and </w:t>
      </w:r>
      <w:r w:rsidR="00F30157">
        <w:t>co-authors,</w:t>
      </w:r>
      <w:r>
        <w:t xml:space="preserve"> they disregard anthropological factors including only topological, meteorological and vegetational predictor variables at a much smaller scale of a single Chinese province. </w:t>
      </w:r>
      <w:r w:rsidR="00EE062B">
        <w:t xml:space="preserve">They apply generalized linear models (both logit and </w:t>
      </w:r>
      <w:proofErr w:type="spellStart"/>
      <w:r w:rsidR="00EE062B">
        <w:t>probit</w:t>
      </w:r>
      <w:proofErr w:type="spellEnd"/>
      <w:r w:rsidR="00EE062B">
        <w:t xml:space="preserve">), as well as Random Forest and Artificial Neural </w:t>
      </w:r>
      <w:r w:rsidR="00EE062B">
        <w:lastRenderedPageBreak/>
        <w:t xml:space="preserve">Networks to predict a binary wildfire ignition target variable. For model evaluation the employ a cost-sensitive misclassification metric, concluding that </w:t>
      </w:r>
      <w:r w:rsidR="00F30157">
        <w:t xml:space="preserve">Random Forest performed the best in predicting the binary ignition target. Cao and co-authors stress the importance of data preparation </w:t>
      </w:r>
      <w:r w:rsidR="00DF322F">
        <w:t xml:space="preserve">and sampling methods </w:t>
      </w:r>
      <w:r w:rsidR="00F30157">
        <w:t xml:space="preserve">to resolve issues of class imbalance, due to the overwhelmingly large number of non-ignition samples </w:t>
      </w:r>
      <w:r w:rsidR="00F30157">
        <w:fldChar w:fldCharType="begin"/>
      </w:r>
      <w:r w:rsidR="00F30157">
        <w:instrText xml:space="preserve"> ADDIN ZOTERO_ITEM CSL_CITATION {"citationID":"ZDNNewWn","properties":{"formattedCitation":"(Cao et al., 2017)","plainCitation":"(Cao et al., 2017)","noteIndex":0},"citationItems":[{"id":6,"uris":["http://zotero.org/users/7598357/items/UGFF7PDD"],"uri":["http://zotero.org/users/7598357/items/UGFF7PDD"],"itemData":{"id":6,"type":"article-journal","abstract":"Wildfire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China","volume":"8","author":[{"family":"Cao","given":"Yinxue"},{"family":"Wang","given":"Ming"},{"family":"Liu","given":"Kai"}],"issued":{"date-parts":[["2017",6,1]]}}}],"schema":"https://github.com/citation-style-language/schema/raw/master/csl-citation.json"} </w:instrText>
      </w:r>
      <w:r w:rsidR="00F30157">
        <w:fldChar w:fldCharType="separate"/>
      </w:r>
      <w:r w:rsidR="00F30157">
        <w:rPr>
          <w:noProof/>
        </w:rPr>
        <w:t>(Cao et al., 2017)</w:t>
      </w:r>
      <w:r w:rsidR="00F30157">
        <w:fldChar w:fldCharType="end"/>
      </w:r>
      <w:r w:rsidR="00F30157">
        <w:t xml:space="preserve">. </w:t>
      </w:r>
    </w:p>
    <w:p w14:paraId="5F8F886B" w14:textId="77777777" w:rsidR="00427076" w:rsidRDefault="00E46E97" w:rsidP="0037615E">
      <w:r>
        <w:t xml:space="preserve">The Iberian peninsula has been the area of investigation for a multitude of studies, presumably due to being among the areas with the highest concentration of wildfires in Europe </w:t>
      </w:r>
      <w:r>
        <w:fldChar w:fldCharType="begin"/>
      </w:r>
      <w:r>
        <w:instrText xml:space="preserve"> ADDIN ZOTERO_ITEM CSL_CITATION {"citationID":"mgyuIv4c","properties":{"formattedCitation":"(Oliveira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Pr>
          <w:noProof/>
        </w:rPr>
        <w:t>(Oliveira et al., 2012)</w:t>
      </w:r>
      <w:r>
        <w:fldChar w:fldCharType="end"/>
      </w:r>
      <w:r>
        <w:t xml:space="preserve">. </w:t>
      </w:r>
      <w:r w:rsidR="005E4178">
        <w:t xml:space="preserve">Martínez and co-authors went for the opposite approach of Cao and co-authors by explicitly investigating only human-caused wildfire ignitions in Spain </w:t>
      </w:r>
      <w:r w:rsidR="005E4178">
        <w:fldChar w:fldCharType="begin"/>
      </w:r>
      <w:r w:rsidR="005E4178">
        <w:instrText xml:space="preserve"> ADDIN ZOTERO_ITEM CSL_CITATION {"citationID":"7DxPGwVZ","properties":{"formattedCitation":"(Mart\\uc0\\u237{}nez et al., 2009)","plainCitation":"(Martínez et al., 2009)","noteIndex":0},"citationItems":[{"id":37,"uris":["http://zotero.org/users/7598357/items/X2F2BB8D"],"uri":["http://zotero.org/users/7598357/items/X2F2BB8D"],"itemData":{"id":37,"type":"article-journal","abstract":"This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schema":"https://github.com/citation-style-language/schema/raw/master/csl-citation.json"} </w:instrText>
      </w:r>
      <w:r w:rsidR="005E4178">
        <w:fldChar w:fldCharType="separate"/>
      </w:r>
      <w:r w:rsidR="005E4178" w:rsidRPr="005E4178">
        <w:rPr>
          <w:color w:val="000000"/>
        </w:rPr>
        <w:t>(Martínez et al., 2009)</w:t>
      </w:r>
      <w:r w:rsidR="005E4178">
        <w:fldChar w:fldCharType="end"/>
      </w:r>
      <w:r w:rsidR="00E77C42">
        <w:t xml:space="preserve">. </w:t>
      </w:r>
      <w:r w:rsidR="00214BEE">
        <w:t>Their models are based exclusively on anthropological predictors, ignoring any topological, climatic or vegetational factors</w:t>
      </w:r>
      <w:r w:rsidR="00963B2F">
        <w:t xml:space="preserve">, </w:t>
      </w:r>
      <w:proofErr w:type="gramStart"/>
      <w:r w:rsidR="00963B2F">
        <w:t>in order to</w:t>
      </w:r>
      <w:proofErr w:type="gramEnd"/>
      <w:r w:rsidR="00963B2F">
        <w:t xml:space="preserve"> investigate human-centered factors of wildfire occurrences. They apply logistic regression to estimate their binary target variable (low risk / high risk), finding a high correlation (Spearman correlation of 0.71) between their risk estimates and the official ignition danger index that is used by the Spanish forest service. They find that </w:t>
      </w:r>
      <w:r w:rsidR="00963B2F" w:rsidRPr="00963B2F">
        <w:t>agricultural landscape pattern</w:t>
      </w:r>
      <w:r w:rsidR="00963B2F">
        <w:t>s</w:t>
      </w:r>
      <w:r w:rsidR="00963B2F" w:rsidRPr="00963B2F">
        <w:t xml:space="preserve">, and </w:t>
      </w:r>
      <w:r w:rsidR="00963B2F">
        <w:t xml:space="preserve">rural </w:t>
      </w:r>
      <w:r w:rsidR="00963B2F" w:rsidRPr="00963B2F">
        <w:t>development processes</w:t>
      </w:r>
      <w:r w:rsidR="00963B2F">
        <w:t xml:space="preserve"> are the most important predictors for human-caused wildfire ignitions in Spain </w:t>
      </w:r>
      <w:r w:rsidR="00963B2F">
        <w:fldChar w:fldCharType="begin"/>
      </w:r>
      <w:r w:rsidR="00963B2F">
        <w:instrText xml:space="preserve"> ADDIN ZOTERO_ITEM CSL_CITATION {"citationID":"DiHyb3fD","properties":{"formattedCitation":"(Mart\\uc0\\u237{}nez et al., 2009)","plainCitation":"(Martínez et al., 2009)","noteIndex":0},"citationItems":[{"id":37,"uris":["http://zotero.org/users/7598357/items/X2F2BB8D"],"uri":["http://zotero.org/users/7598357/items/X2F2BB8D"],"itemData":{"id":37,"type":"article-journal","abstract":"This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schema":"https://github.com/citation-style-language/schema/raw/master/csl-citation.json"} </w:instrText>
      </w:r>
      <w:r w:rsidR="00963B2F">
        <w:fldChar w:fldCharType="separate"/>
      </w:r>
      <w:r w:rsidR="00963B2F" w:rsidRPr="00963B2F">
        <w:rPr>
          <w:color w:val="000000"/>
        </w:rPr>
        <w:t>(Martínez et al., 2009)</w:t>
      </w:r>
      <w:r w:rsidR="00963B2F">
        <w:fldChar w:fldCharType="end"/>
      </w:r>
      <w:r w:rsidR="00156846">
        <w:t xml:space="preserve">. </w:t>
      </w:r>
    </w:p>
    <w:p w14:paraId="2BD99F90" w14:textId="5FE05430" w:rsidR="00F30157" w:rsidRDefault="00E2735B" w:rsidP="0037615E">
      <w:r>
        <w:t xml:space="preserve">A more recent study conducted by Rodrigues and de la Riva in 2014 expands on the work done by Martínez and co-authors by </w:t>
      </w:r>
      <w:r w:rsidR="006E38B2">
        <w:t xml:space="preserve">not only modeling human-caused wildfire ignitions in Span with logistic regression, but also Random Forest, boosted trees and Support Vector Machine </w:t>
      </w:r>
      <w:r w:rsidR="006E38B2">
        <w:fldChar w:fldCharType="begin"/>
      </w:r>
      <w:r w:rsidR="006E38B2">
        <w:instrText xml:space="preserve"> ADDIN ZOTERO_ITEM CSL_CITATION {"citationID":"ldKA5U0F","properties":{"formattedCitation":"(Rodrigues &amp; de la Riva, 2014)","plainCitation":"(Rodrigues &amp; de la Riva, 2014)","noteIndex":0},"citationItems":[{"id":39,"uris":["http://zotero.org/users/7598357/items/N89LJCNI"],"uri":["http://zotero.org/users/7598357/items/N89LJCNI"],"itemData":{"id":39,"type":"article-journal","abstract":"This paper provides insight into the use of Machine Learning (ML) models for the assessment of human-caused wildfire occurrence. It proposes the use of ML within the context of fire risk prediction, and more specifically, in the evaluation of human-induced wildfires in Spain. In this context, three ML algorithms—Random Forest (RF), Boosting Regression Trees (BRT), and Support Vector Machines (SVM)—are implemented and compared with traditional methods like Logistic Regression (LR). Results suggest that the use of any of these ML algorithms leads to an improvement in the accuracy—in terms of the AUC (area under the curve)—of the model when compared to LR outputs. According to the AUC values, RF and BRT seem to be the most adequate methods, reaching AUC values of 0.746 and 0.730 respectively. On the other hand, despite the fact that the SVM yields an AUC value higher than that from LR, the authors consider it inadequate for classifying wildfire occurrences because its calibration is extremely time-consuming.","container-title":"Environmental Modelling &amp; Software","DOI":"10.1016/j.envsoft.2014.03.003","ISSN":"1364-8152","journalAbbreviation":"Environmental Modelling &amp; Software","language":"en","page":"192-201","source":"ScienceDirect","title":"An insight into machine-learning algorithms to model human-caused wildfire occurrence","volume":"57","author":[{"family":"Rodrigues","given":"Marcos"},{"family":"Riva","given":"Juan","non-dropping-particle":"de la"}],"issued":{"date-parts":[["2014",7,1]]}}}],"schema":"https://github.com/citation-style-language/schema/raw/master/csl-citation.json"} </w:instrText>
      </w:r>
      <w:r w:rsidR="006E38B2">
        <w:fldChar w:fldCharType="separate"/>
      </w:r>
      <w:r w:rsidR="006E38B2">
        <w:rPr>
          <w:noProof/>
        </w:rPr>
        <w:t>(Rodrigues &amp; de la Riva, 2014)</w:t>
      </w:r>
      <w:r w:rsidR="006E38B2">
        <w:fldChar w:fldCharType="end"/>
      </w:r>
      <w:r w:rsidR="006E38B2">
        <w:t xml:space="preserve">. In a similar setup to Martínez and co-authors they only include human-centered predictor variables in their training data. They find that logistic regression is outperformed by all other estimated models in terms of ROC-AUC (see section 3.4 for a discussion of various evaluation metrics in classification tasks). </w:t>
      </w:r>
      <w:r w:rsidR="00B02AB4">
        <w:t xml:space="preserve">Due to their data preparation strategy resulting in a training set with balanced target classes (low occurrence / high </w:t>
      </w:r>
      <w:r w:rsidR="00B02AB4">
        <w:lastRenderedPageBreak/>
        <w:t xml:space="preserve">occurrence) ROC-AUC is a legitimate metric for model evaluation. They conclude their analysis by recommending tree-based algorithms such as Random Forest and boosted trees for modeling wildfire ignition occurrences, while calling SVM less adequate due to the time-consuming optimization process and comparably worse predictive power </w:t>
      </w:r>
      <w:r w:rsidR="00B02AB4">
        <w:fldChar w:fldCharType="begin"/>
      </w:r>
      <w:r w:rsidR="00B02AB4">
        <w:instrText xml:space="preserve"> ADDIN ZOTERO_ITEM CSL_CITATION {"citationID":"IPd75etO","properties":{"formattedCitation":"(Rodrigues &amp; de la Riva, 2014)","plainCitation":"(Rodrigues &amp; de la Riva, 2014)","noteIndex":0},"citationItems":[{"id":39,"uris":["http://zotero.org/users/7598357/items/N89LJCNI"],"uri":["http://zotero.org/users/7598357/items/N89LJCNI"],"itemData":{"id":39,"type":"article-journal","abstract":"This paper provides insight into the use of Machine Learning (ML) models for the assessment of human-caused wildfire occurrence. It proposes the use of ML within the context of fire risk prediction, and more specifically, in the evaluation of human-induced wildfires in Spain. In this context, three ML algorithms—Random Forest (RF), Boosting Regression Trees (BRT), and Support Vector Machines (SVM)—are implemented and compared with traditional methods like Logistic Regression (LR). Results suggest that the use of any of these ML algorithms leads to an improvement in the accuracy—in terms of the AUC (area under the curve)—of the model when compared to LR outputs. According to the AUC values, RF and BRT seem to be the most adequate methods, reaching AUC values of 0.746 and 0.730 respectively. On the other hand, despite the fact that the SVM yields an AUC value higher than that from LR, the authors consider it inadequate for classifying wildfire occurrences because its calibration is extremely time-consuming.","container-title":"Environmental Modelling &amp; Software","DOI":"10.1016/j.envsoft.2014.03.003","ISSN":"1364-8152","journalAbbreviation":"Environmental Modelling &amp; Software","language":"en","page":"192-201","source":"ScienceDirect","title":"An insight into machine-learning algorithms to model human-caused wildfire occurrence","volume":"57","author":[{"family":"Rodrigues","given":"Marcos"},{"family":"Riva","given":"Juan","non-dropping-particle":"de la"}],"issued":{"date-parts":[["2014",7,1]]}}}],"schema":"https://github.com/citation-style-language/schema/raw/master/csl-citation.json"} </w:instrText>
      </w:r>
      <w:r w:rsidR="00B02AB4">
        <w:fldChar w:fldCharType="separate"/>
      </w:r>
      <w:r w:rsidR="00B02AB4">
        <w:rPr>
          <w:noProof/>
        </w:rPr>
        <w:t>(Rodrigues &amp; de la Riva, 2014)</w:t>
      </w:r>
      <w:r w:rsidR="00B02AB4">
        <w:fldChar w:fldCharType="end"/>
      </w:r>
      <w:r w:rsidR="00B02AB4">
        <w:t xml:space="preserve">. </w:t>
      </w:r>
    </w:p>
    <w:p w14:paraId="3C0AA05C" w14:textId="5F709029" w:rsidR="00D246CB" w:rsidRDefault="00D246CB" w:rsidP="0037615E">
      <w:proofErr w:type="spellStart"/>
      <w:r>
        <w:t>Catry</w:t>
      </w:r>
      <w:proofErr w:type="spellEnd"/>
      <w:r>
        <w:t xml:space="preserve"> and co-authors use a small set of predictor variables to predict the spatial patterns of wildfire ignitions in Portugal using logistic regression </w:t>
      </w:r>
      <w:r>
        <w:fldChar w:fldCharType="begin"/>
      </w:r>
      <w:r>
        <w:instrText xml:space="preserve"> ADDIN ZOTERO_ITEM CSL_CITATION {"citationID":"jfY6viDO","properties":{"formattedCitation":"(Catry et al., 2009)","plainCitation":"(Catry et al., 2009)","noteIndex":0},"citationItems":[{"id":124,"uris":["http://zotero.org/users/7598357/items/XGELDUN6"],"uri":["http://zotero.org/users/7598357/items/XGELDUN6"],"itemData":{"id":124,"type":"article-journal","abstract":"Portugal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L."},{"family":"Moreira","given":"Francisco"}],"issued":{"date-parts":[["2009"]]}}}],"schema":"https://github.com/citation-style-language/schema/raw/master/csl-citation.json"} </w:instrText>
      </w:r>
      <w:r>
        <w:fldChar w:fldCharType="separate"/>
      </w:r>
      <w:r>
        <w:rPr>
          <w:noProof/>
        </w:rPr>
        <w:t>(Catry et al., 2009)</w:t>
      </w:r>
      <w:r>
        <w:fldChar w:fldCharType="end"/>
      </w:r>
      <w:r>
        <w:t xml:space="preserve">. They combine both environmental and </w:t>
      </w:r>
      <w:r w:rsidR="00AE1A65">
        <w:t xml:space="preserve">anthropological variables, but explicitly make it a point to use as few predictor variables as possible. They find that logistic regression provides satisfying prediction results (ROC-AUC of ~0.85) despite only using population density, land cover, distance to roads and elevation as predictors </w:t>
      </w:r>
      <w:r w:rsidR="00AE1A65">
        <w:fldChar w:fldCharType="begin"/>
      </w:r>
      <w:r w:rsidR="00AE1A65">
        <w:instrText xml:space="preserve"> ADDIN ZOTERO_ITEM CSL_CITATION {"citationID":"L1aQB9AA","properties":{"formattedCitation":"(Catry et al., 2009)","plainCitation":"(Catry et al., 2009)","noteIndex":0},"citationItems":[{"id":124,"uris":["http://zotero.org/users/7598357/items/XGELDUN6"],"uri":["http://zotero.org/users/7598357/items/XGELDUN6"],"itemData":{"id":124,"type":"article-journal","abstract":"Portugal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L."},{"family":"Moreira","given":"Francisco"}],"issued":{"date-parts":[["2009"]]}}}],"schema":"https://github.com/citation-style-language/schema/raw/master/csl-citation.json"} </w:instrText>
      </w:r>
      <w:r w:rsidR="00AE1A65">
        <w:fldChar w:fldCharType="separate"/>
      </w:r>
      <w:r w:rsidR="00AE1A65">
        <w:rPr>
          <w:noProof/>
        </w:rPr>
        <w:t>(Catry et al., 2009)</w:t>
      </w:r>
      <w:r w:rsidR="00AE1A65">
        <w:fldChar w:fldCharType="end"/>
      </w:r>
      <w:r w:rsidR="00AE1A65">
        <w:t xml:space="preserve">. </w:t>
      </w:r>
      <w:r w:rsidR="00E81D2B">
        <w:t xml:space="preserve">Due to the predictive performance of these variables and their frequent used in studies modeling wildfire ignitions all of them are used as predictors in the study at hand. </w:t>
      </w:r>
    </w:p>
    <w:p w14:paraId="1F07FE76" w14:textId="02F100D3" w:rsidR="00B02AB4" w:rsidRDefault="009C5060" w:rsidP="0037615E">
      <w:r>
        <w:t xml:space="preserve">California has previously been used as the area of analysis in wildfire modeling studies </w:t>
      </w:r>
      <w:r>
        <w:fldChar w:fldCharType="begin"/>
      </w:r>
      <w:r>
        <w:instrText xml:space="preserve"> ADDIN ZOTERO_ITEM CSL_CITATION {"citationID":"yXhx0WDh","properties":{"formattedCitation":"(Malik et al., 2021; Syphard et al., 2008)","plainCitation":"(Malik et al., 2021; Syphard et al., 2008)","noteIndex":0},"citationItems":[{"id":147,"uris":["http://zotero.org/users/7598357/items/JXE9EWUZ"],"uri":["http://zotero.org/users/7598357/items/JXE9EWUZ"],"itemData":{"id":147,"type":"article-journal","abstract":"Over the years, rampant wildfires have plagued the state of California, creating economic and environmental loss. In 2018, wildfires cost nearly 800 million dollars in economic loss and claimed more than 100 lives in California. Over 1.6 million acres of land has burned and caused large sums of environmental damage. Although, recently, researchers have introduced machine learning models and algorithms in predicting the wildfire risks, these results focused on special perspectives and were restricted to a limited number of data parameters. In this paper, we have proposed two data-driven machine learning approaches based on random forest models to predict the wildfire risk at areas near Monticello and Winters, California. This study demonstrated how the models were developed and applied with comprehensive data parameters such as powerlines, terrain, and vegetation in different perspectives that improved the spatial and temporal accuracy in predicting the risk of wildfire including fire ignition. The combined model uses the spatial and the temporal parameters as a single combined dataset to train and predict the fire risk, whereas the ensemble model was fed separate parameters that were later stacked to work as a single model. Our experiment shows that the combined model produced better results compared to the ensemble of random forest models on separate spatial data in terms of accuracy. The models were validated with Receiver Operating Characteristic (ROC) curves, learning curves, and evaluation metrics such as: accuracy, confusion matrices, and classification report. The study results showed and achieved cutting-edge accuracy of 92% in predicting the wildfire risks, including ignition by utilizing the regional spatial and temporal data along with standard data parameters in Northern California.","container-title":"Atmosphere","DOI":"10.3390/atmos12010109","ISSN":"2073-4433","issue":"1","title":"Data-Driven Wildfire Risk Prediction in Northern California","volume":"12","author":[{"family":"Malik","given":"Ashima"},{"family":"Rao","given":"Megha R."},{"family":"Puppala","given":"Nandini"},{"family":"Koouri","given":"Prathusha"},{"family":"Thota","given":"Venkata A."},{"family":"Liu","given":"Qiao"},{"family":"Chiao","given":"Sen"},{"family":"Gao","given":"Jerry"}],"issued":{"date-parts":[["2021"]]}}},{"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K."}],"issued":{"date-parts":[["2008"]]}}}],"schema":"https://github.com/citation-style-language/schema/raw/master/csl-citation.json"} </w:instrText>
      </w:r>
      <w:r>
        <w:fldChar w:fldCharType="separate"/>
      </w:r>
      <w:r>
        <w:rPr>
          <w:noProof/>
        </w:rPr>
        <w:t>(Malik et al., 2021; Syphard et al., 2008)</w:t>
      </w:r>
      <w:r>
        <w:fldChar w:fldCharType="end"/>
      </w:r>
      <w:r w:rsidR="00EA3AF8">
        <w:t>.</w:t>
      </w:r>
      <w:r w:rsidR="00955275">
        <w:t xml:space="preserve"> </w:t>
      </w:r>
      <w:proofErr w:type="spellStart"/>
      <w:r w:rsidR="00955275">
        <w:t>Syphard</w:t>
      </w:r>
      <w:proofErr w:type="spellEnd"/>
      <w:r w:rsidR="00955275">
        <w:t xml:space="preserve"> and co-authors have taken a regional approach in model wildfire ignitions and fire frequency in the Santa Monica mountains in Southern California</w:t>
      </w:r>
      <w:r w:rsidR="00CA70A1">
        <w:t xml:space="preserve"> </w:t>
      </w:r>
      <w:r w:rsidR="00CA70A1">
        <w:fldChar w:fldCharType="begin"/>
      </w:r>
      <w:r w:rsidR="00CA70A1">
        <w:instrText xml:space="preserve"> ADDIN ZOTERO_ITEM CSL_CITATION {"citationID":"Zgu4VFFX","properties":{"formattedCitation":"(Syphard et al., 2008)","plainCitation":"(Syphard et al., 2008)","noteIndex":0},"citationItems":[{"id":60,"uris":["http://zotero.org/users/7598357/items/8UF4Q6PE"],"uri":["http://zotero.org/users/7598357/items/8UF4Q6PE"],"itemData":{"id":60,"type":"article-journal","abstract":"Humans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K."}],"issued":{"date-parts":[["2008"]]}}}],"schema":"https://github.com/citation-style-language/schema/raw/master/csl-citation.json"} </w:instrText>
      </w:r>
      <w:r w:rsidR="00CA70A1">
        <w:fldChar w:fldCharType="separate"/>
      </w:r>
      <w:r w:rsidR="00CA70A1">
        <w:rPr>
          <w:noProof/>
        </w:rPr>
        <w:t>(Syphard et al., 2008)</w:t>
      </w:r>
      <w:r w:rsidR="00CA70A1">
        <w:fldChar w:fldCharType="end"/>
      </w:r>
      <w:r w:rsidR="00955275">
        <w:t xml:space="preserve">. </w:t>
      </w:r>
      <w:r w:rsidR="00CA70A1">
        <w:t xml:space="preserve">They use both anthropological (distance to infrastructure) and biophysical (topological and climatic data) predictors. </w:t>
      </w:r>
      <w:r w:rsidR="002B633A">
        <w:t xml:space="preserve">Their data is of very high granularity with a maximum resolution of 10m in their data set. They apply logistic regression for modeling and find that while wildfire ignitions were best predicted with anthropological predictor variables, biophysical data was better at predicting ignition frequency </w:t>
      </w:r>
      <w:r w:rsidR="002B633A">
        <w:fldChar w:fldCharType="begin"/>
      </w:r>
      <w:r w:rsidR="002B633A">
        <w:instrText xml:space="preserve"> ADDIN ZOTERO_ITEM CSL_CITATION {"citationID":"5gOuvTfo","properties":{"formattedCitation":"(Syphard et al., 2008)","plainCitation":"(Syphard et al., 2008)","noteIndex":0},"citationItems":[{"id":60,"uris":["http://zotero.org/users/7598357/items/8UF4Q6PE"],"uri":["http://zotero.org/users/7598357/items/8UF4Q6PE"],"itemData":{"id":60,"type":"article-journal","abstract":"Humans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K."}],"issued":{"date-parts":[["2008"]]}}}],"schema":"https://github.com/citation-style-language/schema/raw/master/csl-citation.json"} </w:instrText>
      </w:r>
      <w:r w:rsidR="002B633A">
        <w:fldChar w:fldCharType="separate"/>
      </w:r>
      <w:r w:rsidR="002B633A">
        <w:rPr>
          <w:noProof/>
        </w:rPr>
        <w:t>(Syphard et al., 2008)</w:t>
      </w:r>
      <w:r w:rsidR="002B633A">
        <w:fldChar w:fldCharType="end"/>
      </w:r>
      <w:r w:rsidR="002B633A">
        <w:t xml:space="preserve">. </w:t>
      </w:r>
    </w:p>
    <w:p w14:paraId="72B9635C" w14:textId="794825D5" w:rsidR="003E73FA" w:rsidRPr="00955275" w:rsidRDefault="005B2969" w:rsidP="0037615E">
      <w:pPr>
        <w:rPr>
          <w:rFonts w:ascii="MS Mincho" w:eastAsia="MS Mincho" w:hAnsi="MS Mincho" w:cs="MS Mincho"/>
        </w:rPr>
      </w:pPr>
      <w:r>
        <w:t xml:space="preserve">A recent study conducted by Malik and co-authors stays at the local scale but focuses on the area near Monticello and Winters in Northern California </w:t>
      </w:r>
      <w:r>
        <w:fldChar w:fldCharType="begin"/>
      </w:r>
      <w:r>
        <w:instrText xml:space="preserve"> ADDIN ZOTERO_ITEM CSL_CITATION {"citationID":"FgWqPSQn","properties":{"formattedCitation":"(Malik et al., 2021)","plainCitation":"(Malik et al., 2021)","noteIndex":0},"citationItems":[{"id":147,"uris":["http://zotero.org/users/7598357/items/JXE9EWUZ"],"uri":["http://zotero.org/users/7598357/items/JXE9EWUZ"],"itemData":{"id":147,"type":"article-journal","abstract":"Over the years, rampant wildfires have plagued the state of California, creating economic and environmental loss. In 2018, wildfires cost nearly 800 million dollars in economic loss and claimed more than 100 lives in California. Over 1.6 million acres of land has burned and caused large sums of environmental damage. Although, recently, researchers have introduced machine learning models and algorithms in predicting the wildfire risks, these results focused on special perspectives and were restricted to a limited number of data parameters. In this paper, we have proposed two data-driven machine learning approaches based on random forest models to predict the wildfire risk at areas near Monticello and Winters, California. This study demonstrated how the models were developed and applied with comprehensive data parameters such as powerlines, terrain, and vegetation in different perspectives that improved the spatial and temporal accuracy in predicting the risk of wildfire including fire ignition. The combined model uses the spatial and the temporal parameters as a single combined dataset to train and predict the fire risk, whereas the ensemble model was fed separate parameters that were later stacked to work as a single model. Our experiment shows that the combined model produced better results compared to the ensemble of random forest models on separate spatial data in terms of accuracy. The models were validated with Receiver Operating Characteristic (ROC) curves, learning curves, and evaluation metrics such as: accuracy, confusion matrices, and classification report. The study results showed and achieved cutting-edge accuracy of 92% in predicting the wildfire risks, including ignition by utilizing the regional spatial and temporal data along with standard data parameters in Northern California.","container-title":"Atmosphere","DOI":"10.3390/atmos12010109","ISSN":"2073-4433","issue":"1","title":"Data-Driven Wildfire Risk Prediction in Northern California","volume":"12","author":[{"family":"Malik","given":"Ashima"},{"family":"Rao","given":"Megha R."},{"family":"Puppala","given":"Nandini"},{"family":"Koouri","given":"Prathusha"},{"family":"Thota","given":"Venkata A."},{"family":"Liu","given":"Qiao"},{"family":"Chiao","given":"Sen"},{"family":"Gao","given":"Jerry"}],"issued":{"date-parts":[["2021"]]}}}],"schema":"https://github.com/citation-style-language/schema/raw/master/csl-citation.json"} </w:instrText>
      </w:r>
      <w:r>
        <w:fldChar w:fldCharType="separate"/>
      </w:r>
      <w:r>
        <w:rPr>
          <w:noProof/>
        </w:rPr>
        <w:t>(Malik et al., 2021)</w:t>
      </w:r>
      <w:r>
        <w:fldChar w:fldCharType="end"/>
      </w:r>
      <w:r>
        <w:t xml:space="preserve">. </w:t>
      </w:r>
      <w:r w:rsidR="008148BB">
        <w:t>Their approach is distinctly different to other discussed studies, as their models are trained on data that integrate</w:t>
      </w:r>
      <w:r w:rsidR="008148BB" w:rsidRPr="008148BB">
        <w:t xml:space="preserve"> </w:t>
      </w:r>
      <w:r w:rsidR="008148BB">
        <w:t xml:space="preserve">meteorological </w:t>
      </w:r>
      <w:r w:rsidR="008148BB" w:rsidRPr="008148BB">
        <w:t xml:space="preserve">data, remote </w:t>
      </w:r>
      <w:r w:rsidR="008148BB">
        <w:t xml:space="preserve">terrain </w:t>
      </w:r>
      <w:r w:rsidR="008148BB" w:rsidRPr="008148BB">
        <w:lastRenderedPageBreak/>
        <w:t>sens</w:t>
      </w:r>
      <w:r w:rsidR="008148BB">
        <w:t xml:space="preserve">or </w:t>
      </w:r>
      <w:r w:rsidR="008148BB" w:rsidRPr="008148BB">
        <w:t>data</w:t>
      </w:r>
      <w:r w:rsidR="008148BB">
        <w:t>, data on landcover</w:t>
      </w:r>
      <w:r w:rsidR="008148BB" w:rsidRPr="008148BB">
        <w:t xml:space="preserve">, as well as wildfire history and human </w:t>
      </w:r>
      <w:r w:rsidR="002360C4">
        <w:t>variables</w:t>
      </w:r>
      <w:r w:rsidR="00896BC0">
        <w:t xml:space="preserve">, aiming </w:t>
      </w:r>
      <w:r w:rsidR="00593DBD">
        <w:t xml:space="preserve">to </w:t>
      </w:r>
      <w:r w:rsidR="00896BC0">
        <w:t xml:space="preserve">enable real-time wildfire risk predictions akin to weather forecasts. </w:t>
      </w:r>
      <w:r w:rsidR="00350D0D">
        <w:t xml:space="preserve">They compare two modeling strategies where in a first approach two separate Random Forest models are estimated for one data set containing data on weather, the presence of powerlines and terrain and a separate set of vegetation data. These two models are then combined into an ensemble with stacking where a boosted trees classifier (AdaBoost) is used for the final predictions. In a second </w:t>
      </w:r>
      <w:r w:rsidR="00D246CB">
        <w:t>modeling</w:t>
      </w:r>
      <w:r w:rsidR="00350D0D">
        <w:t xml:space="preserve"> strategy the authors trained a single Random Forest model on the entirety of the combined training data, resulting in a superior model as evaluated with the ROC-AUC metric </w:t>
      </w:r>
      <w:r w:rsidR="00350D0D">
        <w:fldChar w:fldCharType="begin"/>
      </w:r>
      <w:r w:rsidR="00350D0D">
        <w:instrText xml:space="preserve"> ADDIN ZOTERO_ITEM CSL_CITATION {"citationID":"cHVbx8Sg","properties":{"formattedCitation":"(Malik et al., 2021)","plainCitation":"(Malik et al., 2021)","noteIndex":0},"citationItems":[{"id":147,"uris":["http://zotero.org/users/7598357/items/JXE9EWUZ"],"uri":["http://zotero.org/users/7598357/items/JXE9EWUZ"],"itemData":{"id":147,"type":"article-journal","abstract":"Over the years, rampant wildfires have plagued the state of California, creating economic and environmental loss. In 2018, wildfires cost nearly 800 million dollars in economic loss and claimed more than 100 lives in California. Over 1.6 million acres of land has burned and caused large sums of environmental damage. Although, recently, researchers have introduced machine learning models and algorithms in predicting the wildfire risks, these results focused on special perspectives and were restricted to a limited number of data parameters. In this paper, we have proposed two data-driven machine learning approaches based on random forest models to predict the wildfire risk at areas near Monticello and Winters, California. This study demonstrated how the models were developed and applied with comprehensive data parameters such as powerlines, terrain, and vegetation in different perspectives that improved the spatial and temporal accuracy in predicting the risk of wildfire including fire ignition. The combined model uses the spatial and the temporal parameters as a single combined dataset to train and predict the fire risk, whereas the ensemble model was fed separate parameters that were later stacked to work as a single model. Our experiment shows that the combined model produced better results compared to the ensemble of random forest models on separate spatial data in terms of accuracy. The models were validated with Receiver Operating Characteristic (ROC) curves, learning curves, and evaluation metrics such as: accuracy, confusion matrices, and classification report. The study results showed and achieved cutting-edge accuracy of 92% in predicting the wildfire risks, including ignition by utilizing the regional spatial and temporal data along with standard data parameters in Northern California.","container-title":"Atmosphere","DOI":"10.3390/atmos12010109","ISSN":"2073-4433","issue":"1","title":"Data-Driven Wildfire Risk Prediction in Northern California","volume":"12","author":[{"family":"Malik","given":"Ashima"},{"family":"Rao","given":"Megha R."},{"family":"Puppala","given":"Nandini"},{"family":"Koouri","given":"Prathusha"},{"family":"Thota","given":"Venkata A."},{"family":"Liu","given":"Qiao"},{"family":"Chiao","given":"Sen"},{"family":"Gao","given":"Jerry"}],"issued":{"date-parts":[["2021"]]}}}],"schema":"https://github.com/citation-style-language/schema/raw/master/csl-citation.json"} </w:instrText>
      </w:r>
      <w:r w:rsidR="00350D0D">
        <w:fldChar w:fldCharType="separate"/>
      </w:r>
      <w:r w:rsidR="00350D0D">
        <w:rPr>
          <w:noProof/>
        </w:rPr>
        <w:t>(Malik et al., 2021)</w:t>
      </w:r>
      <w:r w:rsidR="00350D0D">
        <w:fldChar w:fldCharType="end"/>
      </w:r>
      <w:r w:rsidR="00350D0D">
        <w:t xml:space="preserve">. </w:t>
      </w:r>
    </w:p>
    <w:p w14:paraId="2C068473" w14:textId="53619B98" w:rsidR="0001285C" w:rsidRDefault="005001B3" w:rsidP="0037615E">
      <w:pPr>
        <w:pStyle w:val="berschrift1"/>
        <w:numPr>
          <w:ilvl w:val="0"/>
          <w:numId w:val="4"/>
        </w:numPr>
      </w:pPr>
      <w:r w:rsidRPr="002A28EA">
        <w:t>Data</w:t>
      </w:r>
    </w:p>
    <w:p w14:paraId="641C1D58" w14:textId="2DC8C733" w:rsidR="006E5A89" w:rsidRPr="006E5A89" w:rsidRDefault="006E5A89" w:rsidP="0037615E">
      <w:r>
        <w:t xml:space="preserve">One of the primary challenges of this study was the compilation of a harmonized data set that was sourced from both GIS data (“geographic information system”) for all the spatial variables, as well as tabular data for the socio-economic, </w:t>
      </w:r>
      <w:r w:rsidR="00C069E4">
        <w:t>demographic,</w:t>
      </w:r>
      <w:r>
        <w:t xml:space="preserve"> and political predictors. All GIS data was processed and joined in QGIS, whereas the tabular data was </w:t>
      </w:r>
      <w:r w:rsidR="00DE4EED">
        <w:t>joined</w:t>
      </w:r>
      <w:r>
        <w:t xml:space="preserve"> to the harmonized GIS data set in R, a software designed for statistical computing. </w:t>
      </w:r>
    </w:p>
    <w:p w14:paraId="7B8BDD29" w14:textId="2693C98C" w:rsidR="003D63AF" w:rsidRPr="003D63AF" w:rsidRDefault="005001B3" w:rsidP="0037615E">
      <w:pPr>
        <w:pStyle w:val="berschrift2"/>
        <w:numPr>
          <w:ilvl w:val="1"/>
          <w:numId w:val="4"/>
        </w:numPr>
      </w:pPr>
      <w:r w:rsidRPr="002A28EA">
        <w:t>Study Area</w:t>
      </w:r>
    </w:p>
    <w:p w14:paraId="52164DE2" w14:textId="709B812F" w:rsidR="00EB0492" w:rsidRDefault="00637326" w:rsidP="0037615E">
      <w:r>
        <w:t xml:space="preserve">The study area encompasses the </w:t>
      </w:r>
      <w:r w:rsidR="00D527EA">
        <w:t>northernmost counties</w:t>
      </w:r>
      <w:r>
        <w:t xml:space="preserve"> of California, stretching from </w:t>
      </w:r>
      <w:r w:rsidR="00D527EA">
        <w:t xml:space="preserve">Sutter County north of Sacramento, up to the Canadian border. This diverse </w:t>
      </w:r>
      <w:r w:rsidR="008638B1">
        <w:t>region is made up of 18 counties</w:t>
      </w:r>
      <w:r w:rsidR="00DA4E87" w:rsidRPr="00D246CB">
        <w:rPr>
          <w:rStyle w:val="Funotenzeichen"/>
        </w:rPr>
        <w:footnoteReference w:id="1"/>
      </w:r>
      <w:r w:rsidR="008638B1">
        <w:t xml:space="preserve"> with a combined area size of roughly</w:t>
      </w:r>
      <w:r w:rsidR="00D527EA">
        <w:t xml:space="preserve"> </w:t>
      </w:r>
      <w:r w:rsidR="008638B1" w:rsidRPr="008638B1">
        <w:t>113</w:t>
      </w:r>
      <w:r w:rsidR="008638B1">
        <w:t>’</w:t>
      </w:r>
      <w:r w:rsidR="008638B1" w:rsidRPr="008638B1">
        <w:t>38</w:t>
      </w:r>
      <w:r w:rsidR="008638B1">
        <w:t xml:space="preserve">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8638B1">
        <w:t xml:space="preserve"> . </w:t>
      </w:r>
      <w:r w:rsidR="00E9010E">
        <w:t xml:space="preserve">This region typically has a milder climate than the more southern counties with </w:t>
      </w:r>
      <w:r w:rsidR="0069728E">
        <w:t>higher precipitation and more humid climate. C</w:t>
      </w:r>
      <w:r w:rsidR="00E9010E">
        <w:t>onifer forests, oak woodland and shrubland dominat</w:t>
      </w:r>
      <w:r w:rsidR="0069728E">
        <w:t>e</w:t>
      </w:r>
      <w:r w:rsidR="00E9010E">
        <w:t xml:space="preserve"> the flora</w:t>
      </w:r>
      <w:r w:rsidR="0069728E">
        <w:t>, although there is a considerable variation in the dominant vegetation pattern across the area</w:t>
      </w:r>
      <w:r w:rsidR="00E9010E">
        <w:t xml:space="preserve">. National forests and rugged </w:t>
      </w:r>
      <w:r w:rsidR="00EB0492">
        <w:lastRenderedPageBreak/>
        <w:t xml:space="preserve">mountain ranges dominate the landscape in this northern part of the state, as the foothills of the Sierra Nevada stretch up until the very north of the </w:t>
      </w:r>
      <w:r w:rsidR="0069728E">
        <w:t>state</w:t>
      </w:r>
      <w:r w:rsidR="00EB0492">
        <w:t xml:space="preserve">. </w:t>
      </w:r>
    </w:p>
    <w:p w14:paraId="42CA035E" w14:textId="0038656D" w:rsidR="00E91DE4" w:rsidRDefault="00EB0492" w:rsidP="0037615E">
      <w:r>
        <w:t xml:space="preserve">This area has seen </w:t>
      </w:r>
      <w:proofErr w:type="gramStart"/>
      <w:r>
        <w:t>a large number of</w:t>
      </w:r>
      <w:proofErr w:type="gramEnd"/>
      <w:r>
        <w:t xml:space="preserve"> devastating wildfire</w:t>
      </w:r>
      <w:r w:rsidR="00F76A5F">
        <w:t xml:space="preserve">s </w:t>
      </w:r>
      <w:r>
        <w:t xml:space="preserve">in recent years. </w:t>
      </w:r>
      <w:r w:rsidR="001C5B67">
        <w:t xml:space="preserve">The three largest wildfires in the history of California have all erupted in the study </w:t>
      </w:r>
      <w:r w:rsidR="00DE4EED">
        <w:t>area</w:t>
      </w:r>
      <w:r w:rsidR="001C5B67">
        <w:t xml:space="preserve"> over the </w:t>
      </w:r>
      <w:r w:rsidR="00DE4EED">
        <w:t>past</w:t>
      </w:r>
      <w:r w:rsidR="001C5B67">
        <w:t xml:space="preserve"> three years. </w:t>
      </w:r>
      <w:r>
        <w:t xml:space="preserve">The Dixie fire, ignited in the Sierra Nevada in summer of 2021, has evolved into largest single-source fire in the history of the state </w:t>
      </w:r>
      <w:r w:rsidR="001C5B67">
        <w:fldChar w:fldCharType="begin"/>
      </w:r>
      <w:r w:rsidR="001C5B67">
        <w:instrText xml:space="preserve"> ADDIN ZOTERO_ITEM CSL_CITATION {"citationID":"TRboh78p","properties":{"formattedCitation":"(Bermel, 2021)","plainCitation":"(Bermel, 2021)","noteIndex":0},"citationItems":[{"id":114,"uris":["http://zotero.org/users/7598357/items/PHXHZQB6"],"uri":["http://zotero.org/users/7598357/items/PHXHZQB6"],"itemData":{"id":114,"type":"webpage","title":"Dixie Fire becomes largest single wildfire in California history","URL":"https://www.politico.com/states/california/story/2021/08/06/dixie-fire-becomes-largest-single-wildfire-in-california-history-1389651","author":[{"family":"Bermel","given":"Coby"}],"accessed":{"date-parts":[["2021",11,8]]},"issued":{"date-parts":[["2021",8,6]]}}}],"schema":"https://github.com/citation-style-language/schema/raw/master/csl-citation.json"} </w:instrText>
      </w:r>
      <w:r w:rsidR="001C5B67">
        <w:fldChar w:fldCharType="separate"/>
      </w:r>
      <w:r w:rsidR="00C069E4">
        <w:rPr>
          <w:noProof/>
        </w:rPr>
        <w:t>(Bermel, 2021)</w:t>
      </w:r>
      <w:r w:rsidR="001C5B67">
        <w:fldChar w:fldCharType="end"/>
      </w:r>
      <w:r w:rsidR="001C5B67">
        <w:t>. It rivals the August Complex wildfire of 2020 in size and has grown to almost twice the size of the Mendocino Complex fire of 2018</w:t>
      </w:r>
      <w:r w:rsidR="00E91DE4">
        <w:t xml:space="preserve"> </w:t>
      </w:r>
      <w:r w:rsidR="00E91DE4">
        <w:fldChar w:fldCharType="begin"/>
      </w:r>
      <w:r w:rsidR="00D430AF">
        <w:instrText xml:space="preserve"> ADDIN ZOTERO_ITEM CSL_CITATION {"citationID":"QX6MXUbt","properties":{"formattedCitation":"(CAL FIRE, 2021c)","plainCitation":"(CAL FIRE, 2021c)","noteIndex":0},"citationItems":[{"id":117,"uris":["http://zotero.org/users/7598357/items/TXPTBWEI"],"uri":["http://zotero.org/users/7598357/items/TXPTBWEI"],"itemData":{"id":117,"type":"article","title":"Top 20 Largest California Wildfires","URL":"https://www.fire.ca.gov/media/4jandlhh/top20_acres.pdf","author":[{"family":"CAL FIRE","given":""}],"issued":{"date-parts":[["2021",10,25]]}}}],"schema":"https://github.com/citation-style-language/schema/raw/master/csl-citation.json"} </w:instrText>
      </w:r>
      <w:r w:rsidR="00E91DE4">
        <w:fldChar w:fldCharType="separate"/>
      </w:r>
      <w:r w:rsidR="00C069E4">
        <w:rPr>
          <w:noProof/>
        </w:rPr>
        <w:t>(CAL FIRE, 2021c)</w:t>
      </w:r>
      <w:r w:rsidR="00E91DE4">
        <w:fldChar w:fldCharType="end"/>
      </w:r>
      <w:r w:rsidR="001C5B67">
        <w:t>. The deadliest wildfire in the history of California ignited in Butte County in 2018, with</w:t>
      </w:r>
      <w:r w:rsidR="00E91DE4">
        <w:t xml:space="preserve"> </w:t>
      </w:r>
      <w:r w:rsidR="001C5B67">
        <w:t xml:space="preserve">85 recorded deaths </w:t>
      </w:r>
      <w:r w:rsidR="00E91DE4">
        <w:fldChar w:fldCharType="begin"/>
      </w:r>
      <w:r w:rsidR="00D430AF">
        <w:instrText xml:space="preserve"> ADDIN ZOTERO_ITEM CSL_CITATION {"citationID":"WouYOjLm","properties":{"formattedCitation":"(CAL FIRE, 2021b)","plainCitation":"(CAL FIRE, 2021b)","noteIndex":0},"citationItems":[{"id":118,"uris":["http://zotero.org/users/7598357/items/NVCB4VPU"],"uri":["http://zotero.org/users/7598357/items/NVCB4VPU"],"itemData":{"id":118,"type":"article","title":"Top 20 Deadliest California Wildfires","URL":"https://www.fire.ca.gov/media/lbfd0m2f/top20_deadliest.pdf","author":[{"family":"CAL FIRE","given":""}],"issued":{"date-parts":[["2021",10,22]]}}}],"schema":"https://github.com/citation-style-language/schema/raw/master/csl-citation.json"} </w:instrText>
      </w:r>
      <w:r w:rsidR="00E91DE4">
        <w:fldChar w:fldCharType="separate"/>
      </w:r>
      <w:r w:rsidR="00C069E4">
        <w:rPr>
          <w:noProof/>
        </w:rPr>
        <w:t>(CAL FIRE, 2021b)</w:t>
      </w:r>
      <w:r w:rsidR="00E91DE4">
        <w:fldChar w:fldCharType="end"/>
      </w:r>
      <w:r w:rsidR="00E91DE4">
        <w:t xml:space="preserve">. </w:t>
      </w:r>
    </w:p>
    <w:p w14:paraId="086796E3" w14:textId="62A30793" w:rsidR="00333D42" w:rsidRDefault="00333D42" w:rsidP="0037615E">
      <w:r>
        <w:rPr>
          <w:noProof/>
        </w:rPr>
        <mc:AlternateContent>
          <mc:Choice Requires="wps">
            <w:drawing>
              <wp:anchor distT="0" distB="0" distL="114300" distR="114300" simplePos="0" relativeHeight="251660288" behindDoc="0" locked="0" layoutInCell="1" allowOverlap="1" wp14:anchorId="13A2697A" wp14:editId="4E0B684B">
                <wp:simplePos x="0" y="0"/>
                <wp:positionH relativeFrom="column">
                  <wp:posOffset>617855</wp:posOffset>
                </wp:positionH>
                <wp:positionV relativeFrom="paragraph">
                  <wp:posOffset>5770245</wp:posOffset>
                </wp:positionV>
                <wp:extent cx="4518025" cy="635"/>
                <wp:effectExtent l="0" t="0" r="3175" b="9525"/>
                <wp:wrapTopAndBottom/>
                <wp:docPr id="2" name="Textfeld 2"/>
                <wp:cNvGraphicFramePr/>
                <a:graphic xmlns:a="http://schemas.openxmlformats.org/drawingml/2006/main">
                  <a:graphicData uri="http://schemas.microsoft.com/office/word/2010/wordprocessingShape">
                    <wps:wsp>
                      <wps:cNvSpPr txBox="1"/>
                      <wps:spPr>
                        <a:xfrm>
                          <a:off x="0" y="0"/>
                          <a:ext cx="451802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CD4BE" w14:textId="782866BC" w:rsidR="00333D42" w:rsidRPr="00CA48B8" w:rsidRDefault="00333D42" w:rsidP="00CA48B8">
                            <w:pPr>
                              <w:pStyle w:val="Beschriftung"/>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Figure </w:t>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SEQ Figure \* ARABIC </w:instrText>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7360A8" w:rsidRPr="00CA48B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Study Area, with all recorded wildfires during the study period of 2010-2018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2697A" id="_x0000_t202" coordsize="21600,21600" o:spt="202" path="m,l,21600r21600,l21600,xe">
                <v:stroke joinstyle="miter"/>
                <v:path gradientshapeok="t" o:connecttype="rect"/>
              </v:shapetype>
              <v:shape id="Textfeld 2" o:spid="_x0000_s1026" type="#_x0000_t202" style="position:absolute;left:0;text-align:left;margin-left:48.65pt;margin-top:454.35pt;width:3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" filled="f" stroked="f">
                <v:textbox style="mso-fit-shape-to-text:t" inset="0,0,0,0">
                  <w:txbxContent>
                    <w:p w14:paraId="3B7CD4BE" w14:textId="782866BC" w:rsidR="00333D42" w:rsidRPr="00CA48B8" w:rsidRDefault="00333D42" w:rsidP="00CA48B8">
                      <w:pPr>
                        <w:pStyle w:val="Beschriftung"/>
                        <w:jc w:val="cente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Figure </w:t>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SEQ Figure \* ARABIC </w:instrText>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7360A8" w:rsidRPr="00CA48B8">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CA48B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Study Area, with all recorded wildfires during the study period of 2010-2018</w:t>
                      </w:r>
                    </w:p>
                  </w:txbxContent>
                </v:textbox>
                <w10:wrap type="topAndBottom"/>
              </v:shape>
            </w:pict>
          </mc:Fallback>
        </mc:AlternateContent>
      </w:r>
      <w:r>
        <w:rPr>
          <w:noProof/>
        </w:rPr>
        <w:drawing>
          <wp:anchor distT="0" distB="0" distL="114300" distR="114300" simplePos="0" relativeHeight="251658240" behindDoc="0" locked="0" layoutInCell="1" allowOverlap="1" wp14:anchorId="3678547F" wp14:editId="51D7456C">
            <wp:simplePos x="0" y="0"/>
            <wp:positionH relativeFrom="margin">
              <wp:align>center</wp:align>
            </wp:positionH>
            <wp:positionV relativeFrom="paragraph">
              <wp:posOffset>1657985</wp:posOffset>
            </wp:positionV>
            <wp:extent cx="4518408" cy="4055165"/>
            <wp:effectExtent l="0" t="0" r="3175" b="0"/>
            <wp:wrapTopAndBottom/>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rotWithShape="1">
                    <a:blip r:embed="rId8">
                      <a:extLst>
                        <a:ext uri="{28A0092B-C50C-407E-A947-70E740481C1C}">
                          <a14:useLocalDpi xmlns:a14="http://schemas.microsoft.com/office/drawing/2010/main" val="0"/>
                        </a:ext>
                      </a:extLst>
                    </a:blip>
                    <a:srcRect l="14042" t="3990" r="7452" b="2072"/>
                    <a:stretch/>
                  </pic:blipFill>
                  <pic:spPr bwMode="auto">
                    <a:xfrm>
                      <a:off x="0" y="0"/>
                      <a:ext cx="4518408" cy="405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682">
        <w:t xml:space="preserve">Using the QGIS software I have divided the study area into a grid of squares with an area size of </w:t>
      </w:r>
      <w:r w:rsidR="00503682"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03682">
        <w:t>, making up the units of observation of this study. I have chosen this area size for the individual units due to some of the environmental pr</w:t>
      </w:r>
      <w:proofErr w:type="spellStart"/>
      <w:r w:rsidR="00503682">
        <w:t>edictor</w:t>
      </w:r>
      <w:proofErr w:type="spellEnd"/>
      <w:r w:rsidR="00503682">
        <w:t xml:space="preserve"> data only being available at this resolution, as well as the implications on computational cost </w:t>
      </w:r>
      <w:r w:rsidR="00DE4EED">
        <w:t>when</w:t>
      </w:r>
      <w:r w:rsidR="00503682">
        <w:t xml:space="preserve"> increasing </w:t>
      </w:r>
      <w:r w:rsidR="00DE4EED">
        <w:t xml:space="preserve">the </w:t>
      </w:r>
      <w:r w:rsidR="00503682">
        <w:t xml:space="preserve">granularity any further. </w:t>
      </w:r>
    </w:p>
    <w:p w14:paraId="544CA841" w14:textId="2B873AC9" w:rsidR="003D63AF" w:rsidRPr="003D63AF" w:rsidRDefault="005001B3" w:rsidP="0037615E">
      <w:pPr>
        <w:pStyle w:val="berschrift2"/>
        <w:numPr>
          <w:ilvl w:val="1"/>
          <w:numId w:val="4"/>
        </w:numPr>
      </w:pPr>
      <w:r w:rsidRPr="002A28EA">
        <w:lastRenderedPageBreak/>
        <w:t>Target Variable</w:t>
      </w:r>
    </w:p>
    <w:p w14:paraId="32F0AD16" w14:textId="724CE98C" w:rsidR="005001B3" w:rsidRPr="002A28EA" w:rsidRDefault="005001B3" w:rsidP="0037615E">
      <w:r w:rsidRPr="002A28EA">
        <w:t>The occurrence of wildfire in the geospatial units during the study period serves as the target variable for this study. The period between the years 2010 and 2018 constitutes the period of analysis.</w:t>
      </w:r>
    </w:p>
    <w:p w14:paraId="562CE9DA" w14:textId="27682622" w:rsidR="005001B3" w:rsidRPr="002A28EA" w:rsidRDefault="005001B3" w:rsidP="0037615E">
      <w:r w:rsidRPr="002A28EA">
        <w:t>Data on the occurrence of wildfire ignitions were obtained from the "Fire Perimeters" data set, compiled, and provided by the Fire and Resource Assessment Program (FRAP), a joint effort of the California Department of Forestry and Fire Protection (CAL FIRE), the United States Forest Service Region 5, the Bureau of Land Management, and the National Park Service of the United States</w:t>
      </w:r>
      <w:r w:rsidR="0035618D" w:rsidRPr="002A28EA">
        <w:t xml:space="preserve"> </w:t>
      </w:r>
      <w:r w:rsidR="000D7B2E" w:rsidRPr="002A28EA">
        <w:fldChar w:fldCharType="begin"/>
      </w:r>
      <w:r w:rsidR="001C5B67">
        <w:instrText xml:space="preserve"> ADDIN ZOTERO_ITEM CSL_CITATION {"citationID":"gSlwICI2","properties":{"formattedCitation":"(CAL FIRE, 2021a)","plainCitation":"(CAL FIRE, 2021a)","noteIndex":0},"citationItems":[{"id":54,"uris":["http://zotero.org/users/7598357/items/N2ABDIWK"],"uri":["http://zotero.org/users/7598357/items/N2ABDIWK"],"itemData":{"id":54,"type":"map","genre":"Feature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rsidRPr="002A28EA">
        <w:fldChar w:fldCharType="separate"/>
      </w:r>
      <w:r w:rsidR="00C069E4">
        <w:rPr>
          <w:noProof/>
        </w:rPr>
        <w:t>(CAL FIRE, 2021a)</w:t>
      </w:r>
      <w:r w:rsidR="000D7B2E" w:rsidRPr="002A28EA">
        <w:fldChar w:fldCharType="end"/>
      </w:r>
      <w:r w:rsidRPr="002A28EA">
        <w:t>.</w:t>
      </w:r>
      <w:r w:rsidR="0035618D" w:rsidRPr="002A28EA">
        <w:t xml:space="preserve"> </w:t>
      </w:r>
      <w:r w:rsidRPr="002A28EA">
        <w:t>“Fire Perimeters” is the most complete and frequently updated database on wildfire occurrences in California</w:t>
      </w:r>
      <w:r w:rsidR="00557A27" w:rsidRPr="002A28EA">
        <w:t xml:space="preserve">. </w:t>
      </w:r>
      <w:r w:rsidRPr="002A28EA">
        <w:t xml:space="preserve">This data set is provided as a shapefile and displays the perimeters of all recorded wildfire occurrences in </w:t>
      </w:r>
      <w:r w:rsidR="00A11414">
        <w:t>the area</w:t>
      </w:r>
      <w:r w:rsidRPr="002A28EA">
        <w:t xml:space="preserve">, along with </w:t>
      </w:r>
      <w:r w:rsidR="00A11414">
        <w:t xml:space="preserve">harmonized data such as </w:t>
      </w:r>
      <w:r w:rsidRPr="002A28EA">
        <w:t>the exact date of a wildfire’s discovery, as well as its extinguishment. I used a subset of this data set corresponding to the study area and period, including all recorded fire</w:t>
      </w:r>
      <w:r w:rsidR="00A11414">
        <w:t>s</w:t>
      </w:r>
      <w:r w:rsidRPr="002A28EA">
        <w:t xml:space="preserve"> throughout </w:t>
      </w:r>
      <w:r w:rsidR="00A11414">
        <w:t>each</w:t>
      </w:r>
      <w:r w:rsidRPr="002A28EA">
        <w:t xml:space="preserve"> year. </w:t>
      </w:r>
    </w:p>
    <w:p w14:paraId="4E98249F" w14:textId="08B2E67E" w:rsidR="0035618D" w:rsidRPr="002A28EA" w:rsidRDefault="00557A27" w:rsidP="0037615E">
      <w:r w:rsidRPr="002A28EA">
        <w:t>The location accuracy of the recorde</w:t>
      </w:r>
      <w:r w:rsidR="00A11414">
        <w:t>d</w:t>
      </w:r>
      <w:r w:rsidRPr="002A28EA">
        <w:t xml:space="preserve"> wildfire ignitions made this data well suited for spatial analysis</w:t>
      </w:r>
      <w:r w:rsidR="00A37067" w:rsidRPr="002A28EA">
        <w:t xml:space="preserve">. QGIS can access “Fire Perimeters” directly through the ArcGIS REST API, after which it must be projected to a suitable map projection for further processing. For this project I </w:t>
      </w:r>
      <w:r w:rsidR="00D45D42" w:rsidRPr="002A28EA">
        <w:t>chose to use the “NAD 1983 California (Teale) Albers (Meters)” projection, which is recommended for statewide datasets of California due to its property of having the coordinate system’s origin at the center of the state</w:t>
      </w:r>
      <w:r w:rsidR="0035618D" w:rsidRPr="002A28EA">
        <w:t xml:space="preserve"> </w:t>
      </w:r>
      <w:r w:rsidR="00097198" w:rsidRPr="002A28EA">
        <w:fldChar w:fldCharType="begin"/>
      </w:r>
      <w:r w:rsidR="00097198" w:rsidRPr="002A28EA">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rsidRPr="002A28EA">
        <w:fldChar w:fldCharType="separate"/>
      </w:r>
      <w:r w:rsidR="00C069E4">
        <w:rPr>
          <w:noProof/>
        </w:rPr>
        <w:t>(Patterson, 2021)</w:t>
      </w:r>
      <w:r w:rsidR="00097198" w:rsidRPr="002A28EA">
        <w:fldChar w:fldCharType="end"/>
      </w:r>
      <w:r w:rsidR="0035618D" w:rsidRPr="002A28EA">
        <w:t xml:space="preserve">. </w:t>
      </w:r>
    </w:p>
    <w:p w14:paraId="36E385A0" w14:textId="778E637E" w:rsidR="0035618D" w:rsidRPr="002A28EA" w:rsidRDefault="0035618D" w:rsidP="0037615E">
      <w:r w:rsidRPr="002A28EA">
        <w:t xml:space="preserve">After projection the QGIS spatial analysis </w:t>
      </w:r>
      <w:proofErr w:type="gramStart"/>
      <w:r w:rsidRPr="002A28EA">
        <w:t>join</w:t>
      </w:r>
      <w:proofErr w:type="gramEnd"/>
      <w:r w:rsidRPr="002A28EA">
        <w:t xml:space="preserve"> algorithm </w:t>
      </w:r>
      <w:r w:rsidR="00A11414">
        <w:t>was</w:t>
      </w:r>
      <w:r w:rsidRPr="002A28EA">
        <w:t xml:space="preserve"> used to register all intersections of a wildfire perimeter and the grid made up of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2A28EA">
        <w:t xml:space="preserve"> squares, which serve as the units of observation of this study. </w:t>
      </w:r>
      <w:r w:rsidR="006E2DAD" w:rsidRPr="002A28EA">
        <w:t>The resulting table records all dates for which the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elements of the grid have intersected with a fire perimeter. Note that this does not mean that a given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 was completely covered by a wildfire perimeter (and hence was burned c</w:t>
      </w:r>
      <w:proofErr w:type="spellStart"/>
      <w:r w:rsidR="006E2DAD" w:rsidRPr="002A28EA">
        <w:t>ompletely</w:t>
      </w:r>
      <w:proofErr w:type="spellEnd"/>
      <w:r w:rsidR="006E2DAD" w:rsidRPr="002A28EA">
        <w:t xml:space="preserve">), </w:t>
      </w:r>
      <w:r w:rsidR="006E2DAD" w:rsidRPr="002A28EA">
        <w:lastRenderedPageBreak/>
        <w:t>merely that at least a single wildfire ignition has taken place and was recorded within the bounds of that specific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w:t>
      </w:r>
    </w:p>
    <w:p w14:paraId="303F6072" w14:textId="5282F0BA" w:rsidR="00A45806" w:rsidRDefault="00A45806" w:rsidP="0037615E">
      <w:proofErr w:type="gramStart"/>
      <w:r w:rsidRPr="002A28EA">
        <w:t>In order to</w:t>
      </w:r>
      <w:proofErr w:type="gramEnd"/>
      <w:r w:rsidRPr="002A28EA">
        <w:t xml:space="preserve"> further process this data, this table had to be transformed. </w:t>
      </w:r>
      <w:r w:rsidR="00F81AFE" w:rsidRPr="002A28EA">
        <w:t>It is not the date of a wildfire ignition that is of interest for this study per se, but the wildfire ignition status of the grid elements during the observed intervals of the study period. To represent this within the data set, the data was transformed so that each sample represented the wildfire ignition status of a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rsidRPr="002A28EA">
        <w:t xml:space="preserve"> square for each month of the study period of 2010 to 2018. </w:t>
      </w:r>
      <w:r w:rsidR="00D861B6" w:rsidRPr="002A28EA">
        <w:t xml:space="preserve">This binary variable called </w:t>
      </w:r>
      <w:r w:rsidR="00D861B6" w:rsidRPr="002A28EA">
        <w:rPr>
          <w:i/>
          <w:iCs/>
        </w:rPr>
        <w:t>fire</w:t>
      </w:r>
      <w:r w:rsidR="00D861B6" w:rsidRPr="002A28EA">
        <w:t xml:space="preserve">, with the possible values of </w:t>
      </w:r>
      <w:r w:rsidR="00D861B6" w:rsidRPr="002A28EA">
        <w:rPr>
          <w:i/>
          <w:iCs/>
        </w:rPr>
        <w:t xml:space="preserve">fire </w:t>
      </w:r>
      <w:r w:rsidR="00D861B6" w:rsidRPr="002A28EA">
        <w:t xml:space="preserve">and </w:t>
      </w:r>
      <w:r w:rsidR="00D861B6" w:rsidRPr="002A28EA">
        <w:rPr>
          <w:i/>
          <w:iCs/>
        </w:rPr>
        <w:t>none</w:t>
      </w:r>
      <w:r w:rsidR="00D861B6" w:rsidRPr="002A28EA">
        <w:t>, serve</w:t>
      </w:r>
      <w:r w:rsidR="00A11414">
        <w:t>s</w:t>
      </w:r>
      <w:r w:rsidR="00D861B6" w:rsidRPr="002A28EA">
        <w:t xml:space="preserve"> as the target variable for all predictive models </w:t>
      </w:r>
      <w:r w:rsidR="007360A8">
        <w:t>estimated for</w:t>
      </w:r>
      <w:r w:rsidR="00D861B6" w:rsidRPr="002A28EA">
        <w:t xml:space="preserve"> this study. </w:t>
      </w:r>
    </w:p>
    <w:p w14:paraId="211252E9" w14:textId="77777777" w:rsidR="007360A8" w:rsidRDefault="007360A8" w:rsidP="0037615E">
      <w:r>
        <w:rPr>
          <w:noProof/>
        </w:rPr>
        <w:drawing>
          <wp:inline distT="0" distB="0" distL="0" distR="0" wp14:anchorId="0225C400" wp14:editId="10703A96">
            <wp:extent cx="5756910" cy="29432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943225"/>
                    </a:xfrm>
                    <a:prstGeom prst="rect">
                      <a:avLst/>
                    </a:prstGeom>
                  </pic:spPr>
                </pic:pic>
              </a:graphicData>
            </a:graphic>
          </wp:inline>
        </w:drawing>
      </w:r>
    </w:p>
    <w:p w14:paraId="0459FA92" w14:textId="71342E5D" w:rsidR="007360A8" w:rsidRPr="002A28EA" w:rsidRDefault="007360A8" w:rsidP="00CA48B8">
      <w:pPr>
        <w:pStyle w:val="Beschriftung"/>
        <w:jc w:val="center"/>
      </w:pPr>
      <w:r>
        <w:t xml:space="preserve">Figure </w:t>
      </w:r>
      <w:fldSimple w:instr=" SEQ Figure \* ARABIC ">
        <w:r w:rsidR="00BC50C5">
          <w:rPr>
            <w:noProof/>
          </w:rPr>
          <w:t>2</w:t>
        </w:r>
      </w:fldSimple>
      <w:r>
        <w:t>: Monthly distribution of wildfire occurrences during the study period</w:t>
      </w:r>
    </w:p>
    <w:p w14:paraId="786DA72C" w14:textId="5C4337A0" w:rsidR="00185042" w:rsidRPr="002A28EA" w:rsidRDefault="00185042" w:rsidP="0037615E">
      <w:r w:rsidRPr="002A28EA">
        <w:t xml:space="preserve">The </w:t>
      </w:r>
      <w:r w:rsidR="00B05EEF" w:rsidRPr="002A28EA">
        <w:t>monthly distribution of wildfire ignition events show</w:t>
      </w:r>
      <w:r w:rsidR="005B485A" w:rsidRPr="002A28EA">
        <w:t>s a clear seasonality</w:t>
      </w:r>
      <w:r w:rsidR="00B05EEF" w:rsidRPr="002A28EA">
        <w:t xml:space="preserve">, as displayed in figure </w:t>
      </w:r>
      <w:r w:rsidR="007360A8">
        <w:t>2</w:t>
      </w:r>
      <w:r w:rsidR="00B05EEF" w:rsidRPr="002A28EA">
        <w:t xml:space="preserve">. </w:t>
      </w:r>
      <w:proofErr w:type="gramStart"/>
      <w:r w:rsidR="005B485A" w:rsidRPr="002A28EA">
        <w:t>The vast majority of</w:t>
      </w:r>
      <w:proofErr w:type="gramEnd"/>
      <w:r w:rsidR="005B485A" w:rsidRPr="002A28EA">
        <w:t xml:space="preserve"> recorded wildfires were registered as active during the summer and autumn months. </w:t>
      </w:r>
      <w:r w:rsidR="00B05EEF" w:rsidRPr="002A28EA">
        <w:t xml:space="preserve">This meant that the monthly data could be aggregated to </w:t>
      </w:r>
      <w:r w:rsidR="005B485A" w:rsidRPr="002A28EA">
        <w:t>a</w:t>
      </w:r>
      <w:r w:rsidR="00B05EEF" w:rsidRPr="002A28EA">
        <w:t xml:space="preserve"> seasonal level, reducing the overall number of samples in the data set while </w:t>
      </w:r>
      <w:r w:rsidR="00824C8A" w:rsidRPr="002A28EA">
        <w:t>preserving as much information on wildfire occurrence in No</w:t>
      </w:r>
      <w:r w:rsidR="008B6C5F" w:rsidRPr="002A28EA">
        <w:t>r</w:t>
      </w:r>
      <w:r w:rsidR="00824C8A" w:rsidRPr="002A28EA">
        <w:t xml:space="preserve">thern California as possible. </w:t>
      </w:r>
      <w:r w:rsidR="00966B8E" w:rsidRPr="002A28EA">
        <w:t xml:space="preserve">Another motivation for this aggregation was the fact that many predictors were not available at the monthly level, making a data set at this level too granular for the variation contained in the predictor variables. </w:t>
      </w:r>
      <w:r w:rsidR="005B485A" w:rsidRPr="002A28EA">
        <w:lastRenderedPageBreak/>
        <w:t xml:space="preserve">In line with the study conducted by </w:t>
      </w:r>
      <w:proofErr w:type="spellStart"/>
      <w:r w:rsidR="005B485A" w:rsidRPr="002A28EA">
        <w:t>Tonini</w:t>
      </w:r>
      <w:proofErr w:type="spellEnd"/>
      <w:r w:rsidR="005B485A" w:rsidRPr="002A28EA">
        <w:t xml:space="preserve"> and co-authors, the period from May to October was assigned to the summer season, leaving the period from November to April to the winter season</w:t>
      </w:r>
      <w:r w:rsidR="00097198" w:rsidRPr="002A28EA">
        <w:t xml:space="preserve"> </w:t>
      </w:r>
      <w:r w:rsidR="00097198" w:rsidRPr="002A28EA">
        <w:fldChar w:fldCharType="begin"/>
      </w:r>
      <w:r w:rsidR="00C069E4">
        <w:instrText xml:space="preserve"> ADDIN ZOTERO_ITEM CSL_CITATION {"citationID":"ndsKRl0o","properties":{"formattedCitation":"(Tonini 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rsidRPr="002A28EA">
        <w:fldChar w:fldCharType="separate"/>
      </w:r>
      <w:r w:rsidR="00C069E4">
        <w:rPr>
          <w:color w:val="000000"/>
        </w:rPr>
        <w:t>(Tonini et al., 2020)</w:t>
      </w:r>
      <w:r w:rsidR="00097198" w:rsidRPr="002A28EA">
        <w:fldChar w:fldCharType="end"/>
      </w:r>
      <w:r w:rsidR="00097198" w:rsidRPr="002A28EA">
        <w:t>.</w:t>
      </w:r>
      <w:r w:rsidR="00966B8E" w:rsidRPr="002A28EA">
        <w:t xml:space="preserve"> </w:t>
      </w:r>
    </w:p>
    <w:p w14:paraId="6C4A9BFB" w14:textId="40359554" w:rsidR="0035618D" w:rsidRPr="002A28EA" w:rsidRDefault="00B05EEF" w:rsidP="0037615E">
      <w:r w:rsidRPr="002A28EA">
        <w:t>The number of recorded events (</w:t>
      </w:r>
      <w:r w:rsidRPr="002A28EA">
        <w:rPr>
          <w:i/>
          <w:iCs/>
        </w:rPr>
        <w:t>fire</w:t>
      </w:r>
      <w:r w:rsidRPr="002A28EA">
        <w:t>) and non-events (</w:t>
      </w:r>
      <w:r w:rsidRPr="002A28EA">
        <w:rPr>
          <w:i/>
          <w:iCs/>
        </w:rPr>
        <w:t>none</w:t>
      </w:r>
      <w:r w:rsidRPr="002A28EA">
        <w:t xml:space="preserve">) have proven to be strongly imbalanced, with non-events making up </w:t>
      </w:r>
      <w:proofErr w:type="gramStart"/>
      <w:r w:rsidRPr="002A28EA">
        <w:t>the vast majority of</w:t>
      </w:r>
      <w:proofErr w:type="gramEnd"/>
      <w:r w:rsidRPr="002A28EA">
        <w:t xml:space="preserve"> all samples in the data set. </w:t>
      </w:r>
      <w:r w:rsidR="00966B8E" w:rsidRPr="002A28EA">
        <w:t xml:space="preserve">The aggregation to the seasonal level has slightly improved this circumstance, increasing the share of samples reporting an active wildfire from 0.72% to 2.11%. Despite this, the seasonal data set still musters a high imbalance in the target variable’s values. </w:t>
      </w:r>
      <w:r w:rsidRPr="002A28EA">
        <w:t xml:space="preserve">This is common in cases of extreme-events prediction. The implications of this circumstance on the modeling process and different strategies for addressing potential problems are discussed in depth in chapter </w:t>
      </w:r>
      <w:r w:rsidR="001C4291">
        <w:t>3</w:t>
      </w:r>
      <w:r w:rsidRPr="002A28EA">
        <w:t xml:space="preserve"> on the </w:t>
      </w:r>
      <w:r w:rsidR="001C4291">
        <w:t>methods</w:t>
      </w:r>
      <w:r w:rsidRPr="002A28EA">
        <w:t xml:space="preserve"> </w:t>
      </w:r>
      <w:r w:rsidR="001C4291">
        <w:t>used for data pre-processing and model evaluation</w:t>
      </w:r>
      <w:r w:rsidRPr="002A28EA">
        <w:t xml:space="preserve">. </w:t>
      </w:r>
    </w:p>
    <w:p w14:paraId="23E3283C" w14:textId="22D783DB" w:rsidR="003D63AF" w:rsidRPr="003D63AF" w:rsidRDefault="005001B3" w:rsidP="0037615E">
      <w:pPr>
        <w:pStyle w:val="berschrift2"/>
        <w:numPr>
          <w:ilvl w:val="1"/>
          <w:numId w:val="4"/>
        </w:numPr>
      </w:pPr>
      <w:r w:rsidRPr="002A28EA">
        <w:t>Predictor Variables</w:t>
      </w:r>
    </w:p>
    <w:p w14:paraId="751781A9" w14:textId="7CAC4EB1" w:rsidR="003D2A81" w:rsidRPr="002A28EA" w:rsidRDefault="00DE0DD8" w:rsidP="0037615E">
      <w:r w:rsidRPr="002A28EA">
        <w:t xml:space="preserve">Overall, I compiled a set of 54 predictor variables in total. Not </w:t>
      </w:r>
      <w:proofErr w:type="gramStart"/>
      <w:r w:rsidR="00A6353E" w:rsidRPr="002A28EA">
        <w:t>all</w:t>
      </w:r>
      <w:r w:rsidRPr="002A28EA">
        <w:t xml:space="preserve"> </w:t>
      </w:r>
      <w:r w:rsidR="00A6353E">
        <w:t>of</w:t>
      </w:r>
      <w:proofErr w:type="gramEnd"/>
      <w:r w:rsidR="00A6353E">
        <w:t xml:space="preserve"> these variables</w:t>
      </w:r>
      <w:r w:rsidRPr="002A28EA">
        <w:t xml:space="preserve"> were ultimately used for modeling. Chapter </w:t>
      </w:r>
      <w:r w:rsidR="00511F16">
        <w:t>3</w:t>
      </w:r>
      <w:r w:rsidRPr="002A28EA">
        <w:t xml:space="preserve"> on </w:t>
      </w:r>
      <w:r w:rsidR="00511F16">
        <w:t xml:space="preserve">data preprocessing and predictor selection </w:t>
      </w:r>
      <w:r w:rsidRPr="002A28EA">
        <w:t xml:space="preserve">discusses why some of these variables were left out of the modeling process. These predictor variables </w:t>
      </w:r>
      <w:r w:rsidR="00D61B78">
        <w:t>are</w:t>
      </w:r>
      <w:r w:rsidRPr="002A28EA">
        <w:t xml:space="preserve"> chosen both for their documented use in previous studies on wildfire modeling, as well as their availability for the study area of Northern California </w:t>
      </w:r>
      <w:r w:rsidR="00196779">
        <w:t>during</w:t>
      </w:r>
      <w:r w:rsidRPr="002A28EA">
        <w:t xml:space="preserve"> the </w:t>
      </w:r>
      <w:r w:rsidR="00196779">
        <w:t xml:space="preserve">study </w:t>
      </w:r>
      <w:r w:rsidRPr="002A28EA">
        <w:t>period of 2010</w:t>
      </w:r>
      <w:r w:rsidR="00196779">
        <w:t xml:space="preserve"> </w:t>
      </w:r>
      <w:r w:rsidRPr="002A28EA">
        <w:t>-</w:t>
      </w:r>
      <w:r w:rsidR="00196779">
        <w:t xml:space="preserve"> </w:t>
      </w:r>
      <w:r w:rsidRPr="002A28EA">
        <w:t xml:space="preserve">2018. </w:t>
      </w:r>
    </w:p>
    <w:p w14:paraId="7155EDEF" w14:textId="770FFEAF" w:rsidR="00191483" w:rsidRPr="002A28EA" w:rsidRDefault="00DE0DD8" w:rsidP="0037615E">
      <w:r w:rsidRPr="002A28EA">
        <w:t xml:space="preserve">These data were acquired at the highest available granularity </w:t>
      </w:r>
      <w:proofErr w:type="gramStart"/>
      <w:r w:rsidRPr="002A28EA">
        <w:t>in order to</w:t>
      </w:r>
      <w:proofErr w:type="gramEnd"/>
      <w:r w:rsidRPr="002A28EA">
        <w:t xml:space="preserve"> introduce as much variation into the final data set as possible.</w:t>
      </w:r>
      <w:r w:rsidR="000E2231" w:rsidRPr="002A28EA">
        <w:t xml:space="preserve"> I included predictors of multiple categories, all of which are relevant to the occurrence of both human-caused wildfire ignitions and naturally occurring wildfires, s</w:t>
      </w:r>
      <w:r w:rsidR="003D2A81" w:rsidRPr="002A28EA">
        <w:t xml:space="preserve">imilar to </w:t>
      </w:r>
      <w:r w:rsidR="000A3AEA" w:rsidRPr="002A28EA">
        <w:t xml:space="preserve">the study conducted by </w:t>
      </w:r>
      <w:r w:rsidR="003D2A81" w:rsidRPr="002A28EA">
        <w:t>Oliveira and co-authors</w:t>
      </w:r>
      <w:r w:rsidR="000E2231" w:rsidRPr="002A28EA">
        <w:t xml:space="preserve"> </w:t>
      </w:r>
      <w:r w:rsidR="000E2231" w:rsidRPr="002A28EA">
        <w:fldChar w:fldCharType="begin"/>
      </w:r>
      <w:r w:rsidR="00C069E4">
        <w:instrText xml:space="preserve"> ADDIN ZOTERO_ITEM CSL_CITATION {"citationID":"zx9Hm1UQ","properties":{"formattedCitation":"(Oliveira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0E2231" w:rsidRPr="002A28EA">
        <w:fldChar w:fldCharType="separate"/>
      </w:r>
      <w:r w:rsidR="00C069E4">
        <w:rPr>
          <w:color w:val="000000"/>
        </w:rPr>
        <w:t>(Oliveira et al., 2012)</w:t>
      </w:r>
      <w:r w:rsidR="000E2231" w:rsidRPr="002A28EA">
        <w:fldChar w:fldCharType="end"/>
      </w:r>
      <w:r w:rsidR="000E2231" w:rsidRPr="002A28EA">
        <w:t xml:space="preserve">. </w:t>
      </w:r>
      <w:r w:rsidR="000A3AEA" w:rsidRPr="002A28EA">
        <w:t xml:space="preserve">The included categories of predictor variables </w:t>
      </w:r>
      <w:r w:rsidR="00575ABF" w:rsidRPr="002A28EA">
        <w:t>are</w:t>
      </w:r>
      <w:r w:rsidR="000A3AEA" w:rsidRPr="002A28EA">
        <w:t xml:space="preserve"> environmental data (including both topographic, </w:t>
      </w:r>
      <w:r w:rsidR="00840ABC">
        <w:t>meteorologic</w:t>
      </w:r>
      <w:r w:rsidR="000A3AEA" w:rsidRPr="002A28EA">
        <w:t xml:space="preserve"> and data concerning land cover), infrastructure data (both the proximity to human-made infrastructure, in addition to binary data </w:t>
      </w:r>
      <w:r w:rsidR="00600D8E">
        <w:lastRenderedPageBreak/>
        <w:t>indicating</w:t>
      </w:r>
      <w:r w:rsidR="000A3AEA" w:rsidRPr="002A28EA">
        <w:t xml:space="preserve"> the presence of infrastructure in the units of observation), as well as demographic and socio-economic data for the study area. </w:t>
      </w:r>
    </w:p>
    <w:p w14:paraId="7436296A" w14:textId="673139D3" w:rsidR="003D63AF" w:rsidRPr="002A28EA" w:rsidRDefault="00602929" w:rsidP="0037615E">
      <w:pPr>
        <w:pStyle w:val="berschrift3"/>
        <w:numPr>
          <w:ilvl w:val="2"/>
          <w:numId w:val="4"/>
        </w:numPr>
      </w:pPr>
      <w:r w:rsidRPr="002A28EA">
        <w:t>Environmental Predictors</w:t>
      </w:r>
    </w:p>
    <w:p w14:paraId="23E19AEB" w14:textId="5DE79AEB" w:rsidR="00C25511" w:rsidRDefault="00B44D09" w:rsidP="0037615E">
      <w:r w:rsidRPr="002A28EA">
        <w:t xml:space="preserve">Topographical features such as elevation are important predictors of spatial patterns of fire, as they </w:t>
      </w:r>
      <w:r w:rsidR="00190CE9" w:rsidRPr="002A28EA">
        <w:t xml:space="preserve">account for local variations in climate, in addition to exerting </w:t>
      </w:r>
      <w:r w:rsidRPr="002A28EA">
        <w:t xml:space="preserve">influence </w:t>
      </w:r>
      <w:r w:rsidR="00190CE9" w:rsidRPr="002A28EA">
        <w:t xml:space="preserve">on ground flammability through their impact on soil and </w:t>
      </w:r>
      <w:r w:rsidRPr="002A28EA">
        <w:t>fuel moisture</w:t>
      </w:r>
      <w:r w:rsidR="00190CE9" w:rsidRPr="002A28EA">
        <w:t xml:space="preserve"> and</w:t>
      </w:r>
      <w:r w:rsidRPr="002A28EA">
        <w:t xml:space="preserve"> </w:t>
      </w:r>
      <w:r w:rsidR="00190CE9" w:rsidRPr="002A28EA">
        <w:t xml:space="preserve">the vegetational distribution of land cover </w:t>
      </w:r>
      <w:r w:rsidR="00251F95">
        <w:fldChar w:fldCharType="begin"/>
      </w:r>
      <w:r w:rsidR="00C069E4">
        <w:instrText xml:space="preserve"> ADDIN ZOTERO_ITEM CSL_CITATION {"citationID":"QSrj70ii","properties":{"formattedCitation":"(Oliveira et al., 2012; Syphard et al., 2008; Whelan, 1995)","plainCitation":"(Oliveira et al., 2012; Syphard et al., 2008; Whelan, 1995)","noteIndex":0},"citationItems":[{"id":61,"uris":["http://zotero.org/users/7598357/items/AEX3XTXG"],"uri":["http://zotero.org/users/7598357/items/AEX3XTXG"],"itemData":{"id":61,"type":"book","abstract":"How wildfires affect animal and plant populations is a complex ecological issue. Robert Whelan examines fire as an ecological agent and discusses how populations of organisms are affected by its passage. Drawing examples from several continents, the author studies the impact of fires on individual organisms, populations, and communities. He looks at the effects on ecological processes such as predator-prey, and plant-herbivore interactions, and summarizes the major aspects of ecology that are of particular importance to fire control--both protection against wildfires and fire as a management tool. This book is unique in its emphasis on general ecological principles rather than regional treatment, and it will be of interest to ecologists, foresters, and other land managers.","ISBN":"978-0-521-32872-2","language":"en","note":"Google-Books-ID: 4bFxAwAAQBAJ","number-of-pages":"364","publisher":"Cambridge University Press","source":"Google Books","title":"The Ecology of Fire","author":[{"family":"Whelan","given":"Robert J."}],"issued":{"date-parts":[["1995",8,10]]}}},{"id":60,"uris":["http://zotero.org/users/7598357/items/8UF4Q6PE"],"uri":["http://zotero.org/users/7598357/items/8UF4Q6PE"],"itemData":{"id":60,"type":"article-journal","abstract":"Humans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251F95">
        <w:fldChar w:fldCharType="separate"/>
      </w:r>
      <w:r w:rsidR="00C069E4">
        <w:rPr>
          <w:color w:val="000000"/>
        </w:rPr>
        <w:t>(Oliveira et al., 2012; Syphard et al., 2008; Whelan, 1995)</w:t>
      </w:r>
      <w:r w:rsidR="00251F95">
        <w:fldChar w:fldCharType="end"/>
      </w:r>
      <w:r w:rsidR="00251F95">
        <w:t xml:space="preserve">. </w:t>
      </w:r>
      <w:r w:rsidR="002A28EA" w:rsidRPr="002A28EA">
        <w:t xml:space="preserve">A </w:t>
      </w:r>
      <w:r w:rsidR="00057BB7">
        <w:t>digital</w:t>
      </w:r>
      <w:r w:rsidR="002A28EA" w:rsidRPr="002A28EA">
        <w:t xml:space="preserve"> elevation map </w:t>
      </w:r>
      <w:r w:rsidR="00057BB7">
        <w:t xml:space="preserve">of California </w:t>
      </w:r>
      <w:r w:rsidR="002A28EA" w:rsidRPr="002A28EA">
        <w:t xml:space="preserve">at a 90m resolution </w:t>
      </w:r>
      <w:r w:rsidR="001033E7">
        <w:t xml:space="preserve">based on satellite imagery </w:t>
      </w:r>
      <w:r w:rsidR="002A28EA">
        <w:t xml:space="preserve">has been compiled by the </w:t>
      </w:r>
      <w:r w:rsidR="002A28EA" w:rsidRPr="002A28EA">
        <w:t>National Aeronautics and Space Administration (NASA) and the National Geospatial-Intelligence Agency (NGA</w:t>
      </w:r>
      <w:r w:rsidR="002A28EA">
        <w:t>)</w:t>
      </w:r>
      <w:r w:rsidR="00057BB7">
        <w:t xml:space="preserve"> and is distributed</w:t>
      </w:r>
      <w:r w:rsidR="002A28EA">
        <w:t xml:space="preserve"> </w:t>
      </w:r>
      <w:r w:rsidR="00057BB7">
        <w:t xml:space="preserve">as a raster band data set, where each pixel of the map corresponds to a numeric elevation value </w:t>
      </w:r>
      <w:r w:rsidR="002A28EA">
        <w:fldChar w:fldCharType="begin"/>
      </w:r>
      <w:r w:rsidR="002A28EA">
        <w:instrText xml:space="preserve"> ADDIN ZOTERO_ITEM CSL_CITATION {"citationID":"BpBWVr9n","properties":{"formattedCitation":"(NASA &amp; NGA, 2000)","plainCitation":"(NASA &amp; NGA, 2000)","noteIndex":0},"citationItems":[{"id":63,"uris":["http://zotero.org/users/7598357/items/BPXKR4PK"],"uri":["http://zotero.org/users/7598357/items/BPXKR4PK"],"itemData":{"id":63,"type":"map","title":"90 m DEM of California, USA","URL":"https://databasin.org/datasets/78ac54fabd594db5a39f6629514752c0/","author":[{"family":"NASA &amp; NGA","given":""}],"accessed":{"date-parts":[["2021",11,3]]},"issued":{"date-parts":[["2000"]]}}}],"schema":"https://github.com/citation-style-language/schema/raw/master/csl-citation.json"} </w:instrText>
      </w:r>
      <w:r w:rsidR="002A28EA">
        <w:fldChar w:fldCharType="separate"/>
      </w:r>
      <w:r w:rsidR="00C069E4">
        <w:rPr>
          <w:noProof/>
        </w:rPr>
        <w:t>(NASA &amp; NGA, 2000)</w:t>
      </w:r>
      <w:r w:rsidR="002A28EA">
        <w:fldChar w:fldCharType="end"/>
      </w:r>
      <w:r w:rsidR="002A28EA">
        <w:t xml:space="preserve">. </w:t>
      </w:r>
      <w:r w:rsidR="00057BB7">
        <w:t xml:space="preserve">This very high resolution means that the data </w:t>
      </w:r>
      <w:proofErr w:type="gramStart"/>
      <w:r w:rsidR="00057BB7">
        <w:t>ha</w:t>
      </w:r>
      <w:r w:rsidR="00600D8E">
        <w:t>s</w:t>
      </w:r>
      <w:r w:rsidR="00057BB7">
        <w:t xml:space="preserve"> to</w:t>
      </w:r>
      <w:proofErr w:type="gramEnd"/>
      <w:r w:rsidR="00057BB7">
        <w:t xml:space="preserve"> be aggregated to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level of the grid elements of this study. The QGIS software provides tools to process raster data and toolset</w:t>
      </w:r>
      <w:r w:rsidR="00600D8E">
        <w:t>s</w:t>
      </w:r>
      <w:r w:rsidR="00057BB7">
        <w:t xml:space="preserve"> to calculate </w:t>
      </w:r>
      <w:r w:rsidR="00600D8E">
        <w:t xml:space="preserve">the zonal statistics such as </w:t>
      </w:r>
      <w:r w:rsidR="00057BB7">
        <w:t xml:space="preserve">the average elevation value </w:t>
      </w:r>
      <w:r w:rsidR="00600D8E">
        <w:t>for</w:t>
      </w:r>
      <w:r w:rsidR="00057BB7">
        <w:t xml:space="preserve"> </w:t>
      </w:r>
      <w:r w:rsidR="00600D8E">
        <w:t xml:space="preserve">each </w:t>
      </w:r>
      <w:r w:rsidR="00057BB7">
        <w:t xml:space="preserve">of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squares </w:t>
      </w:r>
      <w:r w:rsidR="00600D8E">
        <w:t>of the grid</w:t>
      </w:r>
      <w:r w:rsidR="00E4473A">
        <w:t xml:space="preserve">. </w:t>
      </w:r>
    </w:p>
    <w:p w14:paraId="16406AD2" w14:textId="3E890C79" w:rsidR="00B44D09" w:rsidRDefault="00C25511" w:rsidP="0037615E">
      <w:r>
        <w:t xml:space="preserve">Furthermore, topographical data on the presence of major bodies of water, such as lakes and rivers, </w:t>
      </w:r>
      <w:r w:rsidR="00E859B4">
        <w:t>are</w:t>
      </w:r>
      <w:r>
        <w:t xml:space="preserve"> added to the map. Bodies of water act as natural fire barriers and directly influence soil moisture and vegetation in their vicinity. These data are provided as shapefiles </w:t>
      </w:r>
      <w:r w:rsidR="003055AC">
        <w:t xml:space="preserve">by the California Department of Fish and Wildlife </w:t>
      </w:r>
      <w:r w:rsidR="00D41D27">
        <w:fldChar w:fldCharType="begin"/>
      </w:r>
      <w:r w:rsidR="00D41D27">
        <w:instrText xml:space="preserve"> ADDIN ZOTERO_ITEM CSL_CITATION {"citationID":"M6duDShs","properties":{"formattedCitation":"(California Department of Fish &amp; Wildlife, 2015, 2018)","plainCitation":"(California Department of Fish &amp; Wildlife, 2015, 2018)","noteIndex":0},"citationItems":[{"id":65,"uris":["http://zotero.org/users/7598357/items/Y6VGHMEW"],"uri":["http://zotero.org/users/7598357/items/Y6VGHMEW"],"itemData":{"id":65,"type":"map","abstract":"NOTE: In 2013, the California Department of Fish and Game (CDFG, DFG) was renamed to California Department of Fish and Widlife (CDFW). The dataset was created for two purposes: First, to attempt to correct many inaccuracies in current GIS datasets for California waterbodies, especially regarding NAMES. Second, to provide a unique numeric ID system for DFG of all digitized waterbodies in CA in order to assist with fisheries and biological programs management and public fishing programs, including biological surveys, fish planting, and public fishing guides. Updated as needed.  This dataset is considered authoritative as used by CDFW for various tracking purposes but may not be current or comprehensive for all waterbodies in the state.","language":"en-us","title":"California Lakes","URL":"https://gis.data.ca.gov/datasets/CDFW::california-lakes/explore?location=42.515417,-117.179066,6.49","author":[{"family":"California Department of Fish &amp; Wildlife","given":""}],"accessed":{"date-parts":[["2021",11,3]]},"issued":{"date-parts":[["2015",12,11]]}}},{"id":67,"uris":["http://zotero.org/users/7598357/items/P7RTSQCF"],"uri":["http://zotero.org/users/7598357/items/P7RTSQCF"],"itemData":{"id":67,"type":"map","abstract":"California Atlas Water Feature Lines provides the linear water features for geographic display and analysis at regional and national levels.","language":"en-us","title":"California Hydro","URL":"https://hub.arcgis.com/datasets/de8d118c32da4a22a091848458e761fd_0/about","author":[{"family":"California Department of Fish &amp; Wildlife","given":""}],"accessed":{"date-parts":[["2021",11,3]]},"issued":{"date-parts":[["2018",4,16]]}}}],"schema":"https://github.com/citation-style-language/schema/raw/master/csl-citation.json"} </w:instrText>
      </w:r>
      <w:r w:rsidR="00D41D27">
        <w:fldChar w:fldCharType="separate"/>
      </w:r>
      <w:r w:rsidR="00C069E4">
        <w:rPr>
          <w:noProof/>
        </w:rPr>
        <w:t>(California Department of Fish &amp; Wildlife, 2015, 2018)</w:t>
      </w:r>
      <w:r w:rsidR="00D41D27">
        <w:fldChar w:fldCharType="end"/>
      </w:r>
      <w:r w:rsidR="00D41D27">
        <w:t xml:space="preserve"> </w:t>
      </w:r>
      <w:r w:rsidR="00F446BD">
        <w:t xml:space="preserve">These data </w:t>
      </w:r>
      <w:r w:rsidR="004B3E7F">
        <w:t>are</w:t>
      </w:r>
      <w:r w:rsidR="00F446BD">
        <w:t xml:space="preserve"> used twofold: In a first step, a binary variable </w:t>
      </w:r>
      <w:r w:rsidR="004B3E7F">
        <w:t>is</w:t>
      </w:r>
      <w:r w:rsidR="00F446BD">
        <w:t xml:space="preserve"> created indicating whether an object of observation is intersected by either a lake or a river. In a second step, the distance of each </w:t>
      </w:r>
      <w:r w:rsidR="00F446B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446BD">
        <w:t xml:space="preserve"> square’s centroid to the nearest element of both the river and the lakes data set </w:t>
      </w:r>
      <w:r w:rsidR="004B3E7F">
        <w:t>is</w:t>
      </w:r>
      <w:r w:rsidR="00F446BD">
        <w:t xml:space="preserve"> calculated with the </w:t>
      </w:r>
      <w:proofErr w:type="spellStart"/>
      <w:proofErr w:type="gramStart"/>
      <w:r w:rsidR="00F446BD" w:rsidRPr="00F446BD">
        <w:rPr>
          <w:i/>
          <w:iCs/>
        </w:rPr>
        <w:t>v.distance</w:t>
      </w:r>
      <w:proofErr w:type="spellEnd"/>
      <w:proofErr w:type="gramEnd"/>
      <w:r w:rsidR="00F446BD">
        <w:rPr>
          <w:i/>
          <w:iCs/>
        </w:rPr>
        <w:t xml:space="preserve"> </w:t>
      </w:r>
      <w:r w:rsidR="00F446BD">
        <w:t xml:space="preserve">algorithm of the GRASS package for QGIS. This provides </w:t>
      </w:r>
      <w:r w:rsidR="00DB5B83">
        <w:t xml:space="preserve">an additional indicator to the presence of water bodies, that is numeric and continuous, as opposed to the logical dummy variables created in the first step. </w:t>
      </w:r>
    </w:p>
    <w:p w14:paraId="24FA0F0D" w14:textId="414283ED" w:rsidR="00B44D09" w:rsidRDefault="004A4368" w:rsidP="0037615E">
      <w:r>
        <w:lastRenderedPageBreak/>
        <w:t xml:space="preserve">The local vegetation and land cover are </w:t>
      </w:r>
      <w:r w:rsidR="004B3E7F">
        <w:t>often</w:t>
      </w:r>
      <w:r>
        <w:t xml:space="preserve"> cited as being associated with fire occurrences – both natural and caused by humans </w:t>
      </w:r>
      <w:r>
        <w:fldChar w:fldCharType="begin"/>
      </w:r>
      <w:r w:rsidR="00C069E4">
        <w:instrText xml:space="preserve"> ADDIN ZOTERO_ITEM CSL_CITATION {"citationID":"qJBR33m0","properties":{"formattedCitation":"(Mart\\uc0\\u237{}nez et al., 2009; Oliveira et al., 2012; Syphard et al., 2008)","plainCitation":"(Martínez et al., 2009; Oliveira et al., 2012; Syphard et al., 2008)","noteIndex":0},"citationItems":[{"id":60,"uris":["http://zotero.org/users/7598357/items/8UF4Q6PE"],"uri":["http://zotero.org/users/7598357/items/8UF4Q6PE"],"itemData":{"id":60,"type":"article-journal","abstract":"Humans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sidRPr="00C069E4">
        <w:rPr>
          <w:color w:val="000000"/>
        </w:rPr>
        <w:t>(Martínez et al., 2009; Oliveira et al., 2012; Syphard et al., 2008)</w:t>
      </w:r>
      <w:r>
        <w:fldChar w:fldCharType="end"/>
      </w:r>
      <w:r w:rsidR="00B4206C">
        <w:t xml:space="preserve">. </w:t>
      </w:r>
      <w:r w:rsidR="0003605F">
        <w:t>Due to the strong local variations in climate, land cover not only indicates the naturally occurring fuel</w:t>
      </w:r>
      <w:r w:rsidR="00B74AF0">
        <w:t xml:space="preserve"> types</w:t>
      </w:r>
      <w:r w:rsidR="0003605F">
        <w:t xml:space="preserve">, but also the various biomes found in Northern California. </w:t>
      </w:r>
      <w:r w:rsidR="00DA1768">
        <w:t xml:space="preserve">I hence included categorical data on the land cover and land use of California. The data was compiled by the Department of Geography at the University of California as a single shapefile, depicting the canopy dominant vegetation species for the entire state </w:t>
      </w:r>
      <w:r w:rsidR="00DA1768">
        <w:fldChar w:fldCharType="begin"/>
      </w:r>
      <w:r w:rsidR="00DA1768">
        <w:instrText xml:space="preserve"> ADDIN ZOTERO_ITEM CSL_CITATION {"citationID":"E1pqIfL4","properties":{"formattedCitation":"(Department of Geography UC Berkeley, 2014)","plainCitation":"(Department of Geography UC Berkeley, 2014)","noteIndex":0},"citationItems":[{"id":69,"uris":["http://zotero.org/users/7598357/items/L4CJ4KTH"],"uri":["http://zotero.org/users/7598357/items/L4CJ4KTH"],"itemData":{"id":69,"type":"map","title":"California wildlife habitat relationships (WHR) | Data Basin","URL":"https://databasin.org/datasets/b44e9a19ee954c00b5830836e6b8264c/","author":[{"family":"Department of Geography UC Berkeley","given":""}],"accessed":{"date-parts":[["2021",11,3]]},"issued":{"date-parts":[["2014"]]}}}],"schema":"https://github.com/citation-style-language/schema/raw/master/csl-citation.json"} </w:instrText>
      </w:r>
      <w:r w:rsidR="00DA1768">
        <w:fldChar w:fldCharType="separate"/>
      </w:r>
      <w:r w:rsidR="00C069E4">
        <w:rPr>
          <w:noProof/>
        </w:rPr>
        <w:t>(Department of Geography UC Berkeley, 2014)</w:t>
      </w:r>
      <w:r w:rsidR="00DA1768">
        <w:fldChar w:fldCharType="end"/>
      </w:r>
      <w:r w:rsidR="00DA1768">
        <w:t xml:space="preserve">. </w:t>
      </w:r>
      <w:r w:rsidR="00C934DE">
        <w:t xml:space="preserve">The “California </w:t>
      </w:r>
      <w:r w:rsidR="00C934DE" w:rsidRPr="00C934DE">
        <w:t>Wildlife Habitat Relationships</w:t>
      </w:r>
      <w:r w:rsidR="00C934DE">
        <w:t xml:space="preserve">” system provides a detailed classification of tree dominated, shrub dominated, herbaceous dominated, aquatic, developed and non-vegetated habitats, each with their own subcategories. Due to this highly detailed breakdown of the dominant land cover, this data can act as a proxy for the primary fuel type within the </w:t>
      </w:r>
      <w:r w:rsidR="00C934D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C934DE">
        <w:t xml:space="preserve"> </w:t>
      </w:r>
      <w:r w:rsidR="009C0B43">
        <w:t xml:space="preserve">units of observation. QGIS </w:t>
      </w:r>
      <w:r w:rsidR="00AB62BF">
        <w:t>is</w:t>
      </w:r>
      <w:r w:rsidR="009C0B43">
        <w:t xml:space="preserve"> used to determine the most frequent land cover type for each square. </w:t>
      </w:r>
    </w:p>
    <w:p w14:paraId="73767659" w14:textId="2D28E652" w:rsidR="00840ABC" w:rsidRPr="002A28EA" w:rsidRDefault="00840ABC" w:rsidP="0037615E">
      <w:r>
        <w:t xml:space="preserve">Meteorological factors are </w:t>
      </w:r>
      <w:r w:rsidR="009D243B">
        <w:t>well documented</w:t>
      </w:r>
      <w:r>
        <w:t xml:space="preserve"> predictors of wildfire occurrence, as they affect fuel accumulation and </w:t>
      </w:r>
      <w:r w:rsidR="00D92650">
        <w:t xml:space="preserve">ground moisture, creating the conditions that may favor or hinder fire ignitions </w:t>
      </w:r>
      <w:r w:rsidR="00D92650">
        <w:fldChar w:fldCharType="begin"/>
      </w:r>
      <w:r w:rsidR="00C069E4">
        <w:instrText xml:space="preserve"> ADDIN ZOTERO_ITEM CSL_CITATION {"citationID":"p0P3avTh","properties":{"formattedCitation":"(Oliveira et al., 2012; Syphard et al., 2008; Vilar et al., 2010)","plainCitation":"(Oliveira et al., 2012; Syphard et al., 2008; Vilar et al., 2010)","noteIndex":0},"citationItems":[{"id":60,"uris":["http://zotero.org/users/7598357/items/8UF4Q6PE"],"uri":["http://zotero.org/users/7598357/items/8UF4Q6PE"],"itemData":{"id":60,"type":"article-journal","abstract":"Humans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K."}],"issued":{"date-parts":[["2008"]]}}},{"id":103,"uris":["http://zotero.org/users/7598357/items/JJ6NELYC"],"uri":["http://zotero.org/users/7598357/items/JJ6NELYC"],"itemData":{"id":103,"type":"article-journal","abstract":"This paper describes the development and validation of a spatio-temporal model for human-caused wildfire occurrence prediction at a regional scale. The study area is the 8028-km2 region of Madrid, located in central Spain, where more than 90% of wildfires are caused by humans. We construct a logistic generalised additive model to estimate daily fire ignition risk at a 1-km2 grid spatial resolution. Spatially referenced socioeconomic and weather variables appear as covariates in the model. Spatial and temporal effects are also included. The variables in the model were selected using an iterative approach, which we describe. We use the model to predict the expected number of fires in our study area during the 2002–05 period, by aggregating the estimated probabilities over space–time scales of interest. The estimated partial effects of the presence of railways, roads, and wildland–urban interface in forest areas were highly significant, as were the observed daily maximum temperature and precipitation.","container-title":"International Journal of Wildland Fire","issue":"3","journalAbbreviation":"Int. J. Wildland Fire","page":"325-337","title":"A model for predicting human-caused wildfire occurrence in the region of Madrid, Spain","volume":"19","author":[{"family":"Vilar","given":"Lara"},{"family":"Woolford","given":"Douglas. G."},{"family":"Martell","given":"David L."},{"family":"Martín","given":"M. Pilar"}],"issued":{"date-parts":[["2010"]]}}},{"id":31,"uris":["http://zotero.org/users/7598357/items/D5ULTS53"],"uri":["http://zotero.org/users/7598357/items/D5ULTS53"],"itemData":{"id":31,"type":"article-journal","abstract":"Fire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D92650">
        <w:fldChar w:fldCharType="separate"/>
      </w:r>
      <w:r w:rsidR="00C069E4">
        <w:rPr>
          <w:color w:val="000000"/>
        </w:rPr>
        <w:t>(Oliveira et al., 2012; Syphard et al., 2008; Vilar et al., 2010)</w:t>
      </w:r>
      <w:r w:rsidR="00D92650">
        <w:fldChar w:fldCharType="end"/>
      </w:r>
      <w:r w:rsidR="00D92650">
        <w:t xml:space="preserve">. The </w:t>
      </w:r>
      <w:proofErr w:type="spellStart"/>
      <w:r w:rsidR="00D92650">
        <w:t>WorldClim</w:t>
      </w:r>
      <w:proofErr w:type="spellEnd"/>
      <w:r w:rsidR="00D92650">
        <w:t xml:space="preserve"> database offers monthly historical temperature and precipitation data at spatial resolution of 2.5 minutes (corresponding to roughly 21</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D92650">
        <w:t xml:space="preserve">) in raster format </w:t>
      </w:r>
      <w:r w:rsidR="004F774A">
        <w:fldChar w:fldCharType="begin"/>
      </w:r>
      <w:r w:rsidR="00C069E4">
        <w:instrText xml:space="preserve"> ADDIN ZOTERO_ITEM CSL_CITATION {"citationID":"eLofK4gK","properties":{"formattedCitation":"(Harris et al., 2014)","plainCitation":"(Harris et al., 2014)","noteIndex":0},"citationItems":[{"id":132,"uris":["http://zotero.org/users/7598357/items/CUAH3RDT"],"uri":["http://zotero.org/users/7598357/items/CUAH3RDT"],"itemData":{"id":132,"type":"article-journal","container-title":"International Journal of Climatology","issue":"3","page":"623-642","title":"Updated high-resolution grids of monthly climatic observations - the CRU TS3.10 Dataset","volume":"34","author":[{"family":"Harris","given":"I"},{"family":"Jones","given":"P.D."},{"family":"Osborn","given":"T.J."},{"family":"Lister","given":"D.H."}],"issued":{"date-parts":[["2014",3,3]]}}}],"schema":"https://github.com/citation-style-language/schema/raw/master/csl-citation.json"} </w:instrText>
      </w:r>
      <w:r w:rsidR="004F774A">
        <w:fldChar w:fldCharType="separate"/>
      </w:r>
      <w:r w:rsidR="00C069E4">
        <w:rPr>
          <w:color w:val="000000"/>
        </w:rPr>
        <w:t>(Harris et al., 2014)</w:t>
      </w:r>
      <w:r w:rsidR="004F774A">
        <w:fldChar w:fldCharType="end"/>
      </w:r>
      <w:r w:rsidR="00D92650">
        <w:t xml:space="preserve">. </w:t>
      </w:r>
      <w:r w:rsidR="00244822">
        <w:t xml:space="preserve">Due to the large number of raster layers (monthly interval, eight-year study period, three data sets), these predictors </w:t>
      </w:r>
      <w:r w:rsidR="00B41398">
        <w:t>are</w:t>
      </w:r>
      <w:r w:rsidR="00244822">
        <w:t xml:space="preserve"> constructed </w:t>
      </w:r>
      <w:r w:rsidR="00B41398">
        <w:t xml:space="preserve">iteratively, </w:t>
      </w:r>
      <w:r w:rsidR="00244822">
        <w:t xml:space="preserve">using QGIS’ python interface extract the mean values </w:t>
      </w:r>
      <w:r w:rsidR="0071755B">
        <w:t xml:space="preserve">of minimum temperature, maximum </w:t>
      </w:r>
      <w:r w:rsidR="004F774A">
        <w:t>temperature,</w:t>
      </w:r>
      <w:r w:rsidR="0071755B">
        <w:t xml:space="preserve"> and mean precipitation </w:t>
      </w:r>
      <w:r w:rsidR="00244822">
        <w:t xml:space="preserve">for each unit of observation </w:t>
      </w:r>
      <w:r w:rsidR="00B41398">
        <w:t>from all raster layers</w:t>
      </w:r>
      <w:r w:rsidR="00244822">
        <w:t xml:space="preserve">. </w:t>
      </w:r>
      <w:r w:rsidR="00E17107">
        <w:t xml:space="preserve">Ultimately these predictor variables </w:t>
      </w:r>
      <w:r w:rsidR="00AF18AC">
        <w:t>are</w:t>
      </w:r>
      <w:r w:rsidR="00E17107">
        <w:t xml:space="preserve"> aggregated to the seasonal level, along with the target variable. </w:t>
      </w:r>
    </w:p>
    <w:p w14:paraId="7B47649C" w14:textId="227394E1" w:rsidR="003D63AF" w:rsidRDefault="00FA4C59" w:rsidP="0037615E">
      <w:pPr>
        <w:pStyle w:val="berschrift3"/>
        <w:numPr>
          <w:ilvl w:val="2"/>
          <w:numId w:val="4"/>
        </w:numPr>
      </w:pPr>
      <w:r w:rsidRPr="002A28EA">
        <w:lastRenderedPageBreak/>
        <w:t>Infrastructure Predictors</w:t>
      </w:r>
    </w:p>
    <w:p w14:paraId="07B1E03A" w14:textId="321221CA" w:rsidR="003B1FD4" w:rsidRDefault="003B1FD4" w:rsidP="0037615E">
      <w:r>
        <w:t>Access to roads has often been described as a driver of economic activity and a proxy for infrastructure development (SOURCE). In the context of fire occurrence, road access and the distance to roads are frequently used predictor variables, since these factors also determine the speed of the response of a given fire containment strategy</w:t>
      </w:r>
      <w:r w:rsidR="006F56C4">
        <w:t xml:space="preserve"> </w:t>
      </w:r>
      <w:r w:rsidR="00A7750D">
        <w:fldChar w:fldCharType="begin"/>
      </w:r>
      <w:r w:rsidR="00C069E4">
        <w:instrText xml:space="preserve"> ADDIN ZOTERO_ITEM CSL_CITATION {"citationID":"xPIGMwuO","properties":{"formattedCitation":"(Mart\\uc0\\u237{}nez et al., 2009; Oliveira et al., 2012)","plainCitation":"(Martínez et al.,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7750D">
        <w:fldChar w:fldCharType="separate"/>
      </w:r>
      <w:r w:rsidR="00C069E4" w:rsidRPr="00C069E4">
        <w:rPr>
          <w:color w:val="000000"/>
        </w:rPr>
        <w:t>(Martínez et al., 2009; Oliveira et al., 2012)</w:t>
      </w:r>
      <w:r w:rsidR="00A7750D">
        <w:fldChar w:fldCharType="end"/>
      </w:r>
      <w:r w:rsidR="00A7750D">
        <w:t>.</w:t>
      </w:r>
      <w:r w:rsidR="00653C22">
        <w:t xml:space="preserve"> </w:t>
      </w:r>
      <w:r w:rsidR="00535832">
        <w:t>The Californian road system is well documented and provided as a shapefile containing all major roads (</w:t>
      </w:r>
      <w:r w:rsidR="00535832" w:rsidRPr="00535832">
        <w:t>MTFCC codes S1100 and S1200</w:t>
      </w:r>
      <w:r w:rsidR="00535832">
        <w:t xml:space="preserve">) by the U.S. Census Bureau </w:t>
      </w:r>
      <w:r w:rsidR="00535832">
        <w:fldChar w:fldCharType="begin"/>
      </w:r>
      <w:r w:rsidR="00535832">
        <w:instrText xml:space="preserve"> ADDIN ZOTERO_ITEM CSL_CITATION {"citationID":"SBQ70KLR","properties":{"formattedCitation":"(US Census Bureau, 2015)","plainCitation":"(US Census Bureau, 2015)","noteIndex":0},"citationItems":[{"id":74,"uris":["http://zotero.org/users/7598357/items/3DJNN5EU"],"uri":["http://zotero.org/users/7598357/items/3DJNN5EU"],"itemData":{"id":74,"type":"map","title":"California Major Roads","URL":"https://databasin.org/datasets/48d5fbede6e24ed382d0053a9934c52d/","author":[{"family":"US Census Bureau","given":""}],"accessed":{"date-parts":[["2021",11,4]]},"issued":{"date-parts":[["2015",6,30]]}}}],"schema":"https://github.com/citation-style-language/schema/raw/master/csl-citation.json"} </w:instrText>
      </w:r>
      <w:r w:rsidR="00535832">
        <w:fldChar w:fldCharType="separate"/>
      </w:r>
      <w:r w:rsidR="00C069E4">
        <w:rPr>
          <w:noProof/>
        </w:rPr>
        <w:t>(US Census Bureau, 2015)</w:t>
      </w:r>
      <w:r w:rsidR="00535832">
        <w:fldChar w:fldCharType="end"/>
      </w:r>
      <w:r w:rsidR="00535832">
        <w:t xml:space="preserve">. </w:t>
      </w:r>
      <w:proofErr w:type="gramStart"/>
      <w:r w:rsidR="00650FE3">
        <w:t>Similar to</w:t>
      </w:r>
      <w:proofErr w:type="gramEnd"/>
      <w:r w:rsidR="00650FE3">
        <w:t xml:space="preserve"> how the GIS data on rivers and lakes </w:t>
      </w:r>
      <w:r w:rsidR="004F774A">
        <w:t>is</w:t>
      </w:r>
      <w:r w:rsidR="00650FE3">
        <w:t xml:space="preserve"> processed, this data set </w:t>
      </w:r>
      <w:r w:rsidR="004F774A">
        <w:t>is</w:t>
      </w:r>
      <w:r w:rsidR="00650FE3">
        <w:t xml:space="preserve"> used to both create dummy variables indicating the presence of a major road for each </w:t>
      </w:r>
      <w:r w:rsidR="00650FE3"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50FE3">
        <w:t xml:space="preserve"> unit</w:t>
      </w:r>
      <w:r w:rsidR="004F774A">
        <w:t>s</w:t>
      </w:r>
      <w:r w:rsidR="00650FE3">
        <w:t xml:space="preserve"> and calculate the distance from each unit’s centroid to the nearest major road as well. </w:t>
      </w:r>
      <w:r w:rsidR="00CE6DCC">
        <w:t xml:space="preserve">The same process </w:t>
      </w:r>
      <w:r w:rsidR="004F774A">
        <w:t>is</w:t>
      </w:r>
      <w:r w:rsidR="00CE6DCC">
        <w:t xml:space="preserve"> repeated for a data set of powerlines, resulting in predictor variables indicating both their presence (binary) as well as the distance from each unit’s centroid to the nearest powerline. </w:t>
      </w:r>
      <w:r w:rsidR="00B46668">
        <w:t xml:space="preserve">Powerlines are a frequently cited cause of wildfire ignitions and have been used to construct predictor variables in similar studies </w:t>
      </w:r>
      <w:r w:rsidR="00B46668">
        <w:fldChar w:fldCharType="begin"/>
      </w:r>
      <w:r w:rsidR="00C069E4">
        <w:instrText xml:space="preserve"> ADDIN ZOTERO_ITEM CSL_CITATION {"citationID":"JB3qVnfS","properties":{"formattedCitation":"(McFall-Johnsen, 2019; Oliveira et al., 2012; Texas Wildfire Mitigation Project, 2014)","plainCitation":"(McFall-Johnsen, 2019; Oliveira et al., 2012; Texas Wildfire Mitigation Project, 2014)","noteIndex":0},"citationItems":[{"id":31,"uris":["http://zotero.org/users/7598357/items/D5ULTS53"],"uri":["http://zotero.org/users/7598357/items/D5ULTS53"],"itemData":{"id":31,"type":"article-journal","abstract":"Fire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C."}],"issued":{"date-parts":[["2012",7,1]]}}},{"id":104,"uris":["http://zotero.org/users/7598357/items/GT4YMR4K"],"uri":["http://zotero.org/users/7598357/items/GT4YMR4K"],"itemData":{"id":104,"type":"webpage","abstract":"Power lines have caused more than 4,000 wildfires in Texas in the past three and a half years. Power lines can ignite wildfires through a variety of mechanisms. Downed lines- Just like homes and of…","container-title":"Texas Wildfire Mitigation Project","language":"en-US","title":"How Do Power Lines Cause Wildfires?","URL":"https://wildfiremitigation.tees.tamus.edu/faqs/how-power-lines-cause-wildfires","author":[{"family":"Texas Wildfire Mitigation Project","given":""}],"accessed":{"date-parts":[["2021",11,6]]},"issued":{"date-parts":[["2014",2,13]]}}},{"id":106,"uris":["http://zotero.org/users/7598357/items/XQUZ65YI"],"uri":["http://zotero.org/users/7598357/items/XQUZ65YI"],"itemData":{"id":106,"type":"article-newspaper","abstract":"Regular blackouts are PG&amp;E's new strategy to avoid starting fires. A writer called it \"the most detested, and detestable, corporation in California.\"","container-title":"Business Insider","language":"en-US","title":"Over 1,500 California fires in the past 6 years — including the deadliest ever — were caused by one company: PG&amp;E. Here's what it could have done but didn't.","title-short":"Over 1,500 California fires in the past 6 years — including the deadliest ever — were caused by one company","URL":"https://www.businessinsider.com/pge-caused-california-wildfires-safety-measures-2019-10","author":[{"family":"McFall-Johnsen","given":"Morgan"}],"accessed":{"date-parts":[["2021",11,6]]},"issued":{"date-parts":[["2019",11,3]]}}}],"schema":"https://github.com/citation-style-language/schema/raw/master/csl-citation.json"} </w:instrText>
      </w:r>
      <w:r w:rsidR="00B46668">
        <w:fldChar w:fldCharType="separate"/>
      </w:r>
      <w:r w:rsidR="00C069E4">
        <w:rPr>
          <w:color w:val="000000"/>
        </w:rPr>
        <w:t>(McFall-Johnsen, 2019; Oliveira et al., 2012; Texas Wildfire Mitigation Project, 2014)</w:t>
      </w:r>
      <w:r w:rsidR="00B46668">
        <w:fldChar w:fldCharType="end"/>
      </w:r>
      <w:r w:rsidR="00B46668">
        <w:t xml:space="preserve">. </w:t>
      </w:r>
    </w:p>
    <w:p w14:paraId="5E196E6A" w14:textId="780740E0" w:rsidR="009C0B43" w:rsidRPr="002A28EA" w:rsidRDefault="00CE6DCC" w:rsidP="0037615E">
      <w:r>
        <w:t>For</w:t>
      </w:r>
      <w:r w:rsidR="003545AF">
        <w:t xml:space="preserve"> recreational routes, campgrounds</w:t>
      </w:r>
      <w:r>
        <w:t xml:space="preserve">, </w:t>
      </w:r>
      <w:r w:rsidR="003545AF">
        <w:t xml:space="preserve">picnic sites </w:t>
      </w:r>
      <w:r>
        <w:t xml:space="preserve">and state parks only their presence </w:t>
      </w:r>
      <w:r w:rsidR="004F774A">
        <w:t>is</w:t>
      </w:r>
      <w:r w:rsidR="003545AF">
        <w:t xml:space="preserve"> determined, as</w:t>
      </w:r>
      <w:r>
        <w:t xml:space="preserve"> I do not expect </w:t>
      </w:r>
      <w:r w:rsidR="00840ABC">
        <w:t xml:space="preserve">these recreational structures to have any continuous effect if they’re not present – unlike powerlines, where larger distances function well as a proxy for a lack of economic development. </w:t>
      </w:r>
    </w:p>
    <w:p w14:paraId="2D2A5365" w14:textId="28F5AA08" w:rsidR="003D63AF" w:rsidRDefault="00FA4C59" w:rsidP="0037615E">
      <w:pPr>
        <w:pStyle w:val="berschrift3"/>
        <w:numPr>
          <w:ilvl w:val="2"/>
          <w:numId w:val="4"/>
        </w:numPr>
      </w:pPr>
      <w:r w:rsidRPr="002A28EA">
        <w:t>Demographic Predictors</w:t>
      </w:r>
    </w:p>
    <w:p w14:paraId="2FA21A84" w14:textId="196D0069" w:rsidR="00A94AFB" w:rsidRDefault="00DB3CA5" w:rsidP="0037615E">
      <w:r>
        <w:t xml:space="preserve">Population density is an especially important predictor for human-caused wildfires, as it describes the distribution of potential “causative agents” for fire ignitions </w:t>
      </w:r>
      <w:r>
        <w:fldChar w:fldCharType="begin"/>
      </w:r>
      <w:r w:rsidR="00C069E4">
        <w:instrText xml:space="preserve"> ADDIN ZOTERO_ITEM CSL_CITATION {"citationID":"tFRYo84V","properties":{"formattedCitation":"(Oliveira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Pr>
          <w:color w:val="000000"/>
        </w:rPr>
        <w:t>(Oliveira et al., 2012)</w:t>
      </w:r>
      <w:r>
        <w:fldChar w:fldCharType="end"/>
      </w:r>
      <w:r>
        <w:t xml:space="preserve">. I obtained data on population density from SOURCE, which provide annual raster data at the </w:t>
      </w:r>
      <w:r w:rsidR="004F774A">
        <w:t>LEVEL</w:t>
      </w:r>
      <w:r>
        <w:t xml:space="preserve"> </w:t>
      </w:r>
      <w:proofErr w:type="spellStart"/>
      <w:r>
        <w:t>level</w:t>
      </w:r>
      <w:proofErr w:type="spellEnd"/>
      <w:r>
        <w:t xml:space="preserve"> (SOURCE). </w:t>
      </w:r>
      <w:r w:rsidR="004F774A">
        <w:t>T</w:t>
      </w:r>
      <w:r w:rsidR="00A94AFB">
        <w:t xml:space="preserve">he average population density per </w:t>
      </w:r>
      <w:r w:rsidR="00A94AFB"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94AFB">
        <w:t xml:space="preserve"> unit </w:t>
      </w:r>
      <w:r w:rsidR="004F774A">
        <w:t xml:space="preserve">is calculated </w:t>
      </w:r>
      <w:r w:rsidR="00A94AFB">
        <w:t xml:space="preserve">in QGIS. Additionally, the annual population growth at the county level </w:t>
      </w:r>
      <w:r w:rsidR="00787BB0">
        <w:t xml:space="preserve">is added </w:t>
      </w:r>
      <w:r w:rsidR="00A94AFB">
        <w:t xml:space="preserve">to the data set. This data is supplied </w:t>
      </w:r>
      <w:r w:rsidR="00A94AFB">
        <w:lastRenderedPageBreak/>
        <w:t xml:space="preserve">by SOURCE and acts as another proxy for economic development. </w:t>
      </w:r>
      <w:r w:rsidR="00AF24E2">
        <w:t xml:space="preserve">Martínez and co-authors’ study on human-caused forest fires in Spain included a variety of housing data as their predictors </w:t>
      </w:r>
      <w:r w:rsidR="00AF24E2">
        <w:fldChar w:fldCharType="begin"/>
      </w:r>
      <w:r w:rsidR="00C069E4">
        <w:instrText xml:space="preserve"> ADDIN ZOTERO_ITEM CSL_CITATION {"citationID":"gVsIX8aj","properties":{"formattedCitation":"(Mart\\uc0\\u237{}nez et al., 2009)","plainCitation":"(Martínez et al., 2009)","noteIndex":0},"citationItems":[{"id":37,"uris":["http://zotero.org/users/7598357/items/X2F2BB8D"],"uri":["http://zotero.org/users/7598357/items/X2F2BB8D"],"itemData":{"id":37,"type":"article-journal","abstract":"This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schema":"https://github.com/citation-style-language/schema/raw/master/csl-citation.json"} </w:instrText>
      </w:r>
      <w:r w:rsidR="00AF24E2">
        <w:fldChar w:fldCharType="separate"/>
      </w:r>
      <w:r w:rsidR="00C069E4" w:rsidRPr="00C069E4">
        <w:rPr>
          <w:color w:val="000000"/>
        </w:rPr>
        <w:t>(Martínez et al., 2009)</w:t>
      </w:r>
      <w:r w:rsidR="00AF24E2">
        <w:fldChar w:fldCharType="end"/>
      </w:r>
      <w:r w:rsidR="00AF24E2">
        <w:t xml:space="preserve">. In a similar fashion, I include annual data on the average vacancy rate at the county-level, as well as the average number of people per household at the county level as predictors. </w:t>
      </w:r>
    </w:p>
    <w:p w14:paraId="55AB5529" w14:textId="2B1DC73D" w:rsidR="0055270B" w:rsidRDefault="00AF24E2" w:rsidP="0037615E">
      <w:proofErr w:type="gramStart"/>
      <w:r>
        <w:t>In order to</w:t>
      </w:r>
      <w:proofErr w:type="gramEnd"/>
      <w:r>
        <w:t xml:space="preserve"> measure the political leanings of the inhabitants of the study area I include voting district level data on the share of registered Democrats and Republicans. Similarly, </w:t>
      </w:r>
      <w:r w:rsidR="0055270B">
        <w:t xml:space="preserve">California’s direct democratic instruments allow for operationalization of political leanings beyond the mere party spectrum by taking vote shares on referendums into account. Californians are able to propose laws and constitutional amendments by way of so-called “ballot initiatives”, even without the support of the Governor or the Legislature </w:t>
      </w:r>
      <w:r w:rsidR="0055270B">
        <w:fldChar w:fldCharType="begin"/>
      </w:r>
      <w:r w:rsidR="0055270B">
        <w:instrText xml:space="preserve"> ADDIN ZOTERO_ITEM CSL_CITATION {"citationID":"xLklCUXu","properties":{"formattedCitation":"({\\i{}Ballot Initiatives}, 2011)","plainCitation":"(Ballot Initiatives, 2011)","noteIndex":0},"citationItems":[{"id":108,"uris":["http://zotero.org/users/7598357/items/3UN76L9J"],"uri":["http://zotero.org/users/7598357/items/3UN76L9J"],"itemData":{"id":108,"type":"webpage","abstract":"The ballot initiative process gives California citizens a way to propose laws and constitutional amendments without the support of the Governor or the Legislature. A simplified explanation of the initiative process follows.","container-title":"State of California - Department of Justice - Office of the Attorney General","language":"en","title":"Ballot Initiatives","URL":"https://oag.ca.gov/initiatives","accessed":{"date-parts":[["2021",11,6]]},"issued":{"date-parts":[["2011",2,1]]}}}],"schema":"https://github.com/citation-style-language/schema/raw/master/csl-citation.json"} </w:instrText>
      </w:r>
      <w:r w:rsidR="0055270B">
        <w:fldChar w:fldCharType="separate"/>
      </w:r>
      <w:r w:rsidR="00C069E4" w:rsidRPr="00C069E4">
        <w:rPr>
          <w:color w:val="000000"/>
        </w:rPr>
        <w:t>(</w:t>
      </w:r>
      <w:r w:rsidR="00C069E4" w:rsidRPr="00C069E4">
        <w:rPr>
          <w:i/>
          <w:iCs/>
          <w:color w:val="000000"/>
        </w:rPr>
        <w:t>Ballot Initiatives</w:t>
      </w:r>
      <w:r w:rsidR="00C069E4" w:rsidRPr="00C069E4">
        <w:rPr>
          <w:color w:val="000000"/>
        </w:rPr>
        <w:t>, 2011)</w:t>
      </w:r>
      <w:r w:rsidR="0055270B">
        <w:fldChar w:fldCharType="end"/>
      </w:r>
      <w:r w:rsidR="0055270B">
        <w:t>. Out of all the ballot initiatives that were voted on during the study period I selected a subset of four initiatives that pertained to environmental issues</w:t>
      </w:r>
      <w:r w:rsidR="00E709FB">
        <w:t>, gauging the environmental sensibilities at the county level:</w:t>
      </w:r>
    </w:p>
    <w:tbl>
      <w:tblPr>
        <w:tblStyle w:val="Gitternetztabelle1hellAkzent1"/>
        <w:tblW w:w="9209" w:type="dxa"/>
        <w:tblLook w:val="04A0" w:firstRow="1" w:lastRow="0" w:firstColumn="1" w:lastColumn="0" w:noHBand="0" w:noVBand="1"/>
      </w:tblPr>
      <w:tblGrid>
        <w:gridCol w:w="2972"/>
        <w:gridCol w:w="1134"/>
        <w:gridCol w:w="5103"/>
      </w:tblGrid>
      <w:tr w:rsidR="00E709FB" w14:paraId="5FA96F9C" w14:textId="77777777" w:rsidTr="00D91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6041D99" w14:textId="4BD27315" w:rsidR="00E709FB" w:rsidRDefault="00E709FB" w:rsidP="0037615E">
            <w:r>
              <w:t>Proposition number</w:t>
            </w:r>
          </w:p>
        </w:tc>
        <w:tc>
          <w:tcPr>
            <w:tcW w:w="1134" w:type="dxa"/>
          </w:tcPr>
          <w:p w14:paraId="19365F81" w14:textId="492D3A23" w:rsidR="00E709FB" w:rsidRDefault="00E709FB" w:rsidP="0037615E">
            <w:pPr>
              <w:cnfStyle w:val="100000000000" w:firstRow="1" w:lastRow="0" w:firstColumn="0" w:lastColumn="0" w:oddVBand="0" w:evenVBand="0" w:oddHBand="0" w:evenHBand="0" w:firstRowFirstColumn="0" w:firstRowLastColumn="0" w:lastRowFirstColumn="0" w:lastRowLastColumn="0"/>
            </w:pPr>
            <w:r>
              <w:t>Year</w:t>
            </w:r>
          </w:p>
        </w:tc>
        <w:tc>
          <w:tcPr>
            <w:tcW w:w="5103" w:type="dxa"/>
          </w:tcPr>
          <w:p w14:paraId="094964B7" w14:textId="12F38FCD" w:rsidR="00E709FB" w:rsidRDefault="00E709FB" w:rsidP="0037615E">
            <w:pPr>
              <w:cnfStyle w:val="100000000000" w:firstRow="1" w:lastRow="0" w:firstColumn="0" w:lastColumn="0" w:oddVBand="0" w:evenVBand="0" w:oddHBand="0" w:evenHBand="0" w:firstRowFirstColumn="0" w:firstRowLastColumn="0" w:lastRowFirstColumn="0" w:lastRowLastColumn="0"/>
            </w:pPr>
            <w:r>
              <w:t>Description</w:t>
            </w:r>
          </w:p>
        </w:tc>
      </w:tr>
      <w:tr w:rsidR="00E709FB" w14:paraId="66B8BBA0" w14:textId="77777777" w:rsidTr="00D91F46">
        <w:tc>
          <w:tcPr>
            <w:cnfStyle w:val="001000000000" w:firstRow="0" w:lastRow="0" w:firstColumn="1" w:lastColumn="0" w:oddVBand="0" w:evenVBand="0" w:oddHBand="0" w:evenHBand="0" w:firstRowFirstColumn="0" w:firstRowLastColumn="0" w:lastRowFirstColumn="0" w:lastRowLastColumn="0"/>
            <w:tcW w:w="2972" w:type="dxa"/>
          </w:tcPr>
          <w:p w14:paraId="6AA0A40B" w14:textId="6395D7C6" w:rsidR="00E709FB" w:rsidRDefault="00E709FB" w:rsidP="0037615E">
            <w:r>
              <w:t>21</w:t>
            </w:r>
          </w:p>
        </w:tc>
        <w:tc>
          <w:tcPr>
            <w:tcW w:w="1134" w:type="dxa"/>
          </w:tcPr>
          <w:p w14:paraId="7684F485" w14:textId="1A9834FB" w:rsidR="00E709FB" w:rsidRDefault="00E709FB" w:rsidP="0037615E">
            <w:pPr>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5D537B94" w14:textId="6604DA60" w:rsidR="00E709FB" w:rsidRDefault="00E709FB" w:rsidP="0037615E">
            <w:pPr>
              <w:cnfStyle w:val="000000000000" w:firstRow="0" w:lastRow="0" w:firstColumn="0" w:lastColumn="0" w:oddVBand="0" w:evenVBand="0" w:oddHBand="0" w:evenHBand="0" w:firstRowFirstColumn="0" w:firstRowLastColumn="0" w:lastRowFirstColumn="0" w:lastRowLastColumn="0"/>
            </w:pPr>
            <w:r w:rsidRPr="00506C13">
              <w:t>Vehicle License Fee Increase</w:t>
            </w:r>
            <w:r>
              <w:t xml:space="preserve">, dedicated </w:t>
            </w:r>
            <w:r w:rsidRPr="00506C13">
              <w:t>to state parks and wildlife programs</w:t>
            </w:r>
          </w:p>
        </w:tc>
      </w:tr>
      <w:tr w:rsidR="00E709FB" w14:paraId="079CDEA6" w14:textId="77777777" w:rsidTr="00D91F46">
        <w:tc>
          <w:tcPr>
            <w:cnfStyle w:val="001000000000" w:firstRow="0" w:lastRow="0" w:firstColumn="1" w:lastColumn="0" w:oddVBand="0" w:evenVBand="0" w:oddHBand="0" w:evenHBand="0" w:firstRowFirstColumn="0" w:firstRowLastColumn="0" w:lastRowFirstColumn="0" w:lastRowLastColumn="0"/>
            <w:tcW w:w="2972" w:type="dxa"/>
          </w:tcPr>
          <w:p w14:paraId="4898CFB3" w14:textId="0683BD65" w:rsidR="00E709FB" w:rsidRDefault="00E709FB" w:rsidP="0037615E">
            <w:r>
              <w:t>23</w:t>
            </w:r>
          </w:p>
        </w:tc>
        <w:tc>
          <w:tcPr>
            <w:tcW w:w="1134" w:type="dxa"/>
          </w:tcPr>
          <w:p w14:paraId="6799CFB4" w14:textId="0117FACF" w:rsidR="00E709FB" w:rsidRDefault="00E709FB" w:rsidP="0037615E">
            <w:pPr>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00318A8C" w14:textId="5954EF06" w:rsidR="00E709FB" w:rsidRDefault="00E709FB" w:rsidP="0037615E">
            <w:pPr>
              <w:cnfStyle w:val="000000000000" w:firstRow="0" w:lastRow="0" w:firstColumn="0" w:lastColumn="0" w:oddVBand="0" w:evenVBand="0" w:oddHBand="0" w:evenHBand="0" w:firstRowFirstColumn="0" w:firstRowLastColumn="0" w:lastRowFirstColumn="0" w:lastRowLastColumn="0"/>
            </w:pPr>
            <w:r w:rsidRPr="00506C13">
              <w:t xml:space="preserve">Suspension of </w:t>
            </w:r>
            <w:r>
              <w:t>GHG-</w:t>
            </w:r>
            <w:r w:rsidRPr="00506C13">
              <w:t xml:space="preserve"> </w:t>
            </w:r>
            <w:r>
              <w:t>e</w:t>
            </w:r>
            <w:r w:rsidRPr="00506C13">
              <w:t xml:space="preserve">missions </w:t>
            </w:r>
            <w:r>
              <w:t>r</w:t>
            </w:r>
            <w:r w:rsidRPr="00506C13">
              <w:t xml:space="preserve">eduction </w:t>
            </w:r>
            <w:r>
              <w:t>l</w:t>
            </w:r>
            <w:r w:rsidRPr="00506C13">
              <w:t xml:space="preserve">aw, until California's unemployment rate decreases to 5.5% </w:t>
            </w:r>
          </w:p>
        </w:tc>
      </w:tr>
      <w:tr w:rsidR="00E709FB" w14:paraId="35F9DF34" w14:textId="77777777" w:rsidTr="00D91F46">
        <w:tc>
          <w:tcPr>
            <w:cnfStyle w:val="001000000000" w:firstRow="0" w:lastRow="0" w:firstColumn="1" w:lastColumn="0" w:oddVBand="0" w:evenVBand="0" w:oddHBand="0" w:evenHBand="0" w:firstRowFirstColumn="0" w:firstRowLastColumn="0" w:lastRowFirstColumn="0" w:lastRowLastColumn="0"/>
            <w:tcW w:w="2972" w:type="dxa"/>
          </w:tcPr>
          <w:p w14:paraId="1F2F0AD7" w14:textId="070585D7" w:rsidR="00E709FB" w:rsidRDefault="00E709FB" w:rsidP="0037615E">
            <w:r>
              <w:t>65</w:t>
            </w:r>
          </w:p>
        </w:tc>
        <w:tc>
          <w:tcPr>
            <w:tcW w:w="1134" w:type="dxa"/>
          </w:tcPr>
          <w:p w14:paraId="2ECEE8D7" w14:textId="211D7276" w:rsidR="00E709FB" w:rsidRDefault="00E709FB" w:rsidP="0037615E">
            <w:pPr>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7A76ADE3" w14:textId="17026285" w:rsidR="00E709FB" w:rsidRDefault="00E709FB" w:rsidP="0037615E">
            <w:pPr>
              <w:cnfStyle w:val="000000000000" w:firstRow="0" w:lastRow="0" w:firstColumn="0" w:lastColumn="0" w:oddVBand="0" w:evenVBand="0" w:oddHBand="0" w:evenHBand="0" w:firstRowFirstColumn="0" w:firstRowLastColumn="0" w:lastRowFirstColumn="0" w:lastRowLastColumn="0"/>
            </w:pPr>
            <w:r w:rsidRPr="00506C13">
              <w:t>Dedication of Revenue from Disposable Bag Sales to Wildlife Conservation Fund</w:t>
            </w:r>
          </w:p>
        </w:tc>
      </w:tr>
      <w:tr w:rsidR="00E709FB" w14:paraId="0BECC90C" w14:textId="77777777" w:rsidTr="00D91F46">
        <w:tc>
          <w:tcPr>
            <w:cnfStyle w:val="001000000000" w:firstRow="0" w:lastRow="0" w:firstColumn="1" w:lastColumn="0" w:oddVBand="0" w:evenVBand="0" w:oddHBand="0" w:evenHBand="0" w:firstRowFirstColumn="0" w:firstRowLastColumn="0" w:lastRowFirstColumn="0" w:lastRowLastColumn="0"/>
            <w:tcW w:w="2972" w:type="dxa"/>
          </w:tcPr>
          <w:p w14:paraId="516821A5" w14:textId="1E421766" w:rsidR="00E709FB" w:rsidRDefault="00E709FB" w:rsidP="0037615E">
            <w:r>
              <w:t>67</w:t>
            </w:r>
          </w:p>
        </w:tc>
        <w:tc>
          <w:tcPr>
            <w:tcW w:w="1134" w:type="dxa"/>
          </w:tcPr>
          <w:p w14:paraId="3E7723F2" w14:textId="5205C8E7" w:rsidR="00E709FB" w:rsidRDefault="00E709FB" w:rsidP="0037615E">
            <w:pPr>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3DE4C1D4" w14:textId="51FA7DB5" w:rsidR="00E709FB" w:rsidRDefault="00E709FB" w:rsidP="0037615E">
            <w:pPr>
              <w:cnfStyle w:val="000000000000" w:firstRow="0" w:lastRow="0" w:firstColumn="0" w:lastColumn="0" w:oddVBand="0" w:evenVBand="0" w:oddHBand="0" w:evenHBand="0" w:firstRowFirstColumn="0" w:firstRowLastColumn="0" w:lastRowFirstColumn="0" w:lastRowLastColumn="0"/>
            </w:pPr>
            <w:r>
              <w:t xml:space="preserve">Ban on sale of plastic bags. </w:t>
            </w:r>
          </w:p>
        </w:tc>
      </w:tr>
    </w:tbl>
    <w:p w14:paraId="5B31A440" w14:textId="46EB9567" w:rsidR="00AD342A" w:rsidRDefault="00AD342A" w:rsidP="00CA48B8">
      <w:pPr>
        <w:pStyle w:val="Beschriftung"/>
        <w:jc w:val="center"/>
      </w:pPr>
      <w:r>
        <w:t xml:space="preserve">Table </w:t>
      </w:r>
      <w:fldSimple w:instr=" SEQ Table \* ARABIC ">
        <w:r w:rsidR="00BC50C5">
          <w:rPr>
            <w:noProof/>
          </w:rPr>
          <w:t>1</w:t>
        </w:r>
      </w:fldSimple>
      <w:r>
        <w:t>: Californian Ballot Initiatives relat</w:t>
      </w:r>
      <w:r w:rsidR="000E439E">
        <w:t>ing</w:t>
      </w:r>
      <w:r>
        <w:t xml:space="preserve"> to environmental issues during the study period</w:t>
      </w:r>
    </w:p>
    <w:p w14:paraId="49BCB71B" w14:textId="6B8F93BF" w:rsidR="00506C13" w:rsidRDefault="0092598D" w:rsidP="0037615E">
      <w:r>
        <w:t xml:space="preserve">For each of these ballot initiatives the number of Yes-votes at county level </w:t>
      </w:r>
      <w:r w:rsidR="00197623">
        <w:t>are</w:t>
      </w:r>
      <w:r>
        <w:t xml:space="preserve"> added to the data set. </w:t>
      </w:r>
    </w:p>
    <w:p w14:paraId="5E823452" w14:textId="37EAC575" w:rsidR="003D63AF" w:rsidRPr="002A28EA" w:rsidRDefault="00FA4C59" w:rsidP="0037615E">
      <w:pPr>
        <w:pStyle w:val="berschrift3"/>
        <w:numPr>
          <w:ilvl w:val="2"/>
          <w:numId w:val="4"/>
        </w:numPr>
      </w:pPr>
      <w:r w:rsidRPr="002A28EA">
        <w:lastRenderedPageBreak/>
        <w:t>Socio-economic Predictors</w:t>
      </w:r>
    </w:p>
    <w:p w14:paraId="0BCC470C" w14:textId="711B4ABF" w:rsidR="00F631B0" w:rsidRDefault="000F57E8" w:rsidP="0037615E">
      <w:r>
        <w:t xml:space="preserve">Previous studies have found the rate of unemployment to be important predictors for wildfire occurrences </w:t>
      </w:r>
      <w:r>
        <w:fldChar w:fldCharType="begin"/>
      </w:r>
      <w:r w:rsidR="00C069E4">
        <w:instrText xml:space="preserve"> ADDIN ZOTERO_ITEM CSL_CITATION {"citationID":"95giD8C3","properties":{"formattedCitation":"(Mart\\uc0\\u237{}nez et al., 2009; Oliveira et al., 2012)","plainCitation":"(Martínez et al.,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sidRPr="00C069E4">
        <w:rPr>
          <w:color w:val="000000"/>
        </w:rPr>
        <w:t>(Martínez et al., 2009; Oliveira et al., 2012)</w:t>
      </w:r>
      <w:r>
        <w:fldChar w:fldCharType="end"/>
      </w:r>
      <w:r>
        <w:t>. Oliveira and co-authors mention two specific channels how the rate of unemployment may factor into wildfire risk: Both as a proxy for social conflict, which can cause increases in arson as part of generic vandalism, or arson as a deliberate strategy to increase the local demand for firefighters</w:t>
      </w:r>
      <w:r w:rsidR="000E439E">
        <w:t>,</w:t>
      </w:r>
      <w:r>
        <w:t xml:space="preserve"> thus further</w:t>
      </w:r>
      <w:r w:rsidR="000E439E">
        <w:t>ing</w:t>
      </w:r>
      <w:r>
        <w:t xml:space="preserve"> a </w:t>
      </w:r>
      <w:r w:rsidR="000E439E">
        <w:t xml:space="preserve">unemployed </w:t>
      </w:r>
      <w:r>
        <w:t xml:space="preserve">person’s chance of </w:t>
      </w:r>
      <w:r w:rsidR="000E439E">
        <w:t xml:space="preserve">finding </w:t>
      </w:r>
      <w:r>
        <w:t xml:space="preserve">employment </w:t>
      </w:r>
      <w:r>
        <w:fldChar w:fldCharType="begin"/>
      </w:r>
      <w:r w:rsidR="00C069E4">
        <w:instrText xml:space="preserve"> ADDIN ZOTERO_ITEM CSL_CITATION {"citationID":"kYzujr9J","properties":{"formattedCitation":"(Oliveira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Pr>
          <w:color w:val="000000"/>
        </w:rPr>
        <w:t>(Oliveira et al., 2012)</w:t>
      </w:r>
      <w:r>
        <w:fldChar w:fldCharType="end"/>
      </w:r>
      <w:r>
        <w:t xml:space="preserve">. </w:t>
      </w:r>
      <w:r w:rsidR="00974F03">
        <w:t xml:space="preserve">Besides the rate of unemployment, I also add the absolute number of unemployed adults and the monthly growth in unemployment </w:t>
      </w:r>
      <w:r w:rsidR="007C4F55">
        <w:t xml:space="preserve">rate </w:t>
      </w:r>
      <w:r w:rsidR="00974F03">
        <w:t xml:space="preserve">as well. </w:t>
      </w:r>
      <w:r w:rsidR="004E33C3">
        <w:t xml:space="preserve">The data on </w:t>
      </w:r>
      <w:r w:rsidR="00371B6C">
        <w:t xml:space="preserve">monthly </w:t>
      </w:r>
      <w:r w:rsidR="004E33C3">
        <w:t xml:space="preserve">unemployment rates </w:t>
      </w:r>
      <w:r w:rsidR="00371B6C">
        <w:t>at county level are provided by the California department of employment and development</w:t>
      </w:r>
      <w:r w:rsidR="00C627A4">
        <w:t xml:space="preserve"> (EDD), which </w:t>
      </w:r>
      <w:r w:rsidR="007C4F55">
        <w:t>are</w:t>
      </w:r>
      <w:r w:rsidR="00C627A4">
        <w:t xml:space="preserve"> aggregated to the seasonal level along with the target variable</w:t>
      </w:r>
      <w:r w:rsidR="00371B6C">
        <w:t xml:space="preserve"> </w:t>
      </w:r>
      <w:r w:rsidR="00C627A4">
        <w:fldChar w:fldCharType="begin"/>
      </w:r>
      <w:r w:rsidR="00C627A4">
        <w:instrText xml:space="preserve"> ADDIN ZOTERO_ITEM CSL_CITATION {"citationID":"N9cP9sTS","properties":{"formattedCitation":"(EDD, 2021b)","plainCitation":"(EDD, 2021b)","noteIndex":0},"citationItems":[{"id":110,"uris":["http://zotero.org/users/7598357/items/S6YRDYLB"],"uri":["http://zotero.org/users/7598357/items/S6YRDYLB"],"itemData":{"id":110,"type":"article","title":"Unemployment Rates (Labor Force) Database","URL":"https://www.labormarketinfo.edd.ca.gov/cgi/dataAnalysis/AreaSelection.asp?tableName=Labforce&amp;orderBy=area","author":[{"family":"EDD","given":""}],"accessed":{"date-parts":[["2021",9,30]]},"issued":{"date-parts":[["2021",9,30]]}}}],"schema":"https://github.com/citation-style-language/schema/raw/master/csl-citation.json"} </w:instrText>
      </w:r>
      <w:r w:rsidR="00C627A4">
        <w:fldChar w:fldCharType="separate"/>
      </w:r>
      <w:r w:rsidR="00C069E4">
        <w:rPr>
          <w:noProof/>
        </w:rPr>
        <w:t>(EDD, 2021b)</w:t>
      </w:r>
      <w:r w:rsidR="00C627A4">
        <w:fldChar w:fldCharType="end"/>
      </w:r>
      <w:r w:rsidR="00C627A4">
        <w:t xml:space="preserve">. </w:t>
      </w:r>
    </w:p>
    <w:p w14:paraId="56164A34" w14:textId="3CD64CC0" w:rsidR="00280A78" w:rsidRDefault="00C627A4" w:rsidP="0037615E">
      <w:r>
        <w:t xml:space="preserve">The EDD also provides monthly labor data denoting the share of employed workers by industry at county level </w:t>
      </w:r>
      <w:r>
        <w:fldChar w:fldCharType="begin"/>
      </w:r>
      <w:r>
        <w:instrText xml:space="preserve"> ADDIN ZOTERO_ITEM CSL_CITATION {"citationID":"4Ia0GzcA","properties":{"formattedCitation":"(EDD, 2021a)","plainCitation":"(EDD, 2021a)","noteIndex":0},"citationItems":[{"id":111,"uris":["http://zotero.org/users/7598357/items/K6T88XW9"],"uri":["http://zotero.org/users/7598357/items/K6T88XW9"],"itemData":{"id":111,"type":"article","title":"Industry Employment - Official Monthly Estimates (CES)","URL":"https://www.labormarketinfo.edd.ca.gov/cgi/dataanalysis/areaselection.asp?tablename=ces","author":[{"family":"EDD","given":""}],"accessed":{"date-parts":[["2021",9,30]]},"issued":{"date-parts":[["2021",9,30]]}}}],"schema":"https://github.com/citation-style-language/schema/raw/master/csl-citation.json"} </w:instrText>
      </w:r>
      <w:r>
        <w:fldChar w:fldCharType="separate"/>
      </w:r>
      <w:r w:rsidR="00C069E4">
        <w:rPr>
          <w:noProof/>
        </w:rPr>
        <w:t>(EDD, 2021a)</w:t>
      </w:r>
      <w:r>
        <w:fldChar w:fldCharType="end"/>
      </w:r>
      <w:r>
        <w:t xml:space="preserve">. These data </w:t>
      </w:r>
      <w:r w:rsidR="00F96626">
        <w:t>are</w:t>
      </w:r>
      <w:r>
        <w:t xml:space="preserve"> also added to the data set and aggregated to the seasonal level</w:t>
      </w:r>
      <w:r w:rsidR="009D77AE">
        <w:t xml:space="preserve">. Implicit zeros, which are appear in the data base as missing values, </w:t>
      </w:r>
      <w:proofErr w:type="gramStart"/>
      <w:r w:rsidR="00F96626">
        <w:t>have</w:t>
      </w:r>
      <w:r w:rsidR="009D77AE">
        <w:t xml:space="preserve"> to</w:t>
      </w:r>
      <w:proofErr w:type="gramEnd"/>
      <w:r w:rsidR="009D77AE">
        <w:t xml:space="preserve"> be introduced </w:t>
      </w:r>
      <w:r w:rsidR="00F96626">
        <w:t xml:space="preserve">explicitly </w:t>
      </w:r>
      <w:r w:rsidR="009D77AE">
        <w:t xml:space="preserve">during the data cleaning process. </w:t>
      </w:r>
    </w:p>
    <w:p w14:paraId="7A8EBEC6" w14:textId="04123CAA" w:rsidR="0001285C" w:rsidRPr="0001285C" w:rsidRDefault="004422A2" w:rsidP="0037615E">
      <w:pPr>
        <w:pStyle w:val="berschrift1"/>
        <w:numPr>
          <w:ilvl w:val="0"/>
          <w:numId w:val="4"/>
        </w:numPr>
      </w:pPr>
      <w:r>
        <w:t>Methods</w:t>
      </w:r>
    </w:p>
    <w:p w14:paraId="30C2DE91" w14:textId="5B337931" w:rsidR="00C24C51" w:rsidRPr="00C24C51" w:rsidRDefault="002A711F" w:rsidP="0037615E">
      <w:r>
        <w:t>The</w:t>
      </w:r>
      <w:r w:rsidR="007E47DB">
        <w:t xml:space="preserve"> data</w:t>
      </w:r>
      <w:r>
        <w:t xml:space="preserve"> is split</w:t>
      </w:r>
      <w:r w:rsidR="007E47DB">
        <w:t xml:space="preserve"> into subsets of training and testing data. All data from the years 2010-2016 are used for training the models. The data from the years 2017 and 2018 </w:t>
      </w:r>
      <w:r>
        <w:t>are</w:t>
      </w:r>
      <w:r w:rsidR="007E47DB">
        <w:t xml:space="preserve"> used for evaluating the </w:t>
      </w:r>
      <w:r>
        <w:t xml:space="preserve">model fits based </w:t>
      </w:r>
      <w:r w:rsidR="007E47DB">
        <w:t xml:space="preserve">on the </w:t>
      </w:r>
      <w:r>
        <w:t>testing</w:t>
      </w:r>
      <w:r w:rsidR="007E47DB">
        <w:t xml:space="preserve"> data. </w:t>
      </w:r>
      <w:r>
        <w:t>T</w:t>
      </w:r>
      <w:r w:rsidR="007E47DB">
        <w:t xml:space="preserve">his approach </w:t>
      </w:r>
      <w:r>
        <w:t xml:space="preserve">is chosen </w:t>
      </w:r>
      <w:r w:rsidR="007E47DB">
        <w:t xml:space="preserve">over the usual random split done in most Machine Learning use cases since it mirrors the process of forecasting wildfire risk on past data for future seasons. </w:t>
      </w:r>
    </w:p>
    <w:p w14:paraId="7A3FF844" w14:textId="77777777" w:rsidR="00382666" w:rsidRDefault="007E47DB" w:rsidP="0037615E">
      <w:r>
        <w:t xml:space="preserve">The training set is used to estimate increasingly complex and sophisticated models, using three algorithms </w:t>
      </w:r>
      <w:r w:rsidR="00C30B3D">
        <w:t>that are appropriate for binary classification case</w:t>
      </w:r>
      <w:r>
        <w:t>s</w:t>
      </w:r>
      <w:r w:rsidR="00C30B3D">
        <w:t xml:space="preserve"> to model wildfire occurrence: logistic regression (GLM), </w:t>
      </w:r>
      <w:r w:rsidR="00C30B3D" w:rsidRPr="009446D8">
        <w:rPr>
          <w:i/>
          <w:iCs/>
        </w:rPr>
        <w:t>Random Forest</w:t>
      </w:r>
      <w:r w:rsidR="00C30B3D">
        <w:t xml:space="preserve"> (RF) and </w:t>
      </w:r>
      <w:proofErr w:type="spellStart"/>
      <w:r w:rsidR="00C30B3D" w:rsidRPr="009446D8">
        <w:rPr>
          <w:i/>
          <w:iCs/>
        </w:rPr>
        <w:lastRenderedPageBreak/>
        <w:t>xgboost</w:t>
      </w:r>
      <w:proofErr w:type="spellEnd"/>
      <w:r w:rsidR="00C30B3D">
        <w:t xml:space="preserve"> (XGB). </w:t>
      </w:r>
      <w:r w:rsidR="00382666">
        <w:t xml:space="preserve">For each of these three algorithms models are estimated in three distinct steps: </w:t>
      </w:r>
    </w:p>
    <w:p w14:paraId="2B5584E2" w14:textId="2A6201D4" w:rsidR="00C30B3D" w:rsidRDefault="00FD631B" w:rsidP="0037615E">
      <w:pPr>
        <w:pStyle w:val="Listenabsatz"/>
        <w:numPr>
          <w:ilvl w:val="0"/>
          <w:numId w:val="3"/>
        </w:numPr>
      </w:pPr>
      <w:r>
        <w:t>A</w:t>
      </w:r>
      <w:r w:rsidR="00382666">
        <w:t xml:space="preserve"> naïve model estimation strategy without resampling or hyperparameter tuning, using the heavily imbalanced training data set (no </w:t>
      </w:r>
      <w:r w:rsidR="00FE133B">
        <w:t>sub</w:t>
      </w:r>
      <w:r w:rsidR="00382666">
        <w:t>sampling)</w:t>
      </w:r>
      <w:r>
        <w:t>.</w:t>
      </w:r>
    </w:p>
    <w:p w14:paraId="4DF5C3D7" w14:textId="0E38C93F" w:rsidR="00382666" w:rsidRDefault="00FD631B" w:rsidP="0037615E">
      <w:pPr>
        <w:pStyle w:val="Listenabsatz"/>
        <w:numPr>
          <w:ilvl w:val="0"/>
          <w:numId w:val="3"/>
        </w:numPr>
      </w:pPr>
      <w:r>
        <w:t>A</w:t>
      </w:r>
      <w:r w:rsidR="00382666">
        <w:t xml:space="preserve"> more </w:t>
      </w:r>
      <w:r>
        <w:t>informed</w:t>
      </w:r>
      <w:r w:rsidR="00B334DB">
        <w:t xml:space="preserve"> model estimation strategy where the training data is resampled using 5-fold cross validation and the imbalance in the training set is addressed</w:t>
      </w:r>
      <w:r w:rsidR="00D91E55" w:rsidRPr="00D91E55">
        <w:t xml:space="preserve"> </w:t>
      </w:r>
      <w:r w:rsidR="00D91E55">
        <w:t>with</w:t>
      </w:r>
      <w:r w:rsidR="00B334DB">
        <w:t xml:space="preserve"> both </w:t>
      </w:r>
      <w:proofErr w:type="spellStart"/>
      <w:r w:rsidR="00B334DB">
        <w:t>upsampling</w:t>
      </w:r>
      <w:proofErr w:type="spellEnd"/>
      <w:r w:rsidR="00B334DB">
        <w:t xml:space="preserve"> and </w:t>
      </w:r>
      <w:proofErr w:type="spellStart"/>
      <w:r w:rsidR="00B334DB">
        <w:t>downsampling</w:t>
      </w:r>
      <w:proofErr w:type="spellEnd"/>
      <w:r w:rsidR="00B334DB">
        <w:t xml:space="preserve"> methods</w:t>
      </w:r>
      <w:r>
        <w:t>.</w:t>
      </w:r>
    </w:p>
    <w:p w14:paraId="35E4CCB2" w14:textId="7FCD61AB" w:rsidR="00B334DB" w:rsidRDefault="00FD631B" w:rsidP="0037615E">
      <w:pPr>
        <w:pStyle w:val="Listenabsatz"/>
        <w:numPr>
          <w:ilvl w:val="0"/>
          <w:numId w:val="3"/>
        </w:numPr>
      </w:pPr>
      <w:r>
        <w:t>A</w:t>
      </w:r>
      <w:r w:rsidR="00B334DB">
        <w:t xml:space="preserve"> modeling strategy focused on maximizing predictive performance by selecting hyperparameters from a </w:t>
      </w:r>
      <w:r w:rsidR="009E32D5">
        <w:t xml:space="preserve">tuning </w:t>
      </w:r>
      <w:r w:rsidR="00B334DB">
        <w:t>grid using grid search, again using resampling and subsampling methods to ensure stable results</w:t>
      </w:r>
      <w:r>
        <w:t xml:space="preserve">. </w:t>
      </w:r>
    </w:p>
    <w:p w14:paraId="0F05C70F" w14:textId="006209A8" w:rsidR="003D63AF" w:rsidRPr="003D63AF" w:rsidRDefault="007F1898" w:rsidP="0037615E">
      <w:pPr>
        <w:pStyle w:val="berschrift2"/>
        <w:numPr>
          <w:ilvl w:val="1"/>
          <w:numId w:val="3"/>
        </w:numPr>
      </w:pPr>
      <w:r>
        <w:t>Logistic Regression</w:t>
      </w:r>
    </w:p>
    <w:p w14:paraId="38F2CF89" w14:textId="39DE1A99" w:rsidR="009C7ACD" w:rsidRDefault="00E54013" w:rsidP="0037615E">
      <w:r>
        <w:t xml:space="preserve">Logistic regression models the relationship between a binary variable and a set of independent predictor variables. Due to using the logit transformation of the binary target variable, this parametric, linear model can be used for estimating the probability of event occurrences as is done in this study. </w:t>
      </w:r>
      <w:r w:rsidR="00DC7733">
        <w:t xml:space="preserve">Regression models have previously been </w:t>
      </w:r>
      <w:r w:rsidR="00B36ADE">
        <w:t xml:space="preserve">widely </w:t>
      </w:r>
      <w:r w:rsidR="00DC7733">
        <w:t xml:space="preserve">used in cases </w:t>
      </w:r>
      <w:r w:rsidR="00B36ADE">
        <w:t>that</w:t>
      </w:r>
      <w:r w:rsidR="00DC7733">
        <w:t xml:space="preserve"> model</w:t>
      </w:r>
      <w:r w:rsidR="00B36ADE">
        <w:t xml:space="preserve"> </w:t>
      </w:r>
      <w:r w:rsidR="00DC7733">
        <w:t>wildfire occurrences</w:t>
      </w:r>
      <w:r w:rsidR="00B36ADE">
        <w:t>, especially logistic regression</w:t>
      </w:r>
      <w:r w:rsidR="00DC7733">
        <w:t xml:space="preserve"> </w:t>
      </w:r>
      <w:r w:rsidR="00DC7733">
        <w:fldChar w:fldCharType="begin"/>
      </w:r>
      <w:r w:rsidR="00C069E4">
        <w:instrText xml:space="preserve"> ADDIN ZOTERO_ITEM CSL_CITATION {"citationID":"ss3OszjG","properties":{"formattedCitation":"(Catry et al., 2009; Mart\\uc0\\u237{}nez et al., 2009; Oliveira et al., 2012; Syphard et al., 2008)","plainCitation":"(Catry et al., 2009; Martínez et al., 2009; Oliveira et al., 2012; Syphard et al., 2008)","noteIndex":0},"citationItems":[{"id":60,"uris":["http://zotero.org/users/7598357/items/8UF4Q6PE"],"uri":["http://zotero.org/users/7598357/items/8UF4Q6PE"],"itemData":{"id":60,"type":"article-journal","abstract":"Humans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DC7733">
        <w:fldChar w:fldCharType="separate"/>
      </w:r>
      <w:r w:rsidR="00C069E4" w:rsidRPr="00C069E4">
        <w:rPr>
          <w:color w:val="000000"/>
        </w:rPr>
        <w:t>(Catry et al., 2009; Martínez et al., 2009; Oliveira et al., 2012; Syphard et al., 2008)</w:t>
      </w:r>
      <w:r w:rsidR="00DC7733">
        <w:fldChar w:fldCharType="end"/>
      </w:r>
      <w:r w:rsidR="00B36ADE">
        <w:t xml:space="preserve">. </w:t>
      </w:r>
      <w:r w:rsidR="00A466BA">
        <w:t>Since logistic regression uses maximum likelihood</w:t>
      </w:r>
      <w:r w:rsidR="009E32D5">
        <w:t xml:space="preserve"> estimation</w:t>
      </w:r>
      <w:r w:rsidR="00A466BA">
        <w:t xml:space="preserve">, many assumptions of linear regression (which uses ordinary least squares instead) do not apply to logistic regression. </w:t>
      </w:r>
      <w:r w:rsidR="00242D60">
        <w:t xml:space="preserve">Assumptions of logistic regression include </w:t>
      </w:r>
      <w:r w:rsidR="00242D60" w:rsidRPr="00242D60">
        <w:t>independen</w:t>
      </w:r>
      <w:r w:rsidR="00242D60">
        <w:t xml:space="preserve">t </w:t>
      </w:r>
      <w:r w:rsidR="00242D60" w:rsidRPr="00242D60">
        <w:t xml:space="preserve">errors, </w:t>
      </w:r>
      <w:r w:rsidR="00242D60">
        <w:t xml:space="preserve">the </w:t>
      </w:r>
      <w:r w:rsidR="00242D60" w:rsidRPr="00242D60">
        <w:t>absence of multicollinearity</w:t>
      </w:r>
      <w:r w:rsidR="00242D60">
        <w:t xml:space="preserve"> among the predictors</w:t>
      </w:r>
      <w:r w:rsidR="00242D60" w:rsidRPr="00242D60">
        <w:t xml:space="preserve">, linearity in the logit for continuous variables, and </w:t>
      </w:r>
      <w:r w:rsidR="00242D60">
        <w:t xml:space="preserve">a </w:t>
      </w:r>
      <w:r w:rsidR="00242D60" w:rsidRPr="00242D60">
        <w:t>lack of strongly influential outliers</w:t>
      </w:r>
      <w:r w:rsidR="00242D60">
        <w:t xml:space="preserve"> </w:t>
      </w:r>
      <w:r w:rsidR="00242D60">
        <w:fldChar w:fldCharType="begin"/>
      </w:r>
      <w:r w:rsidR="00242D60">
        <w:instrText xml:space="preserve"> ADDIN ZOTERO_ITEM CSL_CITATION {"citationID":"IUSsY2Kz","properties":{"formattedCitation":"(Stoltzfus, 2011)","plainCitation":"(Stoltzfus, 2011)","noteIndex":0},"citationItems":[{"id":127,"uris":["http://zotero.org/users/7598357/items/PFJKHT6W"],"uri":["http://zotero.org/users/7598357/items/PFJKHT6W"],"itemData":{"id":127,"type":"article-journal","abstract":"Academic Emergency Medicine 2011; 18:1099–1104 © 2011 by the Society for Academic Emergency Medicine Abstract 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(CIs).","container-title":"Academic Emergency Medicine","DOI":"10.1111/j.1553-2712.2011.01185.x","ISSN":"1553-2712","issue":"10","language":"en","note":"_eprint: https://onlinelibrary.wiley.com/doi/pdf/10.1111/j.1553-2712.2011.01185.x","page":"1099-1104","source":"Wiley Online Library","title":"Logistic Regression: A Brief Primer","title-short":"Logistic Regression","volume":"18","author":[{"family":"Stoltzfus","given":"Jill C."}],"issued":{"date-parts":[["2011"]]}}}],"schema":"https://github.com/citation-style-language/schema/raw/master/csl-citation.json"} </w:instrText>
      </w:r>
      <w:r w:rsidR="00242D60">
        <w:fldChar w:fldCharType="separate"/>
      </w:r>
      <w:r w:rsidR="00C069E4">
        <w:rPr>
          <w:noProof/>
        </w:rPr>
        <w:t>(Stoltzfus, 2011)</w:t>
      </w:r>
      <w:r w:rsidR="00242D60">
        <w:fldChar w:fldCharType="end"/>
      </w:r>
      <w:r w:rsidR="00242D60" w:rsidRPr="00242D60">
        <w:t>.</w:t>
      </w:r>
      <w:r w:rsidR="00242D60">
        <w:t xml:space="preserve"> </w:t>
      </w:r>
      <w:r w:rsidR="008B3E9B">
        <w:t xml:space="preserve">Logistic regression can be expressed as follows: </w:t>
      </w:r>
    </w:p>
    <w:p w14:paraId="06056705" w14:textId="3C76893D" w:rsidR="004E43E5" w:rsidRDefault="00D1739F" w:rsidP="0037615E">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m:t>
                      </m:r>
                    </m:sub>
                  </m:sSub>
                  <m:r>
                    <m:rPr>
                      <m:sty m:val="p"/>
                    </m:rPr>
                    <w:rPr>
                      <w:rFonts w:ascii="Cambria Math" w:hAnsi="Cambria Math"/>
                    </w:rPr>
                    <m: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m:t>
                      </m:r>
                    </m:sub>
                  </m:sSub>
                  <m:r>
                    <m:rPr>
                      <m:sty m:val="p"/>
                    </m:rPr>
                    <w:rPr>
                      <w:rFonts w:ascii="Cambria Math" w:hAnsi="Cambria Math"/>
                    </w:rPr>
                    <m:t>)</m:t>
                  </m:r>
                </m:sup>
              </m:sSup>
            </m:den>
          </m:f>
        </m:oMath>
      </m:oMathPara>
    </w:p>
    <w:p w14:paraId="18AF372D" w14:textId="62409CDD" w:rsidR="008B3E9B" w:rsidRDefault="004E43E5" w:rsidP="00CA48B8">
      <w:pPr>
        <w:pStyle w:val="Beschriftung"/>
        <w:jc w:val="center"/>
      </w:pPr>
      <w:r>
        <w:t xml:space="preserve">Equation </w:t>
      </w:r>
      <w:fldSimple w:instr=" SEQ Equation \* ARABIC ">
        <w:r w:rsidR="00CA48B8">
          <w:rPr>
            <w:noProof/>
          </w:rPr>
          <w:t>1</w:t>
        </w:r>
      </w:fldSimple>
      <w:r>
        <w:t xml:space="preserve">: </w:t>
      </w:r>
      <w:r w:rsidRPr="000916A0">
        <w:t>Mathematical notation of a logistic regression model</w:t>
      </w:r>
    </w:p>
    <w:p w14:paraId="56109F8C" w14:textId="3D677F19" w:rsidR="009C7ACD" w:rsidRDefault="00242D60" w:rsidP="0037615E">
      <w:r>
        <w:lastRenderedPageBreak/>
        <w:t>In the ca</w:t>
      </w:r>
      <w:r w:rsidR="009C7ACD">
        <w:t>s</w:t>
      </w:r>
      <w:r>
        <w:t xml:space="preserve">e of this study multicollinearity must </w:t>
      </w:r>
      <w:r w:rsidR="00A466BA">
        <w:t>be addressed during the preprocessing of the data</w:t>
      </w:r>
      <w:r>
        <w:t xml:space="preserve">, as </w:t>
      </w:r>
      <w:r w:rsidR="009C7ACD">
        <w:t xml:space="preserve">data exploration identified </w:t>
      </w:r>
      <w:r>
        <w:t xml:space="preserve">many predictors </w:t>
      </w:r>
      <w:r w:rsidR="009C7ACD">
        <w:t>as</w:t>
      </w:r>
      <w:r>
        <w:t xml:space="preserve"> strongly correlated. </w:t>
      </w:r>
      <w:r w:rsidR="009C7ACD">
        <w:t>Data exploration also revealed that the distributions of the distance predictors are heavily skewed. A testing of multiple methods showed a power transformation to be the most effective in creating a more normal-like distribution for these variables. The pre-processing steps are handled for each model separately, taking the individual features of each algorithm into account. Most of the pre-processing steps are similar, however.</w:t>
      </w:r>
    </w:p>
    <w:p w14:paraId="101AF3C9" w14:textId="0AE4E907" w:rsidR="009C7ACD" w:rsidRDefault="009C7ACD" w:rsidP="0037615E">
      <w:r>
        <w:t xml:space="preserve">For all models, the dummy variables indicating the presence of infrastructure (such as roads) or topological features (such as lakes) are removed, </w:t>
      </w:r>
      <w:proofErr w:type="gramStart"/>
      <w:r>
        <w:t>as long as</w:t>
      </w:r>
      <w:proofErr w:type="gramEnd"/>
      <w:r>
        <w:t xml:space="preserve"> there is a corresponding distance variable present in the data set. These variable pairs are highly correlated, and the distance variables provide more information and introduce more variance into the data compared to the dummies. These distance variables undergo a power-transformation for the regression models only, as logistic regression might benefit from predictors </w:t>
      </w:r>
      <w:r w:rsidR="000C7DE7">
        <w:t>that have</w:t>
      </w:r>
      <w:r>
        <w:t xml:space="preserve"> a more normal-like distribution </w:t>
      </w:r>
      <w:r>
        <w:fldChar w:fldCharType="begin"/>
      </w:r>
      <w:r w:rsidR="00C069E4">
        <w:instrText xml:space="preserve"> ADDIN ZOTERO_ITEM CSL_CITATION {"citationID":"qDILQT08","properties":{"formattedCitation":"(Kuhn &amp; Silge, 2021)","plainCitation":"(Kuhn &amp; Silge, 2021)","noteIndex":0},"citationItems":[{"id":121,"uris":["http://zotero.org/users/7598357/items/KYQANFZD"],"uri":["http://zotero.org/users/7598357/items/KYQANFZD"],"itemData":{"id":121,"type":"book","abstract":"The tidymodels framework is a collection of R packages for modeling and machine learning using tidyverse principles. This book provides a thorough introduction to how to use tidymodels, and an outline of good methodology and statistical practice for phases of the modeling process.","source":"www.tmwr.org","title":"A Recommended preprocessing | Tidy Modeling with R","URL":"https://www.tmwr.org/pre-proc-table.html","author":[{"family":"Kuhn","given":"Max"},{"family":"Silge","given":"Julia"}],"accessed":{"date-parts":[["2021",11,8]]},"issued":{"date-parts":[["2021",10,28]]}}}],"schema":"https://github.com/citation-style-language/schema/raw/master/csl-citation.json"} </w:instrText>
      </w:r>
      <w:r>
        <w:fldChar w:fldCharType="separate"/>
      </w:r>
      <w:r w:rsidR="00C069E4">
        <w:rPr>
          <w:noProof/>
        </w:rPr>
        <w:t>(Kuhn &amp; Silge, 2021)</w:t>
      </w:r>
      <w:r>
        <w:fldChar w:fldCharType="end"/>
      </w:r>
      <w:r>
        <w:t xml:space="preserve">. In a next step predictors with zero variance are removed, as are strongly correlated predictors (with a threshold of 0.75), similar to Oliveira and co-authors’ study </w:t>
      </w:r>
      <w:r>
        <w:fldChar w:fldCharType="begin"/>
      </w:r>
      <w:r w:rsidR="00C069E4">
        <w:instrText xml:space="preserve"> ADDIN ZOTERO_ITEM CSL_CITATION {"citationID":"8bcex1Gi","properties":{"formattedCitation":"(Oliveira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Pr>
          <w:color w:val="000000"/>
        </w:rPr>
        <w:t>(Oliveira et al., 2012)</w:t>
      </w:r>
      <w:r>
        <w:fldChar w:fldCharType="end"/>
      </w:r>
      <w:r>
        <w:t xml:space="preserve">. Categorical predictors are turned into dummy variables through one-hot encoding. </w:t>
      </w:r>
    </w:p>
    <w:p w14:paraId="2C9B421B" w14:textId="29002C60" w:rsidR="0020565D" w:rsidRDefault="000B2945" w:rsidP="0037615E">
      <w:proofErr w:type="gramStart"/>
      <w:r>
        <w:t>In order to</w:t>
      </w:r>
      <w:proofErr w:type="gramEnd"/>
      <w:r>
        <w:t xml:space="preserve"> balance out the</w:t>
      </w:r>
      <w:r w:rsidR="00A02260">
        <w:t xml:space="preserve"> classes in the target variable</w:t>
      </w:r>
      <w:r>
        <w:t xml:space="preserve">, </w:t>
      </w:r>
      <w:r w:rsidR="009C38AC">
        <w:t xml:space="preserve">models are estimated with both an </w:t>
      </w:r>
      <w:proofErr w:type="spellStart"/>
      <w:r w:rsidR="009C38AC">
        <w:t>upsampled</w:t>
      </w:r>
      <w:proofErr w:type="spellEnd"/>
      <w:r w:rsidR="009C38AC">
        <w:t xml:space="preserve">, as well as a </w:t>
      </w:r>
      <w:proofErr w:type="spellStart"/>
      <w:r w:rsidR="009C38AC">
        <w:t>downsampled</w:t>
      </w:r>
      <w:proofErr w:type="spellEnd"/>
      <w:r w:rsidR="009C38AC">
        <w:t xml:space="preserve"> set of training data. </w:t>
      </w:r>
      <w:proofErr w:type="spellStart"/>
      <w:r w:rsidR="009C38AC">
        <w:t>U</w:t>
      </w:r>
      <w:r w:rsidR="009C7ACD">
        <w:t>psampling</w:t>
      </w:r>
      <w:proofErr w:type="spellEnd"/>
      <w:r w:rsidR="009C7ACD">
        <w:t xml:space="preserve"> </w:t>
      </w:r>
      <w:r>
        <w:t>is</w:t>
      </w:r>
      <w:r w:rsidR="009C7ACD">
        <w:t xml:space="preserve"> done using the SMOTE algorithm, creat</w:t>
      </w:r>
      <w:r>
        <w:t xml:space="preserve">ing </w:t>
      </w:r>
      <w:r w:rsidR="009C7ACD">
        <w:t xml:space="preserve">additional synthetic observations. For </w:t>
      </w:r>
      <w:r w:rsidR="00A02260">
        <w:t xml:space="preserve">the </w:t>
      </w:r>
      <w:proofErr w:type="spellStart"/>
      <w:r w:rsidR="00A02260">
        <w:t>downsampled</w:t>
      </w:r>
      <w:proofErr w:type="spellEnd"/>
      <w:r w:rsidR="00A02260">
        <w:t xml:space="preserve"> </w:t>
      </w:r>
      <w:r w:rsidR="009C38AC">
        <w:t xml:space="preserve">training set </w:t>
      </w:r>
      <w:r w:rsidR="009C7ACD">
        <w:t xml:space="preserve">the </w:t>
      </w:r>
      <w:proofErr w:type="spellStart"/>
      <w:r w:rsidR="009C7ACD">
        <w:t>NearMiss</w:t>
      </w:r>
      <w:proofErr w:type="spellEnd"/>
      <w:r w:rsidR="009C7ACD">
        <w:t xml:space="preserve"> 1 algorithm</w:t>
      </w:r>
      <w:r w:rsidR="00A02260">
        <w:t xml:space="preserve"> is used</w:t>
      </w:r>
      <w:r w:rsidR="009C7ACD">
        <w:t xml:space="preserve">, which retains observations of the majority class with the smallest distance to the k-nearest neighbors of the minority class. The training data for both the </w:t>
      </w:r>
      <w:proofErr w:type="spellStart"/>
      <w:r w:rsidR="009C7ACD">
        <w:t>upsampled</w:t>
      </w:r>
      <w:proofErr w:type="spellEnd"/>
      <w:r w:rsidR="00A02260">
        <w:t xml:space="preserve"> and </w:t>
      </w:r>
      <w:r w:rsidR="009C7ACD">
        <w:t xml:space="preserve">the </w:t>
      </w:r>
      <w:proofErr w:type="spellStart"/>
      <w:r w:rsidR="009C7ACD">
        <w:t>downsampled</w:t>
      </w:r>
      <w:proofErr w:type="spellEnd"/>
      <w:r w:rsidR="009C7ACD">
        <w:t xml:space="preserve"> models under</w:t>
      </w:r>
      <w:r w:rsidR="00A02260">
        <w:t>go</w:t>
      </w:r>
      <w:r w:rsidR="009C7ACD">
        <w:t xml:space="preserve"> an additional step of </w:t>
      </w:r>
      <w:r w:rsidR="009C7ACD" w:rsidRPr="00385467">
        <w:rPr>
          <w:i/>
          <w:iCs/>
        </w:rPr>
        <w:t xml:space="preserve">Tomek’s </w:t>
      </w:r>
      <w:r w:rsidR="00385467" w:rsidRPr="00385467">
        <w:rPr>
          <w:i/>
          <w:iCs/>
        </w:rPr>
        <w:t>L</w:t>
      </w:r>
      <w:r w:rsidR="009C7ACD" w:rsidRPr="00385467">
        <w:rPr>
          <w:i/>
          <w:iCs/>
        </w:rPr>
        <w:t>inks</w:t>
      </w:r>
      <w:r w:rsidR="00A02260">
        <w:t xml:space="preserve"> removal</w:t>
      </w:r>
      <w:r w:rsidR="009C7ACD">
        <w:t>, a procedure that removes majority class observations that are the nearest neighbor of an observation belonging to the minority class</w:t>
      </w:r>
      <w:r w:rsidR="00A02260">
        <w:t xml:space="preserve">. This is </w:t>
      </w:r>
      <w:r w:rsidR="00A02260">
        <w:lastRenderedPageBreak/>
        <w:t xml:space="preserve">intended to </w:t>
      </w:r>
      <w:r w:rsidR="009C7ACD">
        <w:t>improv</w:t>
      </w:r>
      <w:r w:rsidR="00A02260">
        <w:t xml:space="preserve">e </w:t>
      </w:r>
      <w:r w:rsidR="009C7ACD">
        <w:t xml:space="preserve">the classification boundary of the training data and the predictive power of the trained model. </w:t>
      </w:r>
    </w:p>
    <w:p w14:paraId="27A383EC" w14:textId="249760AB" w:rsidR="00A466BA" w:rsidRPr="00DC7733" w:rsidRDefault="00A02260" w:rsidP="0037615E">
      <w:r>
        <w:t xml:space="preserve">During hyperparameter tuning I introduce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to</w:t>
      </w:r>
      <w:r w:rsidR="009C7ACD">
        <w:t xml:space="preserve"> logistic regression</w:t>
      </w:r>
      <w:r>
        <w:t>, resulting in an</w:t>
      </w:r>
      <w:r w:rsidR="009C7ACD">
        <w:t xml:space="preserve"> elastic net</w:t>
      </w:r>
      <w:r>
        <w:t xml:space="preserve"> model.</w:t>
      </w:r>
      <w:r w:rsidR="009C7ACD">
        <w:t xml:space="preserve"> </w:t>
      </w:r>
      <w:r w:rsidR="0020565D">
        <w:t>For this specific case all predictors unde</w:t>
      </w:r>
      <w:r w:rsidR="00385467">
        <w:t>rgo</w:t>
      </w:r>
      <w:r w:rsidR="0020565D">
        <w:t xml:space="preserve"> normalization. </w:t>
      </w:r>
      <w:r w:rsidR="00FD631B">
        <w:t>Elastic net combines both the Ridge and LASSO penalt</w:t>
      </w:r>
      <w:r w:rsidR="0020565D">
        <w:t xml:space="preserve">ies </w:t>
      </w:r>
      <w:r w:rsidR="00FD631B">
        <w:t xml:space="preserve">to shrink </w:t>
      </w:r>
      <w:r w:rsidR="0020565D">
        <w:t>the estimated coefficients</w:t>
      </w:r>
      <w:r w:rsidR="00FD631B">
        <w:t xml:space="preserve">. </w:t>
      </w:r>
      <w:r w:rsidR="0020565D">
        <w:t xml:space="preserve">Both the size of these penalties as well as the mixture between </w:t>
      </w:r>
      <w:r w:rsidR="00074424">
        <w:t>the two</w:t>
      </w:r>
      <w:r w:rsidR="0020565D">
        <w:t xml:space="preserve"> are tunable hyperparameters </w:t>
      </w:r>
      <w:r w:rsidR="0019171A">
        <w:t>(</w:t>
      </w:r>
      <w:r w:rsidR="0019171A">
        <w:rPr>
          <w:i/>
          <w:iCs/>
        </w:rPr>
        <w:t>penalty</w:t>
      </w:r>
      <w:r w:rsidR="0019171A">
        <w:t xml:space="preserve"> and </w:t>
      </w:r>
      <w:r w:rsidR="0019171A">
        <w:rPr>
          <w:i/>
          <w:iCs/>
        </w:rPr>
        <w:t>mixture</w:t>
      </w:r>
      <w:r w:rsidR="0019171A">
        <w:t xml:space="preserve">) </w:t>
      </w:r>
      <w:r w:rsidR="0020565D">
        <w:t xml:space="preserve">that I tune </w:t>
      </w:r>
      <w:r w:rsidR="00924E52">
        <w:t>using</w:t>
      </w:r>
      <w:r w:rsidR="0020565D">
        <w:t xml:space="preserve"> a grid search strategy. </w:t>
      </w:r>
    </w:p>
    <w:p w14:paraId="79793826" w14:textId="2B6880C8" w:rsidR="003D63AF" w:rsidRPr="003D63AF" w:rsidRDefault="00903E87" w:rsidP="0037615E">
      <w:pPr>
        <w:pStyle w:val="berschrift2"/>
        <w:numPr>
          <w:ilvl w:val="1"/>
          <w:numId w:val="3"/>
        </w:numPr>
      </w:pPr>
      <w:r>
        <w:t>Random Forest</w:t>
      </w:r>
    </w:p>
    <w:p w14:paraId="1B4318F1" w14:textId="3358A099" w:rsidR="00186DE0" w:rsidRDefault="00082145" w:rsidP="0037615E">
      <w:r w:rsidRPr="009446D8">
        <w:rPr>
          <w:i/>
          <w:iCs/>
        </w:rPr>
        <w:t>Random Forest</w:t>
      </w:r>
      <w:r>
        <w:t xml:space="preserve"> is a non-parametric ensemble learning algorithm</w:t>
      </w:r>
      <w:r w:rsidR="000B43C2">
        <w:t xml:space="preserve">, </w:t>
      </w:r>
      <w:r>
        <w:t xml:space="preserve">comprised of a set of </w:t>
      </w:r>
      <w:r w:rsidRPr="009446D8">
        <w:rPr>
          <w:i/>
          <w:iCs/>
        </w:rPr>
        <w:t>Decision Tree</w:t>
      </w:r>
      <w:r>
        <w:t xml:space="preserve"> models</w:t>
      </w:r>
      <w:r w:rsidR="000B43C2">
        <w:t>.</w:t>
      </w:r>
      <w:r>
        <w:t xml:space="preserve"> </w:t>
      </w:r>
      <w:r w:rsidR="000B43C2">
        <w:t xml:space="preserve">These </w:t>
      </w:r>
      <w:proofErr w:type="spellStart"/>
      <w:r w:rsidR="000B43C2">
        <w:t>submodels</w:t>
      </w:r>
      <w:proofErr w:type="spellEnd"/>
      <w:r w:rsidR="000B43C2">
        <w:t xml:space="preserve"> aim to create splits in the training data that minimize the heterogeneity in the resulting subsets, learning the best rules to create these splits in the process </w:t>
      </w:r>
      <w:r w:rsidR="000B43C2">
        <w:fldChar w:fldCharType="begin"/>
      </w:r>
      <w:r w:rsidR="00C069E4">
        <w:instrText xml:space="preserve"> ADDIN ZOTERO_ITEM CSL_CITATION {"citationID":"B6rvNqS3","properties":{"formattedCitation":"(Kuhn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0B43C2">
        <w:fldChar w:fldCharType="separate"/>
      </w:r>
      <w:r w:rsidR="00C069E4">
        <w:rPr>
          <w:noProof/>
        </w:rPr>
        <w:t>(Kuhn &amp; Johnson, 2013)</w:t>
      </w:r>
      <w:r w:rsidR="000B43C2">
        <w:fldChar w:fldCharType="end"/>
      </w:r>
      <w:r w:rsidR="000B43C2">
        <w:t>. Th</w:t>
      </w:r>
      <w:r w:rsidR="00186DE0">
        <w:t xml:space="preserve">is </w:t>
      </w:r>
      <w:r w:rsidR="000B43C2">
        <w:t xml:space="preserve">algorithm is </w:t>
      </w:r>
      <w:r w:rsidR="00186DE0">
        <w:t xml:space="preserve">known to suffer from large variance, meaning that the smallest changes to the training data can have a large influence on the </w:t>
      </w:r>
      <w:r w:rsidR="000B43C2">
        <w:t xml:space="preserve">overall </w:t>
      </w:r>
      <w:r w:rsidR="00186DE0">
        <w:t xml:space="preserve">model fit. </w:t>
      </w:r>
      <w:r w:rsidR="00186DE0" w:rsidRPr="009446D8">
        <w:rPr>
          <w:i/>
          <w:iCs/>
        </w:rPr>
        <w:t>Random Forest</w:t>
      </w:r>
      <w:r w:rsidR="00186DE0">
        <w:t xml:space="preserve"> </w:t>
      </w:r>
      <w:r>
        <w:t xml:space="preserve">is built upon the idea of </w:t>
      </w:r>
      <w:r w:rsidR="00186DE0">
        <w:t xml:space="preserve">exploiting this property by letting </w:t>
      </w:r>
      <w:r w:rsidR="007D72A9">
        <w:t>its</w:t>
      </w:r>
      <w:r w:rsidR="00186DE0">
        <w:t xml:space="preserve"> </w:t>
      </w:r>
      <w:r w:rsidR="00186DE0">
        <w:rPr>
          <w:i/>
          <w:iCs/>
        </w:rPr>
        <w:t xml:space="preserve">weak </w:t>
      </w:r>
      <w:r w:rsidR="007D72A9">
        <w:rPr>
          <w:i/>
          <w:iCs/>
        </w:rPr>
        <w:t>classifiers</w:t>
      </w:r>
      <w:r w:rsidR="00186DE0">
        <w:t xml:space="preserve"> vote on the final </w:t>
      </w:r>
      <w:r w:rsidR="007D72A9">
        <w:t>ensemble predictions</w:t>
      </w:r>
      <w:r w:rsidR="00186DE0">
        <w:t xml:space="preserve"> based on their own</w:t>
      </w:r>
      <w:r w:rsidR="008B2D63">
        <w:t xml:space="preserve">, highly variant </w:t>
      </w:r>
      <w:r w:rsidR="007D72A9">
        <w:t>predictions</w:t>
      </w:r>
      <w:r w:rsidR="00042544">
        <w:t xml:space="preserve">. The singular trees are made weak due to </w:t>
      </w:r>
      <w:r w:rsidR="00186DE0">
        <w:t xml:space="preserve">limited access to </w:t>
      </w:r>
      <w:r w:rsidR="00042544">
        <w:t xml:space="preserve">the training data, as each tree is only trained on a set number of </w:t>
      </w:r>
      <w:r w:rsidR="00186DE0">
        <w:t xml:space="preserve">bootstrapped predictor variables </w:t>
      </w:r>
      <w:r w:rsidR="00186DE0">
        <w:fldChar w:fldCharType="begin"/>
      </w:r>
      <w:r w:rsidR="00C069E4">
        <w:instrText xml:space="preserve"> ADDIN ZOTERO_ITEM CSL_CITATION {"citationID":"HjQdpYFQ","properties":{"formattedCitation":"(Kuhn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186DE0">
        <w:fldChar w:fldCharType="separate"/>
      </w:r>
      <w:r w:rsidR="00C069E4">
        <w:rPr>
          <w:noProof/>
        </w:rPr>
        <w:t>(Kuhn &amp; Johnson, 2013)</w:t>
      </w:r>
      <w:r w:rsidR="00186DE0">
        <w:fldChar w:fldCharType="end"/>
      </w:r>
      <w:r w:rsidR="00186DE0">
        <w:t xml:space="preserve">. This </w:t>
      </w:r>
      <w:r w:rsidR="00042544">
        <w:t>approach</w:t>
      </w:r>
      <w:r w:rsidR="00186DE0">
        <w:t xml:space="preserve"> </w:t>
      </w:r>
      <w:r w:rsidR="00FF56F7">
        <w:t>is intended</w:t>
      </w:r>
      <w:r w:rsidR="00042544">
        <w:t xml:space="preserve"> to counteract overfitting on the training data as no tree is trained on the entire data set. This strategy </w:t>
      </w:r>
      <w:r w:rsidR="00186DE0">
        <w:t xml:space="preserve">uses the bias-variance-tradeoff in Machine Learning to drive down bias at the expense of increased variance, intended to ultimately </w:t>
      </w:r>
      <w:r w:rsidR="00FF56F7">
        <w:t>result</w:t>
      </w:r>
      <w:r w:rsidR="00186DE0">
        <w:t xml:space="preserve"> </w:t>
      </w:r>
      <w:r w:rsidR="00FF56F7">
        <w:t>in</w:t>
      </w:r>
      <w:r w:rsidR="00186DE0">
        <w:t xml:space="preserve"> more accurate and stable predictions. </w:t>
      </w:r>
    </w:p>
    <w:p w14:paraId="3ABEBC6B" w14:textId="03FAADFC" w:rsidR="00F13088" w:rsidRDefault="00D53A25" w:rsidP="0037615E">
      <w:r w:rsidRPr="009446D8">
        <w:rPr>
          <w:i/>
          <w:iCs/>
        </w:rPr>
        <w:t>Random Forest</w:t>
      </w:r>
      <w:r>
        <w:t xml:space="preserve"> </w:t>
      </w:r>
      <w:r w:rsidR="00EE4725">
        <w:t>do</w:t>
      </w:r>
      <w:r>
        <w:t>es</w:t>
      </w:r>
      <w:r w:rsidR="00EE4725">
        <w:t xml:space="preserve"> not share </w:t>
      </w:r>
      <w:r>
        <w:t>the</w:t>
      </w:r>
      <w:r w:rsidR="00EE4725">
        <w:t xml:space="preserve"> assumption</w:t>
      </w:r>
      <w:r>
        <w:t>s of logistic regression</w:t>
      </w:r>
      <w:r w:rsidR="00EE4725">
        <w:t>, but fewer correlated predictors might improve the</w:t>
      </w:r>
      <w:r w:rsidR="000E163B">
        <w:t xml:space="preserve"> </w:t>
      </w:r>
      <w:r w:rsidR="000E163B" w:rsidRPr="00D5650C">
        <w:rPr>
          <w:i/>
          <w:iCs/>
        </w:rPr>
        <w:t>variable</w:t>
      </w:r>
      <w:r w:rsidR="00EE4725" w:rsidRPr="00D5650C">
        <w:rPr>
          <w:i/>
          <w:iCs/>
        </w:rPr>
        <w:t xml:space="preserve"> importan</w:t>
      </w:r>
      <w:r w:rsidR="00F6606D" w:rsidRPr="00D5650C">
        <w:rPr>
          <w:i/>
          <w:iCs/>
        </w:rPr>
        <w:t>ce</w:t>
      </w:r>
      <w:r w:rsidR="00EE4725">
        <w:t xml:space="preserve"> score estimates of tree-based algorithms</w:t>
      </w:r>
      <w:r w:rsidR="0019569C">
        <w:t xml:space="preserve"> </w:t>
      </w:r>
      <w:r w:rsidR="0019569C">
        <w:fldChar w:fldCharType="begin"/>
      </w:r>
      <w:r w:rsidR="00C069E4">
        <w:instrText xml:space="preserve"> ADDIN ZOTERO_ITEM CSL_CITATION {"citationID":"a185LH7k","properties":{"formattedCitation":"(Kuhn &amp; Johnson, 2019)","plainCitation":"(Kuhn &amp; Johnson, 2019)","noteIndex":0},"citationItems":[{"id":119,"uris":["http://zotero.org/users/7598357/items/2XN8XBUP"],"uri":["http://zotero.org/users/7598357/items/2XN8XBUP"],"itemData":{"id":119,"type":"book","abstract":"A primary goal of predictive modeling is to find a reliable and effective predic- tive relationship between an available set of features and an outcome. This book provides an extensive set of techniques for uncovering effective representations of the features for modeling the outcome and for finding an optimal subset of features to improve a model’s predictive performance.","source":"bookdown.org","title":"Feature Engineering and Selection: A Practical Approach for Predictive Models","title-short":"11.3 Recursive Feature Elimination | Feature Engineering and Selection","URL":"https://bookdown.org/max/FES/recursive-feature-elimination.html#fig:greedy-rf-imp","author":[{"family":"Kuhn","given":"Max"},{"family":"Johnson","given":"Kjell"}],"accessed":{"date-parts":[["2021",11,8]]},"issued":{"date-parts":[["2019",6,21]]}}}],"schema":"https://github.com/citation-style-language/schema/raw/master/csl-citation.json"} </w:instrText>
      </w:r>
      <w:r w:rsidR="0019569C">
        <w:fldChar w:fldCharType="separate"/>
      </w:r>
      <w:r w:rsidR="00C069E4">
        <w:rPr>
          <w:noProof/>
        </w:rPr>
        <w:t>(Kuhn &amp; Johnson, 2019)</w:t>
      </w:r>
      <w:r w:rsidR="0019569C">
        <w:fldChar w:fldCharType="end"/>
      </w:r>
      <w:r w:rsidR="00EE4725">
        <w:t xml:space="preserve">. </w:t>
      </w:r>
      <w:r>
        <w:t xml:space="preserve">Strongly correlated predictors indicating the presence of infrastructure or topological features are hence </w:t>
      </w:r>
      <w:r>
        <w:lastRenderedPageBreak/>
        <w:t xml:space="preserve">removed from the training data for </w:t>
      </w:r>
      <w:r w:rsidRPr="009446D8">
        <w:rPr>
          <w:i/>
          <w:iCs/>
        </w:rPr>
        <w:t>Random Forest</w:t>
      </w:r>
      <w:r>
        <w:t xml:space="preserve"> as well, as are </w:t>
      </w:r>
      <w:r w:rsidR="00F13088">
        <w:t xml:space="preserve">predictors with a correlation coefficient exceeding 0.75 and </w:t>
      </w:r>
      <w:r w:rsidR="00B4291E">
        <w:t xml:space="preserve">zero variance </w:t>
      </w:r>
      <w:r>
        <w:t>predictors</w:t>
      </w:r>
      <w:r w:rsidR="00F13088">
        <w:t xml:space="preserve">. </w:t>
      </w:r>
    </w:p>
    <w:p w14:paraId="18C83C0E" w14:textId="068822D6" w:rsidR="00382666" w:rsidRDefault="00F13088" w:rsidP="0037615E">
      <w:r>
        <w:t xml:space="preserve">Unlike logistic regression and </w:t>
      </w:r>
      <w:proofErr w:type="spellStart"/>
      <w:r w:rsidRPr="009446D8">
        <w:rPr>
          <w:i/>
          <w:iCs/>
        </w:rPr>
        <w:t>xgboost</w:t>
      </w:r>
      <w:proofErr w:type="spellEnd"/>
      <w:r>
        <w:t xml:space="preserve">, </w:t>
      </w:r>
      <w:r w:rsidRPr="009446D8">
        <w:rPr>
          <w:i/>
          <w:iCs/>
        </w:rPr>
        <w:t>Random Forest</w:t>
      </w:r>
      <w:r>
        <w:t xml:space="preserve"> does not require one-hot encoding of categorical variables. Despite this, due to the used software requiring exclusively numeric predictors for subsampling one-hot encoding still </w:t>
      </w:r>
      <w:proofErr w:type="gramStart"/>
      <w:r>
        <w:t>has to</w:t>
      </w:r>
      <w:proofErr w:type="gramEnd"/>
      <w:r>
        <w:t xml:space="preserve"> be used for all </w:t>
      </w:r>
      <w:r w:rsidRPr="009446D8">
        <w:rPr>
          <w:i/>
          <w:iCs/>
        </w:rPr>
        <w:t>Random Forest</w:t>
      </w:r>
      <w:r>
        <w:t xml:space="preserve"> models except the naïve estimation. Subsampling is conducted in the same way as for logistic regression, with SMOTE and </w:t>
      </w:r>
      <w:proofErr w:type="spellStart"/>
      <w:r>
        <w:t>NearMiss</w:t>
      </w:r>
      <w:proofErr w:type="spellEnd"/>
      <w:r>
        <w:t xml:space="preserve"> 1 being used in combination with Tomek’s links removal.</w:t>
      </w:r>
      <w:r w:rsidR="002E462B">
        <w:t xml:space="preserve"> </w:t>
      </w:r>
      <w:r w:rsidR="006B75CE">
        <w:t xml:space="preserve">Neither </w:t>
      </w:r>
      <w:r w:rsidR="006B75CE" w:rsidRPr="009446D8">
        <w:rPr>
          <w:i/>
          <w:iCs/>
        </w:rPr>
        <w:t>Random Forest</w:t>
      </w:r>
      <w:r w:rsidR="006B75CE">
        <w:t xml:space="preserve"> nor </w:t>
      </w:r>
      <w:proofErr w:type="spellStart"/>
      <w:r w:rsidR="006B75CE" w:rsidRPr="009446D8">
        <w:rPr>
          <w:i/>
          <w:iCs/>
        </w:rPr>
        <w:t>xgboost</w:t>
      </w:r>
      <w:proofErr w:type="spellEnd"/>
      <w:r w:rsidR="006B75CE">
        <w:t xml:space="preserve"> require any additional preprocessing, highlighting </w:t>
      </w:r>
      <w:r w:rsidR="00985AA9">
        <w:t>this</w:t>
      </w:r>
      <w:r w:rsidR="006B75CE">
        <w:t xml:space="preserve"> inherent strength of these non-parametric, tree-based models</w:t>
      </w:r>
      <w:r w:rsidR="00985AA9">
        <w:t xml:space="preserve">. </w:t>
      </w:r>
    </w:p>
    <w:p w14:paraId="2FAD157B" w14:textId="236B5F57" w:rsidR="000B43C2" w:rsidRDefault="000B43C2" w:rsidP="0037615E">
      <w:r w:rsidRPr="009446D8">
        <w:rPr>
          <w:i/>
          <w:iCs/>
        </w:rPr>
        <w:t>Random Forest</w:t>
      </w:r>
      <w:r>
        <w:t xml:space="preserve"> </w:t>
      </w:r>
      <w:r w:rsidR="00804ACA">
        <w:t xml:space="preserve">has multiple hyperparameters that can be tuned, such as </w:t>
      </w:r>
      <w:r>
        <w:t>the minimal number of data points required at each node to qualify for further splitting</w:t>
      </w:r>
      <w:r w:rsidR="00644CF1">
        <w:t xml:space="preserve"> (</w:t>
      </w:r>
      <w:proofErr w:type="spellStart"/>
      <w:r w:rsidR="00644CF1" w:rsidRPr="00644CF1">
        <w:rPr>
          <w:i/>
          <w:iCs/>
        </w:rPr>
        <w:t>min_n</w:t>
      </w:r>
      <w:proofErr w:type="spellEnd"/>
      <w:r w:rsidR="00644CF1">
        <w:t>)</w:t>
      </w:r>
      <w:r>
        <w:t>, the number of bootstrapped predictors at each split</w:t>
      </w:r>
      <w:r w:rsidR="00644CF1">
        <w:t xml:space="preserve"> (</w:t>
      </w:r>
      <w:proofErr w:type="spellStart"/>
      <w:r w:rsidR="00644CF1" w:rsidRPr="00644CF1">
        <w:rPr>
          <w:i/>
          <w:iCs/>
        </w:rPr>
        <w:t>mtry</w:t>
      </w:r>
      <w:proofErr w:type="spellEnd"/>
      <w:r w:rsidR="00644CF1">
        <w:t>)</w:t>
      </w:r>
      <w:r>
        <w:t xml:space="preserve">, as well as the total number of trees grown </w:t>
      </w:r>
      <w:r w:rsidR="00644CF1">
        <w:t xml:space="preserve">for </w:t>
      </w:r>
      <w:r>
        <w:t xml:space="preserve">the </w:t>
      </w:r>
      <w:r w:rsidR="00644CF1">
        <w:t>ensemble (</w:t>
      </w:r>
      <w:r w:rsidR="00644CF1">
        <w:rPr>
          <w:i/>
          <w:iCs/>
        </w:rPr>
        <w:t>trees</w:t>
      </w:r>
      <w:r w:rsidR="00644CF1">
        <w:t>)</w:t>
      </w:r>
      <w:r>
        <w:t>.</w:t>
      </w:r>
      <w:r w:rsidR="00804ACA">
        <w:t xml:space="preserve"> During hyperparameter tuning the latter is kept constant at 500 trees due to computational restraints, while the two former parameters are tuned using grid-search. </w:t>
      </w:r>
    </w:p>
    <w:p w14:paraId="0C5612A1" w14:textId="4DF9443D" w:rsidR="003D63AF" w:rsidRPr="003D63AF" w:rsidRDefault="00F13088" w:rsidP="0037615E">
      <w:pPr>
        <w:pStyle w:val="berschrift2"/>
        <w:numPr>
          <w:ilvl w:val="1"/>
          <w:numId w:val="3"/>
        </w:numPr>
      </w:pPr>
      <w:proofErr w:type="spellStart"/>
      <w:r>
        <w:t>xgboost</w:t>
      </w:r>
      <w:proofErr w:type="spellEnd"/>
    </w:p>
    <w:p w14:paraId="64861C43" w14:textId="25AA6C0E" w:rsidR="00BA7EA3" w:rsidRDefault="00BA7EA3" w:rsidP="0037615E">
      <w:proofErr w:type="spellStart"/>
      <w:r w:rsidRPr="009446D8">
        <w:rPr>
          <w:i/>
          <w:iCs/>
        </w:rPr>
        <w:t>xgboost</w:t>
      </w:r>
      <w:proofErr w:type="spellEnd"/>
      <w:r>
        <w:t xml:space="preserve"> is an implementation of the </w:t>
      </w:r>
      <w:r w:rsidRPr="001D48C9">
        <w:t>boosted trees</w:t>
      </w:r>
      <w:r>
        <w:t xml:space="preserve"> method. </w:t>
      </w:r>
      <w:r w:rsidR="00D430AF">
        <w:t xml:space="preserve">Similar to </w:t>
      </w:r>
      <w:r w:rsidR="00D430AF" w:rsidRPr="009446D8">
        <w:rPr>
          <w:i/>
          <w:iCs/>
        </w:rPr>
        <w:t>Random Forest</w:t>
      </w:r>
      <w:r w:rsidR="00D430AF">
        <w:t xml:space="preserve"> it is an ensemble algorithm that relies on using multiple </w:t>
      </w:r>
      <w:r w:rsidR="00D430AF" w:rsidRPr="009446D8">
        <w:rPr>
          <w:i/>
          <w:iCs/>
        </w:rPr>
        <w:t>Decision Trees</w:t>
      </w:r>
      <w:r w:rsidR="00D430AF">
        <w:t xml:space="preserve"> as </w:t>
      </w:r>
      <w:r w:rsidR="00D430AF">
        <w:rPr>
          <w:i/>
          <w:iCs/>
        </w:rPr>
        <w:t xml:space="preserve">weak classifiers </w:t>
      </w:r>
      <w:r w:rsidR="00D430AF">
        <w:t>(with a predictive power marginally better than random classification)</w:t>
      </w:r>
      <w:r w:rsidR="00D430AF">
        <w:rPr>
          <w:i/>
          <w:iCs/>
        </w:rPr>
        <w:t xml:space="preserve"> </w:t>
      </w:r>
      <w:r w:rsidR="00D430AF">
        <w:t>to ultimately combine</w:t>
      </w:r>
      <w:r w:rsidR="001D48C9">
        <w:t xml:space="preserve"> them</w:t>
      </w:r>
      <w:r w:rsidR="00D430AF">
        <w:t xml:space="preserve"> into a </w:t>
      </w:r>
      <w:r w:rsidR="00D430AF">
        <w:rPr>
          <w:i/>
          <w:iCs/>
        </w:rPr>
        <w:t>strong</w:t>
      </w:r>
      <w:r w:rsidR="00833E68">
        <w:rPr>
          <w:i/>
          <w:iCs/>
        </w:rPr>
        <w:t xml:space="preserve"> ensemble</w:t>
      </w:r>
      <w:r w:rsidR="00D430AF">
        <w:rPr>
          <w:i/>
          <w:iCs/>
        </w:rPr>
        <w:t xml:space="preserve"> classifier </w:t>
      </w:r>
      <w:r w:rsidR="00D430AF" w:rsidRPr="00D430AF">
        <w:fldChar w:fldCharType="begin"/>
      </w:r>
      <w:r w:rsidR="00C069E4">
        <w:instrText xml:space="preserve"> ADDIN ZOTERO_ITEM CSL_CITATION {"citationID":"Y8Pj2UpP","properties":{"formattedCitation":"(Kuhn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D430AF" w:rsidRPr="00D430AF">
        <w:fldChar w:fldCharType="separate"/>
      </w:r>
      <w:r w:rsidR="00C069E4">
        <w:rPr>
          <w:noProof/>
        </w:rPr>
        <w:t>(Kuhn &amp; Johnson, 2013)</w:t>
      </w:r>
      <w:r w:rsidR="00D430AF" w:rsidRPr="00D430AF">
        <w:fldChar w:fldCharType="end"/>
      </w:r>
      <w:r w:rsidR="00D430AF" w:rsidRPr="00D430AF">
        <w:t>.</w:t>
      </w:r>
      <w:r w:rsidR="00D430AF">
        <w:t xml:space="preserve"> Despite this similarity in concept boosted trees algorithms do not grow independent trees in parallel, as </w:t>
      </w:r>
      <w:r w:rsidR="00D430AF" w:rsidRPr="009446D8">
        <w:rPr>
          <w:i/>
          <w:iCs/>
        </w:rPr>
        <w:t>Random Forest</w:t>
      </w:r>
      <w:r w:rsidR="00D430AF">
        <w:t xml:space="preserve"> does. Instead the </w:t>
      </w:r>
      <w:r w:rsidR="00D430AF" w:rsidRPr="009446D8">
        <w:rPr>
          <w:i/>
          <w:iCs/>
        </w:rPr>
        <w:t>Decision Trees</w:t>
      </w:r>
      <w:r w:rsidR="00D430AF">
        <w:t xml:space="preserve"> grown by boosted trees are fit sequentially with each subsequent tree attempting to minimize the loss of its preceding trees by placing more weights on their misclassified samples, u</w:t>
      </w:r>
      <w:r w:rsidR="00D430AF" w:rsidRPr="00D430AF">
        <w:t>pdat</w:t>
      </w:r>
      <w:r w:rsidR="00D430AF">
        <w:t>ing</w:t>
      </w:r>
      <w:r w:rsidR="00D430AF" w:rsidRPr="00D430AF">
        <w:t xml:space="preserve"> the predicted value</w:t>
      </w:r>
      <w:r w:rsidR="00D430AF">
        <w:t>s</w:t>
      </w:r>
      <w:r w:rsidR="00D430AF" w:rsidRPr="00D430AF">
        <w:t xml:space="preserve"> by adding the previous </w:t>
      </w:r>
      <w:r w:rsidR="00833E68">
        <w:t>tree’s</w:t>
      </w:r>
      <w:r w:rsidR="00D430AF" w:rsidRPr="00D430AF">
        <w:t xml:space="preserve"> predict</w:t>
      </w:r>
      <w:r w:rsidR="00833E68">
        <w:t xml:space="preserve">ions </w:t>
      </w:r>
      <w:r w:rsidR="00D430AF" w:rsidRPr="00D430AF">
        <w:t>to the predicted value</w:t>
      </w:r>
      <w:r w:rsidR="00833E68">
        <w:t xml:space="preserve">s of the current tree </w:t>
      </w:r>
      <w:r w:rsidR="00833E68">
        <w:fldChar w:fldCharType="begin"/>
      </w:r>
      <w:r w:rsidR="00C069E4">
        <w:instrText xml:space="preserve"> ADDIN ZOTERO_ITEM CSL_CITATION {"citationID":"Kwx5Kaxg","properties":{"formattedCitation":"(Kuhn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833E68">
        <w:fldChar w:fldCharType="separate"/>
      </w:r>
      <w:r w:rsidR="00C069E4">
        <w:rPr>
          <w:noProof/>
        </w:rPr>
        <w:t xml:space="preserve">(Kuhn &amp; Johnson, </w:t>
      </w:r>
      <w:r w:rsidR="00C069E4">
        <w:rPr>
          <w:noProof/>
        </w:rPr>
        <w:lastRenderedPageBreak/>
        <w:t>2013)</w:t>
      </w:r>
      <w:r w:rsidR="00833E68">
        <w:fldChar w:fldCharType="end"/>
      </w:r>
      <w:r w:rsidR="00833E68">
        <w:t xml:space="preserve">. This approach has been wildly successful </w:t>
      </w:r>
      <w:r w:rsidR="00475BC1">
        <w:t xml:space="preserve">and popular </w:t>
      </w:r>
      <w:r w:rsidR="00833E68">
        <w:t>in classification tasks</w:t>
      </w:r>
      <w:r w:rsidR="007D72A9">
        <w:t xml:space="preserve">, especially with the </w:t>
      </w:r>
      <w:proofErr w:type="spellStart"/>
      <w:r w:rsidR="007D72A9" w:rsidRPr="009446D8">
        <w:rPr>
          <w:i/>
          <w:iCs/>
        </w:rPr>
        <w:t>xgboost</w:t>
      </w:r>
      <w:proofErr w:type="spellEnd"/>
      <w:r w:rsidR="007D72A9">
        <w:t xml:space="preserve"> implementation that has taken gradient boosting to the extreme with parallelization, fast optimization and convergence and overall computational efficiency. </w:t>
      </w:r>
      <w:r w:rsidR="00475BC1">
        <w:t xml:space="preserve">Like </w:t>
      </w:r>
      <w:r w:rsidR="00475BC1" w:rsidRPr="009446D8">
        <w:rPr>
          <w:i/>
          <w:iCs/>
        </w:rPr>
        <w:t>Random Forest</w:t>
      </w:r>
      <w:r w:rsidR="00475BC1">
        <w:t xml:space="preserve"> </w:t>
      </w:r>
      <w:proofErr w:type="spellStart"/>
      <w:r w:rsidR="00475BC1" w:rsidRPr="009446D8">
        <w:rPr>
          <w:i/>
          <w:iCs/>
        </w:rPr>
        <w:t>xgboost</w:t>
      </w:r>
      <w:proofErr w:type="spellEnd"/>
      <w:r w:rsidR="00475BC1">
        <w:t xml:space="preserve"> also creates </w:t>
      </w:r>
      <w:r w:rsidR="00475BC1" w:rsidRPr="00475BC1">
        <w:rPr>
          <w:i/>
          <w:iCs/>
        </w:rPr>
        <w:t>weak classifiers</w:t>
      </w:r>
      <w:r w:rsidR="00475BC1">
        <w:t xml:space="preserve"> by limiting the access of </w:t>
      </w:r>
      <w:r w:rsidR="00475BC1" w:rsidRPr="009446D8">
        <w:rPr>
          <w:i/>
          <w:iCs/>
        </w:rPr>
        <w:t>Decision Trees</w:t>
      </w:r>
      <w:r w:rsidR="00475BC1">
        <w:t xml:space="preserve"> to training data, but unlike </w:t>
      </w:r>
      <w:r w:rsidR="00475BC1" w:rsidRPr="009446D8">
        <w:rPr>
          <w:i/>
          <w:iCs/>
        </w:rPr>
        <w:t>Random Forest</w:t>
      </w:r>
      <w:r w:rsidR="00475BC1">
        <w:t xml:space="preserve"> it does so by </w:t>
      </w:r>
      <w:r w:rsidR="00BE5A20">
        <w:t>sub</w:t>
      </w:r>
      <w:r w:rsidR="00475BC1">
        <w:t xml:space="preserve">sampling the number of samples accessible during each boosting iteration instead of bootstrapping predictor variables. </w:t>
      </w:r>
    </w:p>
    <w:p w14:paraId="70033159" w14:textId="061D4A38" w:rsidR="00F13088" w:rsidRDefault="00BE5A20" w:rsidP="0037615E">
      <w:r>
        <w:t xml:space="preserve">Like </w:t>
      </w:r>
      <w:r w:rsidRPr="009446D8">
        <w:rPr>
          <w:i/>
          <w:iCs/>
        </w:rPr>
        <w:t>Random Forest</w:t>
      </w:r>
      <w:r>
        <w:t xml:space="preserve">, </w:t>
      </w:r>
      <w:proofErr w:type="spellStart"/>
      <w:r w:rsidRPr="009446D8">
        <w:rPr>
          <w:i/>
          <w:iCs/>
        </w:rPr>
        <w:t>xgboost</w:t>
      </w:r>
      <w:proofErr w:type="spellEnd"/>
      <w:r>
        <w:t xml:space="preserve"> does not share the assumptions of logistic regression. Nevertheless, the same selection of variables is used to remove </w:t>
      </w:r>
      <w:r w:rsidR="00D030D1">
        <w:t>highly correlated</w:t>
      </w:r>
      <w:r>
        <w:t xml:space="preserve"> predictors from the training data and ensure reliable </w:t>
      </w:r>
      <w:r w:rsidRPr="00D030D1">
        <w:rPr>
          <w:i/>
          <w:iCs/>
        </w:rPr>
        <w:t>variable importance</w:t>
      </w:r>
      <w:r>
        <w:t xml:space="preserve"> scores. </w:t>
      </w:r>
      <w:r w:rsidR="00A73C42">
        <w:t xml:space="preserve">The pre-processing steps for </w:t>
      </w:r>
      <w:proofErr w:type="spellStart"/>
      <w:r w:rsidR="00A73C42" w:rsidRPr="009446D8">
        <w:rPr>
          <w:i/>
          <w:iCs/>
        </w:rPr>
        <w:t>xgboost</w:t>
      </w:r>
      <w:proofErr w:type="spellEnd"/>
      <w:r w:rsidR="00A73C42">
        <w:t xml:space="preserve"> are the same as for </w:t>
      </w:r>
      <w:r w:rsidR="00A73C42" w:rsidRPr="009446D8">
        <w:rPr>
          <w:i/>
          <w:iCs/>
        </w:rPr>
        <w:t>Random Forest</w:t>
      </w:r>
      <w:r w:rsidR="00A73C42">
        <w:t xml:space="preserve">, </w:t>
      </w:r>
      <w:proofErr w:type="gramStart"/>
      <w:r w:rsidR="00A73C42">
        <w:t>with the exception of</w:t>
      </w:r>
      <w:proofErr w:type="gramEnd"/>
      <w:r w:rsidR="00A73C42">
        <w:t xml:space="preserve"> one-hot encoding of categorical predictors being uniformly applied all models, due to the requirements of the implementation of </w:t>
      </w:r>
      <w:proofErr w:type="spellStart"/>
      <w:r w:rsidR="00A73C42" w:rsidRPr="009446D8">
        <w:rPr>
          <w:i/>
          <w:iCs/>
        </w:rPr>
        <w:t>xgboost</w:t>
      </w:r>
      <w:proofErr w:type="spellEnd"/>
      <w:r w:rsidR="00A73C42">
        <w:t xml:space="preserve">. </w:t>
      </w:r>
    </w:p>
    <w:p w14:paraId="4F535680" w14:textId="2D3DC76D" w:rsidR="00166924" w:rsidRDefault="00166924" w:rsidP="0037615E">
      <w:proofErr w:type="spellStart"/>
      <w:r w:rsidRPr="009446D8">
        <w:rPr>
          <w:i/>
          <w:iCs/>
        </w:rPr>
        <w:t>xgboost</w:t>
      </w:r>
      <w:proofErr w:type="spellEnd"/>
      <w:r>
        <w:t xml:space="preserve"> shares the hyperparameters of </w:t>
      </w:r>
      <w:r w:rsidRPr="009446D8">
        <w:rPr>
          <w:i/>
          <w:iCs/>
        </w:rPr>
        <w:t>Random Forest</w:t>
      </w:r>
      <w:r>
        <w:t xml:space="preserve"> </w:t>
      </w:r>
      <w:r w:rsidR="00644CF1">
        <w:t>(</w:t>
      </w:r>
      <w:r w:rsidR="00644CF1" w:rsidRPr="00644CF1">
        <w:rPr>
          <w:i/>
          <w:iCs/>
        </w:rPr>
        <w:t>trees</w:t>
      </w:r>
      <w:r w:rsidR="00644CF1">
        <w:t xml:space="preserve">, </w:t>
      </w:r>
      <w:proofErr w:type="spellStart"/>
      <w:r w:rsidR="00644CF1" w:rsidRPr="00644CF1">
        <w:rPr>
          <w:i/>
          <w:iCs/>
        </w:rPr>
        <w:t>min_n</w:t>
      </w:r>
      <w:proofErr w:type="spellEnd"/>
      <w:r w:rsidR="00644CF1">
        <w:t xml:space="preserve"> &amp; </w:t>
      </w:r>
      <w:proofErr w:type="spellStart"/>
      <w:r w:rsidR="00644CF1" w:rsidRPr="00644CF1">
        <w:rPr>
          <w:i/>
          <w:iCs/>
        </w:rPr>
        <w:t>mtry</w:t>
      </w:r>
      <w:proofErr w:type="spellEnd"/>
      <w:r w:rsidR="00644CF1">
        <w:t xml:space="preserve">) </w:t>
      </w:r>
      <w:r>
        <w:t>and additionally offers tuning the depth of each tree in the ensemble</w:t>
      </w:r>
      <w:r w:rsidR="00D030D1">
        <w:t xml:space="preserve"> </w:t>
      </w:r>
      <w:r w:rsidR="00644CF1">
        <w:t xml:space="preserve">by setting the </w:t>
      </w:r>
      <w:r w:rsidR="00D030D1">
        <w:t xml:space="preserve">maximum number of </w:t>
      </w:r>
      <w:r w:rsidR="00644CF1">
        <w:t xml:space="preserve">possible </w:t>
      </w:r>
      <w:r w:rsidR="00D030D1">
        <w:t>splits</w:t>
      </w:r>
      <w:r w:rsidR="00644CF1">
        <w:t xml:space="preserve"> (</w:t>
      </w:r>
      <w:proofErr w:type="spellStart"/>
      <w:r w:rsidR="00644CF1">
        <w:rPr>
          <w:i/>
          <w:iCs/>
        </w:rPr>
        <w:t>tree_depth</w:t>
      </w:r>
      <w:proofErr w:type="spellEnd"/>
      <w:r w:rsidR="00644CF1">
        <w:t>)</w:t>
      </w:r>
      <w:r>
        <w:t>, the reduction in the loss function</w:t>
      </w:r>
      <w:r w:rsidR="00D030D1">
        <w:t xml:space="preserve"> required</w:t>
      </w:r>
      <w:r>
        <w:t xml:space="preserve"> for further splits</w:t>
      </w:r>
      <w:r w:rsidR="00644CF1">
        <w:t xml:space="preserve"> (</w:t>
      </w:r>
      <w:proofErr w:type="spellStart"/>
      <w:r w:rsidR="00644CF1" w:rsidRPr="00644CF1">
        <w:rPr>
          <w:i/>
          <w:iCs/>
        </w:rPr>
        <w:t>loss_reduction</w:t>
      </w:r>
      <w:proofErr w:type="spellEnd"/>
      <w:r w:rsidR="00644CF1">
        <w:t>)</w:t>
      </w:r>
      <w:r>
        <w:t>,</w:t>
      </w:r>
      <w:r w:rsidR="00644CF1">
        <w:t xml:space="preserve"> regulariz</w:t>
      </w:r>
      <w:r w:rsidR="00D63B6E">
        <w:t>ation of</w:t>
      </w:r>
      <w:r w:rsidR="00644CF1">
        <w:t xml:space="preserve"> the individual decision trees by weighting</w:t>
      </w:r>
      <w:r>
        <w:t xml:space="preserve"> </w:t>
      </w:r>
      <w:r w:rsidR="00644CF1">
        <w:t>the corrections made by each subsequent tree</w:t>
      </w:r>
      <w:r w:rsidR="00D63B6E">
        <w:t xml:space="preserve"> (</w:t>
      </w:r>
      <w:proofErr w:type="spellStart"/>
      <w:r w:rsidR="00D63B6E" w:rsidRPr="00D63B6E">
        <w:rPr>
          <w:i/>
          <w:iCs/>
        </w:rPr>
        <w:t>learning_rate</w:t>
      </w:r>
      <w:proofErr w:type="spellEnd"/>
      <w:r w:rsidR="00D63B6E">
        <w:t xml:space="preserve">), </w:t>
      </w:r>
      <w:r>
        <w:t>as well as the sample size of the data used for modeling within each boosting iteration</w:t>
      </w:r>
      <w:r w:rsidR="00644CF1">
        <w:t xml:space="preserve"> (</w:t>
      </w:r>
      <w:proofErr w:type="spellStart"/>
      <w:r w:rsidR="00644CF1" w:rsidRPr="00644CF1">
        <w:rPr>
          <w:i/>
          <w:iCs/>
        </w:rPr>
        <w:t>sample_size</w:t>
      </w:r>
      <w:proofErr w:type="spellEnd"/>
      <w:r w:rsidR="00644CF1">
        <w:t>)</w:t>
      </w:r>
      <w:r>
        <w:t xml:space="preserve">. During hyperparameter tuning all of these are tuned using grid-search, except for the number of trees grown, due to the high computational cost associated with large </w:t>
      </w:r>
      <w:r w:rsidR="00D030D1">
        <w:t xml:space="preserve">ensembles of trees. </w:t>
      </w:r>
    </w:p>
    <w:p w14:paraId="31637EC7" w14:textId="3CECF44E" w:rsidR="003D63AF" w:rsidRPr="003D63AF" w:rsidRDefault="00DC4308" w:rsidP="0037615E">
      <w:pPr>
        <w:pStyle w:val="berschrift2"/>
        <w:numPr>
          <w:ilvl w:val="1"/>
          <w:numId w:val="3"/>
        </w:numPr>
      </w:pPr>
      <w:r>
        <w:t>Evaluation</w:t>
      </w:r>
      <w:r w:rsidR="00DC1445">
        <w:t xml:space="preserve"> </w:t>
      </w:r>
    </w:p>
    <w:p w14:paraId="1A5E1F34" w14:textId="05409E89" w:rsidR="0074607E" w:rsidRDefault="007F1898" w:rsidP="0037615E">
      <w:r>
        <w:t>Due to the heavy imbalances in the data set</w:t>
      </w:r>
      <w:r w:rsidR="008B2F33">
        <w:t>’</w:t>
      </w:r>
      <w:r>
        <w:t xml:space="preserve">s target variable special precautions must be taken </w:t>
      </w:r>
      <w:proofErr w:type="gramStart"/>
      <w:r>
        <w:t>in order to</w:t>
      </w:r>
      <w:proofErr w:type="gramEnd"/>
      <w:r>
        <w:t xml:space="preserve"> evaluate the estimated models properly. </w:t>
      </w:r>
      <w:r w:rsidR="0074607E">
        <w:t xml:space="preserve">Since the models used in this study don’t directly predict classes, but class probabilities, the </w:t>
      </w:r>
      <w:r w:rsidR="0074607E">
        <w:rPr>
          <w:i/>
          <w:iCs/>
        </w:rPr>
        <w:t xml:space="preserve">Receiver Operator Characteristic </w:t>
      </w:r>
      <w:r w:rsidR="0074607E">
        <w:t xml:space="preserve">(ROC) curve </w:t>
      </w:r>
      <w:r w:rsidR="0074607E">
        <w:t xml:space="preserve">is </w:t>
      </w:r>
      <w:r w:rsidR="0074607E">
        <w:t xml:space="preserve">used to evaluate the ideal probability thresholds separating events from non-events </w:t>
      </w:r>
      <w:r w:rsidR="0074607E">
        <w:fldChar w:fldCharType="begin"/>
      </w:r>
      <w:r w:rsidR="0074607E">
        <w:instrText xml:space="preserve"> ADDIN ZOTERO_ITEM CSL_CITATION {"citationID":"4URml9Cw","properties":{"formattedCitation":"(Kuhn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74607E">
        <w:fldChar w:fldCharType="separate"/>
      </w:r>
      <w:r w:rsidR="0074607E">
        <w:rPr>
          <w:noProof/>
        </w:rPr>
        <w:t>(Kuhn &amp; Johnson, 2013)</w:t>
      </w:r>
      <w:r w:rsidR="0074607E">
        <w:fldChar w:fldCharType="end"/>
      </w:r>
      <w:r w:rsidR="0074607E">
        <w:t>. ROC-</w:t>
      </w:r>
      <w:r w:rsidR="0074607E">
        <w:lastRenderedPageBreak/>
        <w:t xml:space="preserve">curves for all model fits are displayed in the appendix. </w:t>
      </w:r>
      <w:proofErr w:type="gramStart"/>
      <w:r w:rsidR="0074607E">
        <w:t>Similar to</w:t>
      </w:r>
      <w:proofErr w:type="gramEnd"/>
      <w:r w:rsidR="0074607E">
        <w:t xml:space="preserve"> previous studies that use predictive modeling to predict wildfire ignition risk I use </w:t>
      </w:r>
      <w:r w:rsidR="00495AA2">
        <w:t>t</w:t>
      </w:r>
      <w:r w:rsidR="00495AA2">
        <w:t xml:space="preserve">he </w:t>
      </w:r>
      <w:r w:rsidR="00495AA2" w:rsidRPr="00A17D80">
        <w:rPr>
          <w:i/>
          <w:iCs/>
        </w:rPr>
        <w:t>Area under the curve</w:t>
      </w:r>
      <w:r w:rsidR="00495AA2">
        <w:rPr>
          <w:i/>
          <w:iCs/>
        </w:rPr>
        <w:t xml:space="preserve"> </w:t>
      </w:r>
      <w:r w:rsidR="00495AA2">
        <w:t>(AUC)</w:t>
      </w:r>
      <w:r w:rsidR="00495AA2">
        <w:t xml:space="preserve"> of ROC-curves as the primary metric for evaluation. </w:t>
      </w:r>
    </w:p>
    <w:p w14:paraId="313C4FCF" w14:textId="165BCF3C" w:rsidR="00D43BD9" w:rsidRDefault="00495AA2" w:rsidP="0037615E">
      <w:r w:rsidRPr="0030032E">
        <w:rPr>
          <w:i/>
          <w:iCs/>
        </w:rPr>
        <w:t>Accuracy</w:t>
      </w:r>
      <w:r>
        <w:t xml:space="preserve"> is disregarded as a </w:t>
      </w:r>
      <w:r>
        <w:t xml:space="preserve">primary </w:t>
      </w:r>
      <w:r>
        <w:t>metric for evaluating model quality, as models can achieve very high accuracy scores when predicting imbalanced data if all testing samples are blindly predicted to belong to the majority class.</w:t>
      </w:r>
      <w:r>
        <w:t xml:space="preserve"> </w:t>
      </w:r>
      <w:r w:rsidR="008B2F33">
        <w:t xml:space="preserve">In these </w:t>
      </w:r>
      <w:r w:rsidR="00461476">
        <w:t>cases,</w:t>
      </w:r>
      <w:r w:rsidR="008B2F33">
        <w:t xml:space="preserve"> the </w:t>
      </w:r>
      <w:r w:rsidR="008B2F33">
        <w:rPr>
          <w:i/>
          <w:iCs/>
        </w:rPr>
        <w:t>F-measure</w:t>
      </w:r>
      <w:r w:rsidR="008B2F33">
        <w:t xml:space="preserve">, defined as the harmonic mean between </w:t>
      </w:r>
      <w:r w:rsidR="008B2F33" w:rsidRPr="008B2F33">
        <w:rPr>
          <w:i/>
          <w:iCs/>
        </w:rPr>
        <w:t>recall</w:t>
      </w:r>
      <w:r w:rsidR="008B2F33">
        <w:t xml:space="preserve"> and </w:t>
      </w:r>
      <w:r w:rsidR="008B2F33">
        <w:rPr>
          <w:i/>
          <w:iCs/>
        </w:rPr>
        <w:t>precision</w:t>
      </w:r>
      <w:r w:rsidR="008B2F33">
        <w:t xml:space="preserve">, is a more reliable score due to taking both the true positive rate as well as the reliability of positive predictions into account. The </w:t>
      </w:r>
      <w:r w:rsidR="008B2F33">
        <w:rPr>
          <w:i/>
          <w:iCs/>
        </w:rPr>
        <w:t xml:space="preserve">F-measure </w:t>
      </w:r>
      <w:r w:rsidR="008B2F33" w:rsidRPr="008B2F33">
        <w:t>is defined as follows</w:t>
      </w:r>
      <w:r w:rsidR="00461476">
        <w:t xml:space="preserve">, where </w:t>
      </w:r>
      <w:r w:rsidR="00461476" w:rsidRPr="00461476">
        <w:rPr>
          <w:i/>
          <w:iCs/>
        </w:rPr>
        <w:t>TP</w:t>
      </w:r>
      <w:r w:rsidR="00461476">
        <w:t xml:space="preserve"> denotes true positives, </w:t>
      </w:r>
      <w:r w:rsidR="00461476" w:rsidRPr="00461476">
        <w:rPr>
          <w:i/>
          <w:iCs/>
        </w:rPr>
        <w:t>FP</w:t>
      </w:r>
      <w:r w:rsidR="00461476">
        <w:t xml:space="preserve"> denotes false positives and </w:t>
      </w:r>
      <w:r w:rsidR="00461476" w:rsidRPr="00461476">
        <w:rPr>
          <w:i/>
          <w:iCs/>
        </w:rPr>
        <w:t>FN</w:t>
      </w:r>
      <w:r w:rsidR="00461476">
        <w:t xml:space="preserve"> denotes false negatives</w:t>
      </w:r>
      <w:r w:rsidR="00800615">
        <w:t>:</w:t>
      </w:r>
    </w:p>
    <w:p w14:paraId="54A1C508" w14:textId="77777777" w:rsidR="00CA48B8" w:rsidRDefault="00D1739F" w:rsidP="00CA48B8">
      <w:pPr>
        <w:keepNext/>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r>
                <m:rPr>
                  <m:sty m:val="p"/>
                </m:rPr>
                <w:rPr>
                  <w:rFonts w:ascii="Cambria Math" w:hAnsi="Cambria Math"/>
                </w:rPr>
                <m:t>)</m:t>
              </m:r>
            </m:den>
          </m:f>
          <m:r>
            <m:rPr>
              <m:sty m:val="p"/>
            </m:rPr>
            <w:rPr>
              <w:rFonts w:ascii="Cambria Math" w:hAnsi="Cambria Math"/>
            </w:rPr>
            <m:t>=2∙</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r>
            <m:rPr>
              <m:sty m:val="p"/>
            </m:rPr>
            <w:rPr>
              <w:rFonts w:ascii="Cambria Math" w:hAnsi="Cambria Math"/>
            </w:rPr>
            <m:t xml:space="preserve"> </m:t>
          </m:r>
        </m:oMath>
      </m:oMathPara>
    </w:p>
    <w:p w14:paraId="7BB9755C" w14:textId="1B7B29FF" w:rsidR="008B2F33" w:rsidRPr="00461476" w:rsidRDefault="00CA48B8" w:rsidP="00CA48B8">
      <w:pPr>
        <w:pStyle w:val="Beschriftung"/>
        <w:jc w:val="center"/>
      </w:pPr>
      <w:r>
        <w:t xml:space="preserve">Equation </w:t>
      </w:r>
      <w:fldSimple w:instr=" SEQ Equation \* ARABIC ">
        <w:r>
          <w:rPr>
            <w:noProof/>
          </w:rPr>
          <w:t>2</w:t>
        </w:r>
      </w:fldSimple>
      <w:r>
        <w:t>: Computation of the F-measure</w:t>
      </w:r>
    </w:p>
    <w:p w14:paraId="110BF411" w14:textId="4D17CAFF" w:rsidR="00461476" w:rsidRPr="0037615E" w:rsidRDefault="00456F55" w:rsidP="0037615E">
      <w:r w:rsidRPr="0037615E">
        <w:t xml:space="preserve">Additionally, not only the imbalance between the classes in the target variable are to be considered, but also their associated </w:t>
      </w:r>
      <w:r w:rsidR="00740293" w:rsidRPr="0037615E">
        <w:t xml:space="preserve">classification </w:t>
      </w:r>
      <w:r w:rsidRPr="0037615E">
        <w:t xml:space="preserve">cost. </w:t>
      </w:r>
      <w:r w:rsidR="00577210" w:rsidRPr="0037615E">
        <w:t xml:space="preserve">There is a higher cost associated with misclassifying wildfire ignitions as non-events than predicting a high probability for wildfire occurrence when in truth no fire ignition took place. This circumstance can be built into model evaluation by weighting misclassifications in such a way that false negatives are penalized more heavily than false positives. I implement such a metric by customizing the </w:t>
      </w:r>
      <w:r w:rsidR="00577210" w:rsidRPr="0030032E">
        <w:rPr>
          <w:i/>
          <w:iCs/>
        </w:rPr>
        <w:t xml:space="preserve">classification cost </w:t>
      </w:r>
      <w:r w:rsidR="00577210" w:rsidRPr="0037615E">
        <w:t xml:space="preserve">function with a cost matrix that penalizes false negatives twice as much as false positives. </w:t>
      </w:r>
    </w:p>
    <w:p w14:paraId="3FEED370" w14:textId="02CBE77A" w:rsidR="00577210" w:rsidRDefault="00722642" w:rsidP="00C84C04">
      <w:r>
        <w:t>ROC-AUC is used for evaluating both the estimated models and the hyperparameter combinations during tuning</w:t>
      </w:r>
      <w:r w:rsidR="0030032E">
        <w:t xml:space="preserve"> that </w:t>
      </w:r>
      <w:r>
        <w:t>maximiz</w:t>
      </w:r>
      <w:r w:rsidR="0030032E">
        <w:t xml:space="preserve">e </w:t>
      </w:r>
      <w:r>
        <w:t xml:space="preserve">predictive power. </w:t>
      </w:r>
      <w:r>
        <w:t xml:space="preserve">The </w:t>
      </w:r>
      <w:r w:rsidRPr="00B646DC">
        <w:rPr>
          <w:i/>
          <w:iCs/>
        </w:rPr>
        <w:t>F-measure</w:t>
      </w:r>
      <w:r>
        <w:t xml:space="preserve"> </w:t>
      </w:r>
      <w:r w:rsidR="00A17D80">
        <w:t xml:space="preserve">is also listed </w:t>
      </w:r>
      <w:r>
        <w:t xml:space="preserve">among the </w:t>
      </w:r>
      <w:r w:rsidR="00A17D80">
        <w:t xml:space="preserve">performance metrics for all model fits, </w:t>
      </w:r>
      <w:r w:rsidR="00B646DC">
        <w:t>along with</w:t>
      </w:r>
      <w:r>
        <w:t xml:space="preserve"> its </w:t>
      </w:r>
      <w:proofErr w:type="gramStart"/>
      <w:r>
        <w:t>components</w:t>
      </w:r>
      <w:proofErr w:type="gramEnd"/>
      <w:r>
        <w:t xml:space="preserve"> </w:t>
      </w:r>
      <w:r w:rsidRPr="00722642">
        <w:rPr>
          <w:i/>
          <w:iCs/>
        </w:rPr>
        <w:t>precision</w:t>
      </w:r>
      <w:r>
        <w:t xml:space="preserve"> and </w:t>
      </w:r>
      <w:r w:rsidRPr="00722642">
        <w:rPr>
          <w:i/>
          <w:iCs/>
        </w:rPr>
        <w:t>recall</w:t>
      </w:r>
      <w:r>
        <w:t xml:space="preserve">, </w:t>
      </w:r>
      <w:r w:rsidR="00C84C04">
        <w:t xml:space="preserve">as well as </w:t>
      </w:r>
      <w:r>
        <w:t xml:space="preserve">the </w:t>
      </w:r>
      <w:r w:rsidRPr="00722642">
        <w:rPr>
          <w:i/>
          <w:iCs/>
        </w:rPr>
        <w:t>penalized classification cost</w:t>
      </w:r>
      <w:r>
        <w:t xml:space="preserve"> and </w:t>
      </w:r>
      <w:r w:rsidRPr="0030032E">
        <w:rPr>
          <w:i/>
          <w:iCs/>
        </w:rPr>
        <w:t>accuracy</w:t>
      </w:r>
      <w:r w:rsidR="00B646DC">
        <w:t>.</w:t>
      </w:r>
      <w:r w:rsidR="00E307E1">
        <w:t xml:space="preserve"> </w:t>
      </w:r>
      <w:r w:rsidR="00C84C04">
        <w:t xml:space="preserve">The </w:t>
      </w:r>
      <w:r w:rsidR="007015AF">
        <w:t>p</w:t>
      </w:r>
      <w:r w:rsidR="004301DE">
        <w:t xml:space="preserve">erformance of </w:t>
      </w:r>
      <w:r w:rsidR="00C84C04">
        <w:t xml:space="preserve">the best </w:t>
      </w:r>
      <w:r w:rsidR="007015AF">
        <w:t xml:space="preserve">estimated </w:t>
      </w:r>
      <w:r w:rsidR="004301DE">
        <w:t xml:space="preserve">models is also visually </w:t>
      </w:r>
      <w:r w:rsidR="004301DE">
        <w:lastRenderedPageBreak/>
        <w:t>represented with confusion matrices, displaying a cross-tabulation of the predicted and observed classes</w:t>
      </w:r>
      <w:r w:rsidR="007015AF">
        <w:t>.</w:t>
      </w:r>
      <w:r w:rsidR="004301DE">
        <w:t xml:space="preserve"> </w:t>
      </w:r>
      <w:r w:rsidR="00C84C04">
        <w:t>The complete collection of ROC-curves and confusion matrices can be found in the appendix.</w:t>
      </w:r>
    </w:p>
    <w:p w14:paraId="7A46F0C7" w14:textId="696528EE" w:rsidR="0001285C" w:rsidRDefault="0001285C" w:rsidP="0037615E">
      <w:pPr>
        <w:pStyle w:val="berschrift1"/>
        <w:numPr>
          <w:ilvl w:val="0"/>
          <w:numId w:val="3"/>
        </w:numPr>
      </w:pPr>
      <w:r>
        <w:t>Results</w:t>
      </w:r>
    </w:p>
    <w:p w14:paraId="68E00F12" w14:textId="4AD8157B" w:rsidR="003D63AF" w:rsidRDefault="003904BC" w:rsidP="0037615E">
      <w:r>
        <w:t xml:space="preserve">After the described data preparation steps, TABLE X shows the final selection of predictor variables used for modeling. All models are </w:t>
      </w:r>
      <w:r w:rsidR="00F54118">
        <w:t>estimated</w:t>
      </w:r>
      <w:r>
        <w:t xml:space="preserve"> based on this data set. </w:t>
      </w:r>
      <w:r w:rsidR="00A7281B">
        <w:t>Recall</w:t>
      </w:r>
      <w:r w:rsidR="006E069A">
        <w:t xml:space="preserve"> that the data was split into training and testing subsets based on the year instead of random sampling. </w:t>
      </w:r>
    </w:p>
    <w:p w14:paraId="60A4D3E2" w14:textId="3DB929F5" w:rsidR="0096536A" w:rsidRPr="0096536A" w:rsidRDefault="0096536A" w:rsidP="0037615E">
      <w:pPr>
        <w:pStyle w:val="berschrift2"/>
        <w:numPr>
          <w:ilvl w:val="1"/>
          <w:numId w:val="3"/>
        </w:numPr>
      </w:pPr>
      <w:r>
        <w:t xml:space="preserve">Resampling </w:t>
      </w:r>
    </w:p>
    <w:tbl>
      <w:tblPr>
        <w:tblStyle w:val="Gitternetztabelle7farbigAkzent1"/>
        <w:tblW w:w="0" w:type="auto"/>
        <w:tblLook w:val="04A0" w:firstRow="1" w:lastRow="0" w:firstColumn="1" w:lastColumn="0" w:noHBand="0" w:noVBand="1"/>
      </w:tblPr>
      <w:tblGrid>
        <w:gridCol w:w="1982"/>
        <w:gridCol w:w="1308"/>
        <w:gridCol w:w="1087"/>
        <w:gridCol w:w="1266"/>
        <w:gridCol w:w="1045"/>
        <w:gridCol w:w="1300"/>
        <w:gridCol w:w="1078"/>
      </w:tblGrid>
      <w:tr w:rsidR="003639DF" w:rsidRPr="00EC647D" w14:paraId="0304F879" w14:textId="77777777" w:rsidTr="00363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4" w:type="dxa"/>
          </w:tcPr>
          <w:p w14:paraId="539BE5BC" w14:textId="77777777" w:rsidR="00D91F46" w:rsidRPr="00EC647D" w:rsidRDefault="00D91F46" w:rsidP="0037615E">
            <w:proofErr w:type="gramStart"/>
            <w:r w:rsidRPr="00EC647D">
              <w:t>.metric</w:t>
            </w:r>
            <w:proofErr w:type="gramEnd"/>
          </w:p>
        </w:tc>
        <w:tc>
          <w:tcPr>
            <w:tcW w:w="2060" w:type="dxa"/>
          </w:tcPr>
          <w:p w14:paraId="1EC94586" w14:textId="77777777" w:rsidR="00D91F46" w:rsidRPr="00EC647D" w:rsidRDefault="00D91F46" w:rsidP="0037615E">
            <w:pPr>
              <w:cnfStyle w:val="100000000000" w:firstRow="1" w:lastRow="0" w:firstColumn="0" w:lastColumn="0" w:oddVBand="0" w:evenVBand="0" w:oddHBand="0" w:evenHBand="0" w:firstRowFirstColumn="0" w:firstRowLastColumn="0" w:lastRowFirstColumn="0" w:lastRowLastColumn="0"/>
            </w:pPr>
            <w:r w:rsidRPr="00EC647D">
              <w:t>GLM (down)</w:t>
            </w:r>
          </w:p>
        </w:tc>
        <w:tc>
          <w:tcPr>
            <w:tcW w:w="1818" w:type="dxa"/>
          </w:tcPr>
          <w:p w14:paraId="2A7CF28F" w14:textId="415FA3EA" w:rsidR="00D91F46" w:rsidRPr="00EC647D" w:rsidRDefault="00D91F46" w:rsidP="0037615E">
            <w:pPr>
              <w:cnfStyle w:val="100000000000" w:firstRow="1" w:lastRow="0" w:firstColumn="0" w:lastColumn="0" w:oddVBand="0" w:evenVBand="0" w:oddHBand="0" w:evenHBand="0" w:firstRowFirstColumn="0" w:firstRowLastColumn="0" w:lastRowFirstColumn="0" w:lastRowLastColumn="0"/>
            </w:pPr>
            <w:r w:rsidRPr="00EC647D">
              <w:t xml:space="preserve">GLM </w:t>
            </w:r>
            <w:r w:rsidR="002A7792">
              <w:br/>
            </w:r>
            <w:r w:rsidRPr="00EC647D">
              <w:t>(up)</w:t>
            </w:r>
          </w:p>
        </w:tc>
        <w:tc>
          <w:tcPr>
            <w:tcW w:w="1898" w:type="dxa"/>
          </w:tcPr>
          <w:p w14:paraId="1672195D" w14:textId="0D202D8A" w:rsidR="00D91F46" w:rsidRPr="00EC647D" w:rsidRDefault="00D91F46" w:rsidP="0037615E">
            <w:pPr>
              <w:cnfStyle w:val="100000000000" w:firstRow="1" w:lastRow="0" w:firstColumn="0" w:lastColumn="0" w:oddVBand="0" w:evenVBand="0" w:oddHBand="0" w:evenHBand="0" w:firstRowFirstColumn="0" w:firstRowLastColumn="0" w:lastRowFirstColumn="0" w:lastRowLastColumn="0"/>
            </w:pPr>
            <w:r w:rsidRPr="00EC647D">
              <w:t xml:space="preserve">RF </w:t>
            </w:r>
            <w:r w:rsidR="002A7792">
              <w:br/>
            </w:r>
            <w:r w:rsidRPr="00EC647D">
              <w:t>(down)</w:t>
            </w:r>
          </w:p>
        </w:tc>
        <w:tc>
          <w:tcPr>
            <w:tcW w:w="1657" w:type="dxa"/>
          </w:tcPr>
          <w:p w14:paraId="3243CE37" w14:textId="119E1D1C" w:rsidR="00D91F46" w:rsidRPr="00EC647D" w:rsidRDefault="00D91F46" w:rsidP="0037615E">
            <w:pPr>
              <w:cnfStyle w:val="100000000000" w:firstRow="1" w:lastRow="0" w:firstColumn="0" w:lastColumn="0" w:oddVBand="0" w:evenVBand="0" w:oddHBand="0" w:evenHBand="0" w:firstRowFirstColumn="0" w:firstRowLastColumn="0" w:lastRowFirstColumn="0" w:lastRowLastColumn="0"/>
            </w:pPr>
            <w:r w:rsidRPr="00EC647D">
              <w:t xml:space="preserve">RF </w:t>
            </w:r>
            <w:r w:rsidR="003639DF" w:rsidRPr="00EC647D">
              <w:br/>
            </w:r>
            <w:r w:rsidRPr="00EC647D">
              <w:t>(up)</w:t>
            </w:r>
          </w:p>
        </w:tc>
        <w:tc>
          <w:tcPr>
            <w:tcW w:w="2027" w:type="dxa"/>
          </w:tcPr>
          <w:p w14:paraId="6E4AEE1E" w14:textId="77777777" w:rsidR="00D91F46" w:rsidRPr="00EC647D" w:rsidRDefault="00D91F46" w:rsidP="0037615E">
            <w:pPr>
              <w:cnfStyle w:val="100000000000" w:firstRow="1" w:lastRow="0" w:firstColumn="0" w:lastColumn="0" w:oddVBand="0" w:evenVBand="0" w:oddHBand="0" w:evenHBand="0" w:firstRowFirstColumn="0" w:firstRowLastColumn="0" w:lastRowFirstColumn="0" w:lastRowLastColumn="0"/>
            </w:pPr>
            <w:r w:rsidRPr="00EC647D">
              <w:t>XGB (down)</w:t>
            </w:r>
          </w:p>
        </w:tc>
        <w:tc>
          <w:tcPr>
            <w:tcW w:w="1785" w:type="dxa"/>
          </w:tcPr>
          <w:p w14:paraId="4B9DE271" w14:textId="267FBF55" w:rsidR="00D91F46" w:rsidRPr="00EC647D" w:rsidRDefault="00D91F46" w:rsidP="0037615E">
            <w:pPr>
              <w:cnfStyle w:val="100000000000" w:firstRow="1" w:lastRow="0" w:firstColumn="0" w:lastColumn="0" w:oddVBand="0" w:evenVBand="0" w:oddHBand="0" w:evenHBand="0" w:firstRowFirstColumn="0" w:firstRowLastColumn="0" w:lastRowFirstColumn="0" w:lastRowLastColumn="0"/>
            </w:pPr>
            <w:r w:rsidRPr="00EC647D">
              <w:t xml:space="preserve">XGB </w:t>
            </w:r>
            <w:r w:rsidR="002A7792">
              <w:br/>
            </w:r>
            <w:r w:rsidRPr="00EC647D">
              <w:t>(up)</w:t>
            </w:r>
          </w:p>
        </w:tc>
      </w:tr>
      <w:tr w:rsidR="003639DF" w:rsidRPr="00EC647D" w14:paraId="2BF697F2" w14:textId="77777777" w:rsidTr="005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70BCF140" w14:textId="77777777" w:rsidR="00D91F46" w:rsidRPr="00EC647D" w:rsidRDefault="00D91F46" w:rsidP="0037615E">
            <w:r w:rsidRPr="00EC647D">
              <w:t>accuracy</w:t>
            </w:r>
          </w:p>
        </w:tc>
        <w:tc>
          <w:tcPr>
            <w:tcW w:w="2060" w:type="dxa"/>
            <w:shd w:val="clear" w:color="auto" w:fill="auto"/>
          </w:tcPr>
          <w:p w14:paraId="1B802668"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0.77</w:t>
            </w:r>
          </w:p>
        </w:tc>
        <w:tc>
          <w:tcPr>
            <w:tcW w:w="1818" w:type="dxa"/>
            <w:shd w:val="clear" w:color="auto" w:fill="auto"/>
          </w:tcPr>
          <w:p w14:paraId="1E4E1B75"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0.719</w:t>
            </w:r>
          </w:p>
        </w:tc>
        <w:tc>
          <w:tcPr>
            <w:tcW w:w="1898" w:type="dxa"/>
            <w:shd w:val="clear" w:color="auto" w:fill="auto"/>
          </w:tcPr>
          <w:p w14:paraId="35800968"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0.873</w:t>
            </w:r>
          </w:p>
        </w:tc>
        <w:tc>
          <w:tcPr>
            <w:tcW w:w="1657" w:type="dxa"/>
            <w:shd w:val="clear" w:color="auto" w:fill="auto"/>
          </w:tcPr>
          <w:p w14:paraId="0BF5B393"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0.986</w:t>
            </w:r>
          </w:p>
        </w:tc>
        <w:tc>
          <w:tcPr>
            <w:tcW w:w="2027" w:type="dxa"/>
            <w:shd w:val="clear" w:color="auto" w:fill="auto"/>
          </w:tcPr>
          <w:p w14:paraId="6BF6CB3E"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0.827</w:t>
            </w:r>
          </w:p>
        </w:tc>
        <w:tc>
          <w:tcPr>
            <w:tcW w:w="1785" w:type="dxa"/>
            <w:shd w:val="clear" w:color="auto" w:fill="auto"/>
          </w:tcPr>
          <w:p w14:paraId="75DFF63E"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0.904</w:t>
            </w:r>
          </w:p>
        </w:tc>
      </w:tr>
      <w:tr w:rsidR="00D91F46" w:rsidRPr="00EC647D" w14:paraId="619942FA" w14:textId="77777777" w:rsidTr="00503996">
        <w:tc>
          <w:tcPr>
            <w:cnfStyle w:val="001000000000" w:firstRow="0" w:lastRow="0" w:firstColumn="1" w:lastColumn="0" w:oddVBand="0" w:evenVBand="0" w:oddHBand="0" w:evenHBand="0" w:firstRowFirstColumn="0" w:firstRowLastColumn="0" w:lastRowFirstColumn="0" w:lastRowLastColumn="0"/>
            <w:tcW w:w="3034" w:type="dxa"/>
          </w:tcPr>
          <w:p w14:paraId="2E2FD64A" w14:textId="77777777" w:rsidR="00D91F46" w:rsidRPr="00EC647D" w:rsidRDefault="00D91F46" w:rsidP="0037615E">
            <w:r w:rsidRPr="00EC647D">
              <w:t>Classification cost</w:t>
            </w:r>
          </w:p>
        </w:tc>
        <w:tc>
          <w:tcPr>
            <w:tcW w:w="2060" w:type="dxa"/>
            <w:shd w:val="clear" w:color="auto" w:fill="auto"/>
          </w:tcPr>
          <w:p w14:paraId="7C3C9146"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0.276</w:t>
            </w:r>
          </w:p>
        </w:tc>
        <w:tc>
          <w:tcPr>
            <w:tcW w:w="1818" w:type="dxa"/>
            <w:shd w:val="clear" w:color="auto" w:fill="auto"/>
          </w:tcPr>
          <w:p w14:paraId="3A9E13B4"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0.307</w:t>
            </w:r>
          </w:p>
        </w:tc>
        <w:tc>
          <w:tcPr>
            <w:tcW w:w="1898" w:type="dxa"/>
            <w:shd w:val="clear" w:color="auto" w:fill="auto"/>
          </w:tcPr>
          <w:p w14:paraId="5D66C22C"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0.234</w:t>
            </w:r>
          </w:p>
        </w:tc>
        <w:tc>
          <w:tcPr>
            <w:tcW w:w="1657" w:type="dxa"/>
            <w:shd w:val="clear" w:color="auto" w:fill="auto"/>
          </w:tcPr>
          <w:p w14:paraId="4A33ED66"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0.047</w:t>
            </w:r>
          </w:p>
        </w:tc>
        <w:tc>
          <w:tcPr>
            <w:tcW w:w="2027" w:type="dxa"/>
            <w:shd w:val="clear" w:color="auto" w:fill="auto"/>
          </w:tcPr>
          <w:p w14:paraId="45272C9C"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0.234</w:t>
            </w:r>
          </w:p>
        </w:tc>
        <w:tc>
          <w:tcPr>
            <w:tcW w:w="1785" w:type="dxa"/>
            <w:shd w:val="clear" w:color="auto" w:fill="auto"/>
          </w:tcPr>
          <w:p w14:paraId="0AE72C40"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0.158</w:t>
            </w:r>
          </w:p>
        </w:tc>
      </w:tr>
      <w:tr w:rsidR="003639DF" w:rsidRPr="00EC647D" w14:paraId="0AE6DC1F" w14:textId="77777777" w:rsidTr="005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4FAB65B5" w14:textId="77777777" w:rsidR="00D91F46" w:rsidRPr="00EC647D" w:rsidRDefault="00D91F46" w:rsidP="0037615E">
            <w:r w:rsidRPr="00EC647D">
              <w:t>F-measure</w:t>
            </w:r>
          </w:p>
        </w:tc>
        <w:tc>
          <w:tcPr>
            <w:tcW w:w="2060" w:type="dxa"/>
            <w:shd w:val="clear" w:color="auto" w:fill="auto"/>
          </w:tcPr>
          <w:p w14:paraId="7D69B860"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0.09</w:t>
            </w:r>
          </w:p>
        </w:tc>
        <w:tc>
          <w:tcPr>
            <w:tcW w:w="1818" w:type="dxa"/>
            <w:shd w:val="clear" w:color="auto" w:fill="auto"/>
          </w:tcPr>
          <w:p w14:paraId="5BD34318"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0.081</w:t>
            </w:r>
          </w:p>
        </w:tc>
        <w:tc>
          <w:tcPr>
            <w:tcW w:w="1898" w:type="dxa"/>
            <w:shd w:val="clear" w:color="auto" w:fill="auto"/>
          </w:tcPr>
          <w:p w14:paraId="52C1D240"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0.162</w:t>
            </w:r>
          </w:p>
        </w:tc>
        <w:tc>
          <w:tcPr>
            <w:tcW w:w="1657" w:type="dxa"/>
            <w:shd w:val="clear" w:color="auto" w:fill="auto"/>
          </w:tcPr>
          <w:p w14:paraId="70ABB59E"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0.429</w:t>
            </w:r>
          </w:p>
        </w:tc>
        <w:tc>
          <w:tcPr>
            <w:tcW w:w="2027" w:type="dxa"/>
            <w:shd w:val="clear" w:color="auto" w:fill="auto"/>
          </w:tcPr>
          <w:p w14:paraId="06635C79"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0.124</w:t>
            </w:r>
          </w:p>
        </w:tc>
        <w:tc>
          <w:tcPr>
            <w:tcW w:w="1785" w:type="dxa"/>
            <w:shd w:val="clear" w:color="auto" w:fill="auto"/>
          </w:tcPr>
          <w:p w14:paraId="2CDF3AFE"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0.159</w:t>
            </w:r>
          </w:p>
        </w:tc>
      </w:tr>
      <w:tr w:rsidR="00D91F46" w:rsidRPr="00EC647D" w14:paraId="34297EFE" w14:textId="77777777" w:rsidTr="00503996">
        <w:tc>
          <w:tcPr>
            <w:cnfStyle w:val="001000000000" w:firstRow="0" w:lastRow="0" w:firstColumn="1" w:lastColumn="0" w:oddVBand="0" w:evenVBand="0" w:oddHBand="0" w:evenHBand="0" w:firstRowFirstColumn="0" w:firstRowLastColumn="0" w:lastRowFirstColumn="0" w:lastRowLastColumn="0"/>
            <w:tcW w:w="3034" w:type="dxa"/>
          </w:tcPr>
          <w:p w14:paraId="55974D6E" w14:textId="77777777" w:rsidR="00D91F46" w:rsidRPr="00EC647D" w:rsidRDefault="00D91F46" w:rsidP="0037615E">
            <w:r w:rsidRPr="00EC647D">
              <w:t>precision</w:t>
            </w:r>
          </w:p>
        </w:tc>
        <w:tc>
          <w:tcPr>
            <w:tcW w:w="2060" w:type="dxa"/>
            <w:shd w:val="clear" w:color="auto" w:fill="auto"/>
          </w:tcPr>
          <w:p w14:paraId="28824955"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0.048</w:t>
            </w:r>
          </w:p>
        </w:tc>
        <w:tc>
          <w:tcPr>
            <w:tcW w:w="1818" w:type="dxa"/>
            <w:shd w:val="clear" w:color="auto" w:fill="auto"/>
          </w:tcPr>
          <w:p w14:paraId="29440996"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0.042</w:t>
            </w:r>
          </w:p>
        </w:tc>
        <w:tc>
          <w:tcPr>
            <w:tcW w:w="1898" w:type="dxa"/>
            <w:shd w:val="clear" w:color="auto" w:fill="auto"/>
          </w:tcPr>
          <w:p w14:paraId="323092D0"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0.09</w:t>
            </w:r>
          </w:p>
        </w:tc>
        <w:tc>
          <w:tcPr>
            <w:tcW w:w="1657" w:type="dxa"/>
            <w:shd w:val="clear" w:color="auto" w:fill="auto"/>
          </w:tcPr>
          <w:p w14:paraId="0C7D0ECE"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0.585</w:t>
            </w:r>
          </w:p>
        </w:tc>
        <w:tc>
          <w:tcPr>
            <w:tcW w:w="2027" w:type="dxa"/>
            <w:shd w:val="clear" w:color="auto" w:fill="auto"/>
          </w:tcPr>
          <w:p w14:paraId="34ADB520"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0.067</w:t>
            </w:r>
          </w:p>
        </w:tc>
        <w:tc>
          <w:tcPr>
            <w:tcW w:w="1785" w:type="dxa"/>
            <w:shd w:val="clear" w:color="auto" w:fill="auto"/>
          </w:tcPr>
          <w:p w14:paraId="070A60A0"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0.092</w:t>
            </w:r>
          </w:p>
        </w:tc>
      </w:tr>
      <w:tr w:rsidR="003639DF" w:rsidRPr="00EC647D" w14:paraId="1D6DB7B4" w14:textId="77777777" w:rsidTr="005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36F997D6" w14:textId="77777777" w:rsidR="00D91F46" w:rsidRPr="00EC647D" w:rsidRDefault="00D91F46" w:rsidP="0037615E">
            <w:r w:rsidRPr="00EC647D">
              <w:t>recall</w:t>
            </w:r>
          </w:p>
        </w:tc>
        <w:tc>
          <w:tcPr>
            <w:tcW w:w="2060" w:type="dxa"/>
            <w:shd w:val="clear" w:color="auto" w:fill="auto"/>
          </w:tcPr>
          <w:p w14:paraId="2042C41C"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0.735</w:t>
            </w:r>
          </w:p>
        </w:tc>
        <w:tc>
          <w:tcPr>
            <w:tcW w:w="1818" w:type="dxa"/>
            <w:shd w:val="clear" w:color="auto" w:fill="auto"/>
          </w:tcPr>
          <w:p w14:paraId="3C6A3812"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0.795</w:t>
            </w:r>
          </w:p>
        </w:tc>
        <w:tc>
          <w:tcPr>
            <w:tcW w:w="1898" w:type="dxa"/>
            <w:shd w:val="clear" w:color="auto" w:fill="auto"/>
          </w:tcPr>
          <w:p w14:paraId="51F5D278"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0.794</w:t>
            </w:r>
          </w:p>
        </w:tc>
        <w:tc>
          <w:tcPr>
            <w:tcW w:w="1657" w:type="dxa"/>
            <w:shd w:val="clear" w:color="auto" w:fill="auto"/>
          </w:tcPr>
          <w:p w14:paraId="5E982DD1"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0.339</w:t>
            </w:r>
          </w:p>
        </w:tc>
        <w:tc>
          <w:tcPr>
            <w:tcW w:w="2027" w:type="dxa"/>
            <w:shd w:val="clear" w:color="auto" w:fill="auto"/>
          </w:tcPr>
          <w:p w14:paraId="0F229E2B"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0.79</w:t>
            </w:r>
          </w:p>
        </w:tc>
        <w:tc>
          <w:tcPr>
            <w:tcW w:w="1785" w:type="dxa"/>
            <w:shd w:val="clear" w:color="auto" w:fill="auto"/>
          </w:tcPr>
          <w:p w14:paraId="3E1A9909" w14:textId="77777777" w:rsidR="00D91F46" w:rsidRPr="00EC647D" w:rsidRDefault="00D91F46" w:rsidP="0037615E">
            <w:pPr>
              <w:cnfStyle w:val="000000100000" w:firstRow="0" w:lastRow="0" w:firstColumn="0" w:lastColumn="0" w:oddVBand="0" w:evenVBand="0" w:oddHBand="1" w:evenHBand="0" w:firstRowFirstColumn="0" w:firstRowLastColumn="0" w:lastRowFirstColumn="0" w:lastRowLastColumn="0"/>
            </w:pPr>
            <w:r w:rsidRPr="00EC647D">
              <w:t>0.584</w:t>
            </w:r>
          </w:p>
        </w:tc>
      </w:tr>
      <w:tr w:rsidR="00D91F46" w:rsidRPr="00EC647D" w14:paraId="2095F462" w14:textId="77777777" w:rsidTr="00503996">
        <w:tc>
          <w:tcPr>
            <w:cnfStyle w:val="001000000000" w:firstRow="0" w:lastRow="0" w:firstColumn="1" w:lastColumn="0" w:oddVBand="0" w:evenVBand="0" w:oddHBand="0" w:evenHBand="0" w:firstRowFirstColumn="0" w:firstRowLastColumn="0" w:lastRowFirstColumn="0" w:lastRowLastColumn="0"/>
            <w:tcW w:w="3034" w:type="dxa"/>
          </w:tcPr>
          <w:p w14:paraId="152D282B" w14:textId="77777777" w:rsidR="00D91F46" w:rsidRPr="00EC647D" w:rsidRDefault="00D91F46" w:rsidP="0037615E">
            <w:r w:rsidRPr="00EC647D">
              <w:t>ROC-AUC</w:t>
            </w:r>
          </w:p>
        </w:tc>
        <w:tc>
          <w:tcPr>
            <w:tcW w:w="2060" w:type="dxa"/>
            <w:shd w:val="clear" w:color="auto" w:fill="auto"/>
          </w:tcPr>
          <w:p w14:paraId="006AC0CF"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0.827</w:t>
            </w:r>
          </w:p>
        </w:tc>
        <w:tc>
          <w:tcPr>
            <w:tcW w:w="1818" w:type="dxa"/>
            <w:shd w:val="clear" w:color="auto" w:fill="auto"/>
          </w:tcPr>
          <w:p w14:paraId="1A7367BE"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0.83</w:t>
            </w:r>
          </w:p>
        </w:tc>
        <w:tc>
          <w:tcPr>
            <w:tcW w:w="1898" w:type="dxa"/>
            <w:shd w:val="clear" w:color="auto" w:fill="auto"/>
          </w:tcPr>
          <w:p w14:paraId="585FB3BF"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0.916</w:t>
            </w:r>
          </w:p>
        </w:tc>
        <w:tc>
          <w:tcPr>
            <w:tcW w:w="1657" w:type="dxa"/>
            <w:shd w:val="clear" w:color="auto" w:fill="auto"/>
          </w:tcPr>
          <w:p w14:paraId="6A7F95EA"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0.933</w:t>
            </w:r>
          </w:p>
        </w:tc>
        <w:tc>
          <w:tcPr>
            <w:tcW w:w="2027" w:type="dxa"/>
            <w:shd w:val="clear" w:color="auto" w:fill="auto"/>
          </w:tcPr>
          <w:p w14:paraId="3BA72D57"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0.89</w:t>
            </w:r>
          </w:p>
        </w:tc>
        <w:tc>
          <w:tcPr>
            <w:tcW w:w="1785" w:type="dxa"/>
            <w:shd w:val="clear" w:color="auto" w:fill="auto"/>
          </w:tcPr>
          <w:p w14:paraId="17833BB3" w14:textId="77777777" w:rsidR="00D91F46" w:rsidRPr="00EC647D" w:rsidRDefault="00D91F46" w:rsidP="0037615E">
            <w:pPr>
              <w:cnfStyle w:val="000000000000" w:firstRow="0" w:lastRow="0" w:firstColumn="0" w:lastColumn="0" w:oddVBand="0" w:evenVBand="0" w:oddHBand="0" w:evenHBand="0" w:firstRowFirstColumn="0" w:firstRowLastColumn="0" w:lastRowFirstColumn="0" w:lastRowLastColumn="0"/>
            </w:pPr>
            <w:r w:rsidRPr="00EC647D">
              <w:t>0.866</w:t>
            </w:r>
          </w:p>
        </w:tc>
      </w:tr>
    </w:tbl>
    <w:p w14:paraId="036D2838" w14:textId="24748201" w:rsidR="00D91F46" w:rsidRDefault="003639DF" w:rsidP="00CA48B8">
      <w:pPr>
        <w:pStyle w:val="Beschriftung"/>
        <w:jc w:val="center"/>
      </w:pPr>
      <w:bookmarkStart w:id="0" w:name="_Ref88158320"/>
      <w:r>
        <w:t xml:space="preserve">Table </w:t>
      </w:r>
      <w:fldSimple w:instr=" SEQ Table \* ARABIC ">
        <w:r w:rsidR="00BC50C5">
          <w:rPr>
            <w:noProof/>
          </w:rPr>
          <w:t>2</w:t>
        </w:r>
      </w:fldSimple>
      <w:bookmarkEnd w:id="0"/>
      <w:r>
        <w:t>: Performance metrics based on 5-fold CV</w:t>
      </w:r>
    </w:p>
    <w:p w14:paraId="0CD57661" w14:textId="7C5246D9" w:rsidR="00A25E03" w:rsidRDefault="00F54118" w:rsidP="0037615E">
      <w:r>
        <w:t>Performance metrics based on resampling the training data with 5-fold cross validation show promising results for all model</w:t>
      </w:r>
      <w:r w:rsidR="00A53A16">
        <w:t xml:space="preserve"> specifications</w:t>
      </w:r>
      <w:r>
        <w:t>. There is a clear model hierarchy with logistic regression being outclassed by all tree-based ensemble models in terms of ROC-AUC. Random Forest ranks highest in terms of ROC-AUC</w:t>
      </w:r>
      <w:r w:rsidR="00035F1F">
        <w:t xml:space="preserve">, regardless of the subsampling method used to balance out the classes of the target variable. Both the </w:t>
      </w:r>
      <w:proofErr w:type="spellStart"/>
      <w:r w:rsidR="00035F1F">
        <w:t>upsampled</w:t>
      </w:r>
      <w:proofErr w:type="spellEnd"/>
      <w:r w:rsidR="00035F1F">
        <w:t xml:space="preserve"> and the </w:t>
      </w:r>
      <w:proofErr w:type="spellStart"/>
      <w:r w:rsidR="00035F1F">
        <w:t>downsampled</w:t>
      </w:r>
      <w:proofErr w:type="spellEnd"/>
      <w:r w:rsidR="00035F1F">
        <w:t xml:space="preserve"> versions of the </w:t>
      </w:r>
      <w:r w:rsidR="00A53A16">
        <w:t>training data</w:t>
      </w:r>
      <w:r w:rsidR="00035F1F">
        <w:t xml:space="preserve"> </w:t>
      </w:r>
      <w:r w:rsidR="00A53A16">
        <w:t>lead to</w:t>
      </w:r>
      <w:r w:rsidR="00035F1F">
        <w:t xml:space="preserve"> ROC-AUC values beyond the 0.9 threshold</w:t>
      </w:r>
      <w:r w:rsidR="00A53A16">
        <w:t xml:space="preserve"> when using the </w:t>
      </w:r>
      <w:r w:rsidR="00A53A16">
        <w:lastRenderedPageBreak/>
        <w:t xml:space="preserve">Random Forest classifier. RF-estimation based on the </w:t>
      </w:r>
      <w:proofErr w:type="spellStart"/>
      <w:r w:rsidR="00A53A16">
        <w:t>upsampled</w:t>
      </w:r>
      <w:proofErr w:type="spellEnd"/>
      <w:r w:rsidR="00A53A16">
        <w:t xml:space="preserve"> data achieves an average ROC-AUC of 0.933 </w:t>
      </w:r>
      <w:r w:rsidR="00AA5B76">
        <w:t xml:space="preserve">over all five folds </w:t>
      </w:r>
      <w:r w:rsidR="00A53A16">
        <w:t xml:space="preserve">and a mean ROC-AUC of 0.916 when </w:t>
      </w:r>
      <w:r w:rsidR="00AA5B76">
        <w:t>using the</w:t>
      </w:r>
      <w:r w:rsidR="00A53A16">
        <w:t xml:space="preserve"> </w:t>
      </w:r>
      <w:proofErr w:type="spellStart"/>
      <w:r w:rsidR="00A53A16">
        <w:t>downsampled</w:t>
      </w:r>
      <w:proofErr w:type="spellEnd"/>
      <w:r w:rsidR="00A53A16">
        <w:t xml:space="preserve"> training data. </w:t>
      </w:r>
      <w:r w:rsidR="00AA5B76">
        <w:t xml:space="preserve">The </w:t>
      </w:r>
      <w:proofErr w:type="spellStart"/>
      <w:r w:rsidR="00CC7BC3">
        <w:t>xgb</w:t>
      </w:r>
      <w:r w:rsidR="00035F1F">
        <w:t>oost</w:t>
      </w:r>
      <w:proofErr w:type="spellEnd"/>
      <w:r w:rsidR="00035F1F">
        <w:t xml:space="preserve"> </w:t>
      </w:r>
      <w:r w:rsidR="00AA5B76">
        <w:t xml:space="preserve">classifier </w:t>
      </w:r>
      <w:r w:rsidR="00035F1F">
        <w:t>fall</w:t>
      </w:r>
      <w:r w:rsidR="00AA5B76">
        <w:t>s</w:t>
      </w:r>
      <w:r w:rsidR="00035F1F">
        <w:t xml:space="preserve"> short of surpassing</w:t>
      </w:r>
      <w:r w:rsidR="00AA5B76">
        <w:t xml:space="preserve"> the 0.9</w:t>
      </w:r>
      <w:r w:rsidR="00035F1F">
        <w:t xml:space="preserve"> </w:t>
      </w:r>
      <w:r w:rsidR="0031721A">
        <w:t xml:space="preserve">threshold with a mean of 0.89 ROC-AUC over all five folds based on the </w:t>
      </w:r>
      <w:proofErr w:type="spellStart"/>
      <w:r w:rsidR="0031721A">
        <w:t>downsampled</w:t>
      </w:r>
      <w:proofErr w:type="spellEnd"/>
      <w:r w:rsidR="0031721A">
        <w:t xml:space="preserve"> data, outperforming the </w:t>
      </w:r>
      <w:proofErr w:type="spellStart"/>
      <w:r w:rsidR="0031721A">
        <w:t>upsampling</w:t>
      </w:r>
      <w:proofErr w:type="spellEnd"/>
      <w:r w:rsidR="0031721A">
        <w:t xml:space="preserve"> workflow which achieves a 0.</w:t>
      </w:r>
      <w:r w:rsidR="0031721A" w:rsidRPr="00EC2A46">
        <w:t>866</w:t>
      </w:r>
      <w:r w:rsidR="0031721A">
        <w:t xml:space="preserve"> mean ROC-AUC. </w:t>
      </w:r>
      <w:r w:rsidR="009953C2">
        <w:t xml:space="preserve">Both subsampling methods lead to almost identical performance when used with logistic regression, achieving </w:t>
      </w:r>
      <w:r w:rsidR="009953C2" w:rsidRPr="00EC2A46">
        <w:t>0.83</w:t>
      </w:r>
      <w:r w:rsidR="009953C2">
        <w:t xml:space="preserve"> mean ROC-AUC with </w:t>
      </w:r>
      <w:proofErr w:type="spellStart"/>
      <w:r w:rsidR="009953C2">
        <w:t>upsampling</w:t>
      </w:r>
      <w:proofErr w:type="spellEnd"/>
      <w:r w:rsidR="009953C2">
        <w:t xml:space="preserve"> and 0.827 mean ROC-AUC with </w:t>
      </w:r>
      <w:proofErr w:type="spellStart"/>
      <w:r w:rsidR="009953C2">
        <w:t>downsampling</w:t>
      </w:r>
      <w:proofErr w:type="spellEnd"/>
      <w:r w:rsidR="009953C2">
        <w:t xml:space="preserve">. </w:t>
      </w:r>
    </w:p>
    <w:p w14:paraId="3FDBF08F" w14:textId="038B7F4A" w:rsidR="00F260D2" w:rsidRDefault="00CB1F82" w:rsidP="0037615E">
      <w:r>
        <w:t xml:space="preserve">Out of these preliminary results I rate the Random Forest classifier based on the </w:t>
      </w:r>
      <w:proofErr w:type="spellStart"/>
      <w:r>
        <w:t>downsampled</w:t>
      </w:r>
      <w:proofErr w:type="spellEnd"/>
      <w:r>
        <w:t xml:space="preserve"> training data as the most promising, despite it not having the </w:t>
      </w:r>
      <w:r w:rsidR="000E2180">
        <w:t>largest</w:t>
      </w:r>
      <w:r>
        <w:t xml:space="preserve"> ROC-AUC out of all tested model specifications. The much lower recall value of the specification using </w:t>
      </w:r>
      <w:proofErr w:type="spellStart"/>
      <w:r>
        <w:t>upsampling</w:t>
      </w:r>
      <w:proofErr w:type="spellEnd"/>
      <w:r>
        <w:t xml:space="preserve"> hints towards </w:t>
      </w:r>
      <w:r w:rsidR="000E2180">
        <w:t>a</w:t>
      </w:r>
      <w:r>
        <w:t xml:space="preserve"> tendency to classify most samples as non-events, which is not desirable in the case of </w:t>
      </w:r>
      <w:r w:rsidR="000E2180">
        <w:t xml:space="preserve">wildfire risk prediction. The </w:t>
      </w:r>
      <w:proofErr w:type="spellStart"/>
      <w:r w:rsidR="000E2180">
        <w:t>downsampled</w:t>
      </w:r>
      <w:proofErr w:type="spellEnd"/>
      <w:r w:rsidR="000E2180">
        <w:t xml:space="preserve"> specification achieves a much higher recall value, indicating a better ability to identify true positives, even if the ROC-AUC is comparably smaller.</w:t>
      </w:r>
    </w:p>
    <w:p w14:paraId="10DDD03D" w14:textId="5B654B1D" w:rsidR="0096536A" w:rsidRPr="0096536A" w:rsidRDefault="0096536A" w:rsidP="0037615E">
      <w:pPr>
        <w:pStyle w:val="berschrift2"/>
        <w:numPr>
          <w:ilvl w:val="1"/>
          <w:numId w:val="3"/>
        </w:numPr>
      </w:pPr>
      <w:r>
        <w:t>Hyperparameter Tuning</w:t>
      </w:r>
    </w:p>
    <w:tbl>
      <w:tblPr>
        <w:tblStyle w:val="Gitternetztabelle7farbigAkzent1"/>
        <w:tblW w:w="9055" w:type="dxa"/>
        <w:tblInd w:w="5" w:type="dxa"/>
        <w:tblLook w:val="04A0" w:firstRow="1" w:lastRow="0" w:firstColumn="1" w:lastColumn="0" w:noHBand="0" w:noVBand="1"/>
      </w:tblPr>
      <w:tblGrid>
        <w:gridCol w:w="1980"/>
        <w:gridCol w:w="1081"/>
        <w:gridCol w:w="1187"/>
        <w:gridCol w:w="1134"/>
        <w:gridCol w:w="1134"/>
        <w:gridCol w:w="1270"/>
        <w:gridCol w:w="1269"/>
      </w:tblGrid>
      <w:tr w:rsidR="000D4083" w:rsidRPr="002A7792" w14:paraId="5BC7A124" w14:textId="77777777" w:rsidTr="000D4083">
        <w:trPr>
          <w:cnfStyle w:val="100000000000" w:firstRow="1" w:lastRow="0" w:firstColumn="0" w:lastColumn="0" w:oddVBand="0" w:evenVBand="0" w:oddHBand="0" w:evenHBand="0" w:firstRowFirstColumn="0" w:firstRowLastColumn="0" w:lastRowFirstColumn="0" w:lastRowLastColumn="0"/>
          <w:trHeight w:val="743"/>
        </w:trPr>
        <w:tc>
          <w:tcPr>
            <w:cnfStyle w:val="001000000100" w:firstRow="0" w:lastRow="0" w:firstColumn="1" w:lastColumn="0" w:oddVBand="0" w:evenVBand="0" w:oddHBand="0" w:evenHBand="0" w:firstRowFirstColumn="1" w:firstRowLastColumn="0" w:lastRowFirstColumn="0" w:lastRowLastColumn="0"/>
            <w:tcW w:w="1980" w:type="dxa"/>
          </w:tcPr>
          <w:p w14:paraId="35B97F26" w14:textId="77777777" w:rsidR="002A7792" w:rsidRPr="002A7792" w:rsidRDefault="002A7792" w:rsidP="0037615E">
            <w:proofErr w:type="gramStart"/>
            <w:r w:rsidRPr="002A7792">
              <w:t>.metric</w:t>
            </w:r>
            <w:proofErr w:type="gramEnd"/>
          </w:p>
        </w:tc>
        <w:tc>
          <w:tcPr>
            <w:tcW w:w="1081" w:type="dxa"/>
          </w:tcPr>
          <w:p w14:paraId="284F97CB" w14:textId="1E7E1DAC" w:rsidR="002A7792" w:rsidRPr="002A7792" w:rsidRDefault="002A7792" w:rsidP="0037615E">
            <w:pPr>
              <w:cnfStyle w:val="100000000000" w:firstRow="1" w:lastRow="0" w:firstColumn="0" w:lastColumn="0" w:oddVBand="0" w:evenVBand="0" w:oddHBand="0" w:evenHBand="0" w:firstRowFirstColumn="0" w:firstRowLastColumn="0" w:lastRowFirstColumn="0" w:lastRowLastColumn="0"/>
            </w:pPr>
            <w:r w:rsidRPr="002A7792">
              <w:t xml:space="preserve">GLM </w:t>
            </w:r>
            <w:r w:rsidRPr="002A7792">
              <w:br/>
              <w:t>(down)</w:t>
            </w:r>
          </w:p>
        </w:tc>
        <w:tc>
          <w:tcPr>
            <w:tcW w:w="1187" w:type="dxa"/>
          </w:tcPr>
          <w:p w14:paraId="107F0910" w14:textId="67452473" w:rsidR="002A7792" w:rsidRPr="002A7792" w:rsidRDefault="002A7792" w:rsidP="0037615E">
            <w:pPr>
              <w:cnfStyle w:val="100000000000" w:firstRow="1" w:lastRow="0" w:firstColumn="0" w:lastColumn="0" w:oddVBand="0" w:evenVBand="0" w:oddHBand="0" w:evenHBand="0" w:firstRowFirstColumn="0" w:firstRowLastColumn="0" w:lastRowFirstColumn="0" w:lastRowLastColumn="0"/>
            </w:pPr>
            <w:r w:rsidRPr="002A7792">
              <w:t xml:space="preserve">GLM </w:t>
            </w:r>
            <w:r w:rsidRPr="002A7792">
              <w:br/>
              <w:t>(up)</w:t>
            </w:r>
          </w:p>
        </w:tc>
        <w:tc>
          <w:tcPr>
            <w:tcW w:w="1134" w:type="dxa"/>
          </w:tcPr>
          <w:p w14:paraId="748B54C5" w14:textId="62944F3B" w:rsidR="002A7792" w:rsidRPr="002A7792" w:rsidRDefault="002A7792" w:rsidP="0037615E">
            <w:pPr>
              <w:cnfStyle w:val="100000000000" w:firstRow="1" w:lastRow="0" w:firstColumn="0" w:lastColumn="0" w:oddVBand="0" w:evenVBand="0" w:oddHBand="0" w:evenHBand="0" w:firstRowFirstColumn="0" w:firstRowLastColumn="0" w:lastRowFirstColumn="0" w:lastRowLastColumn="0"/>
            </w:pPr>
            <w:r w:rsidRPr="002A7792">
              <w:t xml:space="preserve">RF </w:t>
            </w:r>
            <w:r w:rsidRPr="002A7792">
              <w:br/>
              <w:t>(down)</w:t>
            </w:r>
          </w:p>
        </w:tc>
        <w:tc>
          <w:tcPr>
            <w:tcW w:w="1134" w:type="dxa"/>
          </w:tcPr>
          <w:p w14:paraId="203FFEFB" w14:textId="6EB06325" w:rsidR="002A7792" w:rsidRPr="002A7792" w:rsidRDefault="002A7792" w:rsidP="0037615E">
            <w:pPr>
              <w:cnfStyle w:val="100000000000" w:firstRow="1" w:lastRow="0" w:firstColumn="0" w:lastColumn="0" w:oddVBand="0" w:evenVBand="0" w:oddHBand="0" w:evenHBand="0" w:firstRowFirstColumn="0" w:firstRowLastColumn="0" w:lastRowFirstColumn="0" w:lastRowLastColumn="0"/>
            </w:pPr>
            <w:r w:rsidRPr="002A7792">
              <w:t xml:space="preserve">RF </w:t>
            </w:r>
            <w:r w:rsidRPr="002A7792">
              <w:br/>
              <w:t>(up)</w:t>
            </w:r>
          </w:p>
        </w:tc>
        <w:tc>
          <w:tcPr>
            <w:tcW w:w="1270" w:type="dxa"/>
          </w:tcPr>
          <w:p w14:paraId="5225AEEF" w14:textId="4BEFF65D" w:rsidR="002A7792" w:rsidRPr="002A7792" w:rsidRDefault="002A7792" w:rsidP="0037615E">
            <w:pPr>
              <w:cnfStyle w:val="100000000000" w:firstRow="1" w:lastRow="0" w:firstColumn="0" w:lastColumn="0" w:oddVBand="0" w:evenVBand="0" w:oddHBand="0" w:evenHBand="0" w:firstRowFirstColumn="0" w:firstRowLastColumn="0" w:lastRowFirstColumn="0" w:lastRowLastColumn="0"/>
            </w:pPr>
            <w:r w:rsidRPr="002A7792">
              <w:t xml:space="preserve">XGB </w:t>
            </w:r>
            <w:r>
              <w:br/>
            </w:r>
            <w:r w:rsidRPr="002A7792">
              <w:t>(down)</w:t>
            </w:r>
          </w:p>
        </w:tc>
        <w:tc>
          <w:tcPr>
            <w:tcW w:w="1269" w:type="dxa"/>
          </w:tcPr>
          <w:p w14:paraId="0AB4F92B" w14:textId="30CA7DED" w:rsidR="002A7792" w:rsidRPr="002A7792" w:rsidRDefault="002A7792" w:rsidP="0037615E">
            <w:pPr>
              <w:cnfStyle w:val="100000000000" w:firstRow="1" w:lastRow="0" w:firstColumn="0" w:lastColumn="0" w:oddVBand="0" w:evenVBand="0" w:oddHBand="0" w:evenHBand="0" w:firstRowFirstColumn="0" w:firstRowLastColumn="0" w:lastRowFirstColumn="0" w:lastRowLastColumn="0"/>
            </w:pPr>
            <w:r w:rsidRPr="002A7792">
              <w:t xml:space="preserve">XGB </w:t>
            </w:r>
            <w:r w:rsidR="00E0358F">
              <w:br/>
            </w:r>
            <w:r w:rsidRPr="002A7792">
              <w:t>(up)</w:t>
            </w:r>
          </w:p>
        </w:tc>
      </w:tr>
      <w:tr w:rsidR="000D4083" w:rsidRPr="002A7792" w14:paraId="0DF7E13D" w14:textId="77777777" w:rsidTr="00503996">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80" w:type="dxa"/>
          </w:tcPr>
          <w:p w14:paraId="147DB69A" w14:textId="77777777" w:rsidR="002A7792" w:rsidRPr="002A7792" w:rsidRDefault="002A7792" w:rsidP="0037615E">
            <w:r w:rsidRPr="002A7792">
              <w:t>accuracy</w:t>
            </w:r>
          </w:p>
        </w:tc>
        <w:tc>
          <w:tcPr>
            <w:tcW w:w="1081" w:type="dxa"/>
            <w:shd w:val="clear" w:color="auto" w:fill="auto"/>
          </w:tcPr>
          <w:p w14:paraId="35D2E13A"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0.606</w:t>
            </w:r>
          </w:p>
        </w:tc>
        <w:tc>
          <w:tcPr>
            <w:tcW w:w="1187" w:type="dxa"/>
            <w:shd w:val="clear" w:color="auto" w:fill="auto"/>
          </w:tcPr>
          <w:p w14:paraId="76173925"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0.658</w:t>
            </w:r>
          </w:p>
        </w:tc>
        <w:tc>
          <w:tcPr>
            <w:tcW w:w="1134" w:type="dxa"/>
            <w:shd w:val="clear" w:color="auto" w:fill="auto"/>
          </w:tcPr>
          <w:p w14:paraId="73F840CA"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0.845</w:t>
            </w:r>
          </w:p>
        </w:tc>
        <w:tc>
          <w:tcPr>
            <w:tcW w:w="1134" w:type="dxa"/>
            <w:shd w:val="clear" w:color="auto" w:fill="auto"/>
          </w:tcPr>
          <w:p w14:paraId="15DA8B6F"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0.952</w:t>
            </w:r>
          </w:p>
        </w:tc>
        <w:tc>
          <w:tcPr>
            <w:tcW w:w="1270" w:type="dxa"/>
            <w:shd w:val="clear" w:color="auto" w:fill="auto"/>
          </w:tcPr>
          <w:p w14:paraId="7C23D326"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0.785</w:t>
            </w:r>
          </w:p>
        </w:tc>
        <w:tc>
          <w:tcPr>
            <w:tcW w:w="1269" w:type="dxa"/>
            <w:shd w:val="clear" w:color="auto" w:fill="auto"/>
          </w:tcPr>
          <w:p w14:paraId="056850FE"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0.958</w:t>
            </w:r>
          </w:p>
        </w:tc>
      </w:tr>
      <w:tr w:rsidR="000D4083" w:rsidRPr="002A7792" w14:paraId="1908C6C4" w14:textId="77777777" w:rsidTr="00503996">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7988A724" w14:textId="77777777" w:rsidR="002A7792" w:rsidRPr="002A7792" w:rsidRDefault="002A7792" w:rsidP="0037615E">
            <w:r w:rsidRPr="002A7792">
              <w:t>Classification cost</w:t>
            </w:r>
          </w:p>
        </w:tc>
        <w:tc>
          <w:tcPr>
            <w:tcW w:w="1081" w:type="dxa"/>
            <w:shd w:val="clear" w:color="auto" w:fill="auto"/>
          </w:tcPr>
          <w:p w14:paraId="0A8102F2"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0.441</w:t>
            </w:r>
          </w:p>
        </w:tc>
        <w:tc>
          <w:tcPr>
            <w:tcW w:w="1187" w:type="dxa"/>
            <w:shd w:val="clear" w:color="auto" w:fill="auto"/>
          </w:tcPr>
          <w:p w14:paraId="125AC2ED"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0.338</w:t>
            </w:r>
          </w:p>
        </w:tc>
        <w:tc>
          <w:tcPr>
            <w:tcW w:w="1134" w:type="dxa"/>
            <w:shd w:val="clear" w:color="auto" w:fill="auto"/>
          </w:tcPr>
          <w:p w14:paraId="3EF4BCBD"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0.29</w:t>
            </w:r>
          </w:p>
        </w:tc>
        <w:tc>
          <w:tcPr>
            <w:tcW w:w="1134" w:type="dxa"/>
            <w:shd w:val="clear" w:color="auto" w:fill="auto"/>
          </w:tcPr>
          <w:p w14:paraId="4DF972CE"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0.204</w:t>
            </w:r>
          </w:p>
        </w:tc>
        <w:tc>
          <w:tcPr>
            <w:tcW w:w="1270" w:type="dxa"/>
            <w:shd w:val="clear" w:color="auto" w:fill="auto"/>
          </w:tcPr>
          <w:p w14:paraId="75B621FF"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0.266</w:t>
            </w:r>
          </w:p>
        </w:tc>
        <w:tc>
          <w:tcPr>
            <w:tcW w:w="1269" w:type="dxa"/>
            <w:shd w:val="clear" w:color="auto" w:fill="auto"/>
          </w:tcPr>
          <w:p w14:paraId="674339AE"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0.094</w:t>
            </w:r>
          </w:p>
        </w:tc>
      </w:tr>
      <w:tr w:rsidR="000D4083" w:rsidRPr="002A7792" w14:paraId="42D66DBB" w14:textId="77777777" w:rsidTr="0050399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80" w:type="dxa"/>
          </w:tcPr>
          <w:p w14:paraId="00BE1F07" w14:textId="77777777" w:rsidR="002A7792" w:rsidRPr="002A7792" w:rsidRDefault="002A7792" w:rsidP="0037615E">
            <w:r w:rsidRPr="002A7792">
              <w:t>F-measure</w:t>
            </w:r>
          </w:p>
        </w:tc>
        <w:tc>
          <w:tcPr>
            <w:tcW w:w="1081" w:type="dxa"/>
            <w:shd w:val="clear" w:color="auto" w:fill="auto"/>
          </w:tcPr>
          <w:p w14:paraId="18B91082"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0.14</w:t>
            </w:r>
          </w:p>
        </w:tc>
        <w:tc>
          <w:tcPr>
            <w:tcW w:w="1187" w:type="dxa"/>
            <w:shd w:val="clear" w:color="auto" w:fill="auto"/>
          </w:tcPr>
          <w:p w14:paraId="0EBB1137"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0.15</w:t>
            </w:r>
          </w:p>
        </w:tc>
        <w:tc>
          <w:tcPr>
            <w:tcW w:w="1134" w:type="dxa"/>
            <w:shd w:val="clear" w:color="auto" w:fill="auto"/>
          </w:tcPr>
          <w:p w14:paraId="39901C9F"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0.182</w:t>
            </w:r>
          </w:p>
        </w:tc>
        <w:tc>
          <w:tcPr>
            <w:tcW w:w="1134" w:type="dxa"/>
            <w:shd w:val="clear" w:color="auto" w:fill="auto"/>
          </w:tcPr>
          <w:p w14:paraId="68A6D358"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0.059</w:t>
            </w:r>
          </w:p>
        </w:tc>
        <w:tc>
          <w:tcPr>
            <w:tcW w:w="1270" w:type="dxa"/>
            <w:shd w:val="clear" w:color="auto" w:fill="auto"/>
          </w:tcPr>
          <w:p w14:paraId="6306B560"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0.166</w:t>
            </w:r>
          </w:p>
        </w:tc>
        <w:tc>
          <w:tcPr>
            <w:tcW w:w="1269" w:type="dxa"/>
            <w:shd w:val="clear" w:color="auto" w:fill="auto"/>
          </w:tcPr>
          <w:p w14:paraId="13691EFC"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0.01</w:t>
            </w:r>
          </w:p>
        </w:tc>
      </w:tr>
      <w:tr w:rsidR="000D4083" w:rsidRPr="002A7792" w14:paraId="25F8E243" w14:textId="77777777" w:rsidTr="00503996">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373C8403" w14:textId="77777777" w:rsidR="002A7792" w:rsidRPr="002A7792" w:rsidRDefault="002A7792" w:rsidP="0037615E">
            <w:r w:rsidRPr="002A7792">
              <w:t>precision</w:t>
            </w:r>
          </w:p>
        </w:tc>
        <w:tc>
          <w:tcPr>
            <w:tcW w:w="1081" w:type="dxa"/>
            <w:shd w:val="clear" w:color="auto" w:fill="auto"/>
          </w:tcPr>
          <w:p w14:paraId="27A14234"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0.077</w:t>
            </w:r>
          </w:p>
        </w:tc>
        <w:tc>
          <w:tcPr>
            <w:tcW w:w="1187" w:type="dxa"/>
            <w:shd w:val="clear" w:color="auto" w:fill="auto"/>
          </w:tcPr>
          <w:p w14:paraId="707599EE"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0.084</w:t>
            </w:r>
          </w:p>
        </w:tc>
        <w:tc>
          <w:tcPr>
            <w:tcW w:w="1134" w:type="dxa"/>
            <w:shd w:val="clear" w:color="auto" w:fill="auto"/>
          </w:tcPr>
          <w:p w14:paraId="6A9F45E1"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0.116</w:t>
            </w:r>
          </w:p>
        </w:tc>
        <w:tc>
          <w:tcPr>
            <w:tcW w:w="1134" w:type="dxa"/>
            <w:shd w:val="clear" w:color="auto" w:fill="auto"/>
          </w:tcPr>
          <w:p w14:paraId="7B48C3D8"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0.148</w:t>
            </w:r>
          </w:p>
        </w:tc>
        <w:tc>
          <w:tcPr>
            <w:tcW w:w="1270" w:type="dxa"/>
            <w:shd w:val="clear" w:color="auto" w:fill="auto"/>
          </w:tcPr>
          <w:p w14:paraId="318E2005"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0.098</w:t>
            </w:r>
          </w:p>
        </w:tc>
        <w:tc>
          <w:tcPr>
            <w:tcW w:w="1269" w:type="dxa"/>
            <w:shd w:val="clear" w:color="auto" w:fill="auto"/>
          </w:tcPr>
          <w:p w14:paraId="346F1EAF"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0.12</w:t>
            </w:r>
          </w:p>
        </w:tc>
      </w:tr>
      <w:tr w:rsidR="000D4083" w:rsidRPr="002A7792" w14:paraId="05C9B090" w14:textId="77777777" w:rsidTr="00503996">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80" w:type="dxa"/>
          </w:tcPr>
          <w:p w14:paraId="580CF124" w14:textId="77777777" w:rsidR="002A7792" w:rsidRPr="002A7792" w:rsidRDefault="002A7792" w:rsidP="0037615E">
            <w:r w:rsidRPr="002A7792">
              <w:t>recall</w:t>
            </w:r>
          </w:p>
        </w:tc>
        <w:tc>
          <w:tcPr>
            <w:tcW w:w="1081" w:type="dxa"/>
            <w:shd w:val="clear" w:color="auto" w:fill="auto"/>
          </w:tcPr>
          <w:p w14:paraId="038BD2E4"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0.789</w:t>
            </w:r>
          </w:p>
        </w:tc>
        <w:tc>
          <w:tcPr>
            <w:tcW w:w="1187" w:type="dxa"/>
            <w:shd w:val="clear" w:color="auto" w:fill="auto"/>
          </w:tcPr>
          <w:p w14:paraId="26261C04"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0.745</w:t>
            </w:r>
          </w:p>
        </w:tc>
        <w:tc>
          <w:tcPr>
            <w:tcW w:w="1134" w:type="dxa"/>
            <w:shd w:val="clear" w:color="auto" w:fill="auto"/>
          </w:tcPr>
          <w:p w14:paraId="1F0D9F38"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0.425</w:t>
            </w:r>
          </w:p>
        </w:tc>
        <w:tc>
          <w:tcPr>
            <w:tcW w:w="1134" w:type="dxa"/>
            <w:shd w:val="clear" w:color="auto" w:fill="auto"/>
          </w:tcPr>
          <w:p w14:paraId="68A1F20C"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0.036</w:t>
            </w:r>
          </w:p>
        </w:tc>
        <w:tc>
          <w:tcPr>
            <w:tcW w:w="1270" w:type="dxa"/>
            <w:shd w:val="clear" w:color="auto" w:fill="auto"/>
          </w:tcPr>
          <w:p w14:paraId="27CF93DF"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0.526</w:t>
            </w:r>
          </w:p>
        </w:tc>
        <w:tc>
          <w:tcPr>
            <w:tcW w:w="1269" w:type="dxa"/>
            <w:shd w:val="clear" w:color="auto" w:fill="auto"/>
          </w:tcPr>
          <w:p w14:paraId="61689FDC" w14:textId="77777777" w:rsidR="002A7792" w:rsidRPr="002A7792" w:rsidRDefault="002A7792" w:rsidP="0037615E">
            <w:pPr>
              <w:cnfStyle w:val="000000100000" w:firstRow="0" w:lastRow="0" w:firstColumn="0" w:lastColumn="0" w:oddVBand="0" w:evenVBand="0" w:oddHBand="1" w:evenHBand="0" w:firstRowFirstColumn="0" w:firstRowLastColumn="0" w:lastRowFirstColumn="0" w:lastRowLastColumn="0"/>
            </w:pPr>
            <w:r w:rsidRPr="002A7792">
              <w:t>0.005</w:t>
            </w:r>
          </w:p>
        </w:tc>
      </w:tr>
      <w:tr w:rsidR="000D4083" w:rsidRPr="002A7792" w14:paraId="515A8276" w14:textId="77777777" w:rsidTr="00503996">
        <w:trPr>
          <w:trHeight w:val="433"/>
        </w:trPr>
        <w:tc>
          <w:tcPr>
            <w:cnfStyle w:val="001000000000" w:firstRow="0" w:lastRow="0" w:firstColumn="1" w:lastColumn="0" w:oddVBand="0" w:evenVBand="0" w:oddHBand="0" w:evenHBand="0" w:firstRowFirstColumn="0" w:firstRowLastColumn="0" w:lastRowFirstColumn="0" w:lastRowLastColumn="0"/>
            <w:tcW w:w="1980" w:type="dxa"/>
          </w:tcPr>
          <w:p w14:paraId="25873E89" w14:textId="77777777" w:rsidR="002A7792" w:rsidRPr="002A7792" w:rsidRDefault="002A7792" w:rsidP="0037615E">
            <w:r w:rsidRPr="002A7792">
              <w:t>ROC-AUC</w:t>
            </w:r>
          </w:p>
        </w:tc>
        <w:tc>
          <w:tcPr>
            <w:tcW w:w="1081" w:type="dxa"/>
            <w:shd w:val="clear" w:color="auto" w:fill="auto"/>
          </w:tcPr>
          <w:p w14:paraId="5076C66A"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0.734</w:t>
            </w:r>
          </w:p>
        </w:tc>
        <w:tc>
          <w:tcPr>
            <w:tcW w:w="1187" w:type="dxa"/>
            <w:shd w:val="clear" w:color="auto" w:fill="auto"/>
          </w:tcPr>
          <w:p w14:paraId="77A6B6A2"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0.755</w:t>
            </w:r>
          </w:p>
        </w:tc>
        <w:tc>
          <w:tcPr>
            <w:tcW w:w="1134" w:type="dxa"/>
            <w:shd w:val="clear" w:color="auto" w:fill="auto"/>
          </w:tcPr>
          <w:p w14:paraId="51B954CB"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0.735</w:t>
            </w:r>
          </w:p>
        </w:tc>
        <w:tc>
          <w:tcPr>
            <w:tcW w:w="1134" w:type="dxa"/>
            <w:shd w:val="clear" w:color="auto" w:fill="auto"/>
          </w:tcPr>
          <w:p w14:paraId="4DF6D7F9"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0.729</w:t>
            </w:r>
          </w:p>
        </w:tc>
        <w:tc>
          <w:tcPr>
            <w:tcW w:w="1270" w:type="dxa"/>
            <w:shd w:val="clear" w:color="auto" w:fill="auto"/>
          </w:tcPr>
          <w:p w14:paraId="11C83856"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0.728</w:t>
            </w:r>
          </w:p>
        </w:tc>
        <w:tc>
          <w:tcPr>
            <w:tcW w:w="1269" w:type="dxa"/>
            <w:shd w:val="clear" w:color="auto" w:fill="auto"/>
          </w:tcPr>
          <w:p w14:paraId="4925FCA8" w14:textId="77777777" w:rsidR="002A7792" w:rsidRPr="002A7792" w:rsidRDefault="002A7792" w:rsidP="0037615E">
            <w:pPr>
              <w:cnfStyle w:val="000000000000" w:firstRow="0" w:lastRow="0" w:firstColumn="0" w:lastColumn="0" w:oddVBand="0" w:evenVBand="0" w:oddHBand="0" w:evenHBand="0" w:firstRowFirstColumn="0" w:firstRowLastColumn="0" w:lastRowFirstColumn="0" w:lastRowLastColumn="0"/>
            </w:pPr>
            <w:r w:rsidRPr="002A7792">
              <w:t>0.722</w:t>
            </w:r>
          </w:p>
        </w:tc>
      </w:tr>
    </w:tbl>
    <w:p w14:paraId="11B7398B" w14:textId="278CDD5D" w:rsidR="002A7792" w:rsidRPr="003904BC" w:rsidRDefault="00231ECF" w:rsidP="00CA48B8">
      <w:pPr>
        <w:pStyle w:val="Beschriftung"/>
        <w:jc w:val="center"/>
      </w:pPr>
      <w:bookmarkStart w:id="1" w:name="_Ref88151586"/>
      <w:r>
        <w:t xml:space="preserve">Table </w:t>
      </w:r>
      <w:fldSimple w:instr=" SEQ Table \* ARABIC ">
        <w:r w:rsidR="00BC50C5">
          <w:rPr>
            <w:noProof/>
          </w:rPr>
          <w:t>3</w:t>
        </w:r>
      </w:fldSimple>
      <w:bookmarkEnd w:id="1"/>
      <w:r>
        <w:t>: Performance metrics after tuning, predictions for test set</w:t>
      </w:r>
    </w:p>
    <w:p w14:paraId="7A601622" w14:textId="5628AB45" w:rsidR="00DA1AED" w:rsidRPr="00686DBD" w:rsidRDefault="001F3043" w:rsidP="0037615E">
      <w:r>
        <w:lastRenderedPageBreak/>
        <w:t xml:space="preserve">The performance metrics evaluated through 5-fold cross validation are not reflected in the results obtained after hyperparameter tuning and evaluation based on the test set. </w:t>
      </w:r>
      <w:r w:rsidR="00B83BBF">
        <w:t xml:space="preserve">Performance is expected to increase after hyperparameter tuning, due to the most favorable hyperparameter combinations being selected. Despite ROC-AUC being used as the metric for hyperparameter selection, all ROC-AUC values are worse when evaluating performance by predicting the test set. </w:t>
      </w:r>
      <w:r w:rsidR="009F3EFB">
        <w:t xml:space="preserve">Based on ROC-AUC the regularized elastic net regression model trained on </w:t>
      </w:r>
      <w:proofErr w:type="spellStart"/>
      <w:r w:rsidR="009F3EFB">
        <w:t>upsampled</w:t>
      </w:r>
      <w:proofErr w:type="spellEnd"/>
      <w:r w:rsidR="009F3EFB">
        <w:t xml:space="preserve"> data shows the best performance. </w:t>
      </w:r>
      <w:r w:rsidR="00686DBD">
        <w:t xml:space="preserve">The best hyperparameters for this model are the very small </w:t>
      </w:r>
      <w:r w:rsidR="00686DBD">
        <w:rPr>
          <w:i/>
          <w:iCs/>
        </w:rPr>
        <w:t>penalty</w:t>
      </w:r>
      <w:r w:rsidR="00686DBD">
        <w:t xml:space="preserve"> of </w:t>
      </w:r>
      <w:r w:rsidR="00686DBD" w:rsidRPr="00686DBD">
        <w:t>0.0000000001</w:t>
      </w:r>
      <w:r w:rsidR="00686DBD">
        <w:t xml:space="preserve"> in </w:t>
      </w:r>
      <w:r w:rsidR="00686DBD">
        <w:t>combination</w:t>
      </w:r>
      <w:r w:rsidR="00686DBD">
        <w:t xml:space="preserve"> with a </w:t>
      </w:r>
      <w:r w:rsidR="00686DBD">
        <w:rPr>
          <w:i/>
          <w:iCs/>
        </w:rPr>
        <w:t xml:space="preserve">mixture </w:t>
      </w:r>
      <w:r w:rsidR="00686DBD">
        <w:t xml:space="preserve">of 1, resulting in LASSO regression which shrinks the coefficients of unneeded predictor variables to zero.  </w:t>
      </w:r>
    </w:p>
    <w:p w14:paraId="5ACC1900" w14:textId="64D56839" w:rsidR="00DA1AED" w:rsidRDefault="009F3EFB" w:rsidP="0037615E">
      <w:r>
        <w:t xml:space="preserve">The elastic net regression models are the only model fits with a recall </w:t>
      </w:r>
      <w:r w:rsidR="00686DBD">
        <w:t>larger than</w:t>
      </w:r>
      <w:r>
        <w:t xml:space="preserve"> 0.53, hinting towards a general disability to identify true positives within the testing data. </w:t>
      </w:r>
      <w:r w:rsidR="00B041D2">
        <w:t>While the elastic net models achieve acceptable recall, they also come with the lowest precision values out of all model fits</w:t>
      </w:r>
      <w:r w:rsidR="004500DF">
        <w:t xml:space="preserve">. This indicates </w:t>
      </w:r>
      <w:r w:rsidR="00B041D2">
        <w:t xml:space="preserve">that these models achieve their comparably high recall by overestimating the number of samples where fire ignitions occurred, leading to </w:t>
      </w:r>
      <w:proofErr w:type="gramStart"/>
      <w:r w:rsidR="00B041D2">
        <w:t>a large number of</w:t>
      </w:r>
      <w:proofErr w:type="gramEnd"/>
      <w:r w:rsidR="00B041D2">
        <w:t xml:space="preserve"> false positives among the predicted classes</w:t>
      </w:r>
      <w:r w:rsidR="004500DF">
        <w:t xml:space="preserve"> as seen in the confusion matrix depicted in </w:t>
      </w:r>
      <w:r w:rsidR="004500DF">
        <w:fldChar w:fldCharType="begin"/>
      </w:r>
      <w:r w:rsidR="004500DF">
        <w:instrText xml:space="preserve"> REF _Ref88223141 \h </w:instrText>
      </w:r>
      <w:r w:rsidR="004500DF">
        <w:fldChar w:fldCharType="separate"/>
      </w:r>
      <w:r w:rsidR="00BC50C5">
        <w:t xml:space="preserve">Table </w:t>
      </w:r>
      <w:r w:rsidR="00BC50C5">
        <w:rPr>
          <w:noProof/>
        </w:rPr>
        <w:t>4</w:t>
      </w:r>
      <w:r w:rsidR="004500DF">
        <w:fldChar w:fldCharType="end"/>
      </w:r>
      <w:r w:rsidR="00B041D2">
        <w:t xml:space="preserve">. </w:t>
      </w:r>
      <w:r w:rsidR="00944051">
        <w:t xml:space="preserve">This </w:t>
      </w:r>
      <w:r w:rsidR="004500DF">
        <w:t xml:space="preserve">fact </w:t>
      </w:r>
      <w:r w:rsidR="00944051">
        <w:t>is reflected in the low F-measure of these models, which is hampered by low precision despite comparabl</w:t>
      </w:r>
      <w:r w:rsidR="00673896">
        <w:t>y</w:t>
      </w:r>
      <w:r w:rsidR="00944051">
        <w:t xml:space="preserve"> high recall</w:t>
      </w:r>
      <w:r w:rsidR="004500DF">
        <w:t>.</w:t>
      </w:r>
    </w:p>
    <w:tbl>
      <w:tblPr>
        <w:tblStyle w:val="Listentabelle7farbigAkzent1"/>
        <w:tblW w:w="0" w:type="auto"/>
        <w:jc w:val="center"/>
        <w:tblLook w:val="04A0" w:firstRow="1" w:lastRow="0" w:firstColumn="1" w:lastColumn="0" w:noHBand="0" w:noVBand="1"/>
      </w:tblPr>
      <w:tblGrid>
        <w:gridCol w:w="2264"/>
        <w:gridCol w:w="2264"/>
        <w:gridCol w:w="2264"/>
      </w:tblGrid>
      <w:tr w:rsidR="004D52D1" w14:paraId="6A470DAB" w14:textId="77777777" w:rsidTr="00452F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4" w:type="dxa"/>
          </w:tcPr>
          <w:p w14:paraId="43F62BC4" w14:textId="77777777" w:rsidR="004D52D1" w:rsidRDefault="004D52D1" w:rsidP="0037615E"/>
        </w:tc>
        <w:tc>
          <w:tcPr>
            <w:tcW w:w="4528" w:type="dxa"/>
            <w:gridSpan w:val="2"/>
          </w:tcPr>
          <w:p w14:paraId="55F9C6A8" w14:textId="77777777" w:rsidR="004D52D1" w:rsidRDefault="004D52D1" w:rsidP="0037615E">
            <w:pPr>
              <w:cnfStyle w:val="100000000000" w:firstRow="1" w:lastRow="0" w:firstColumn="0" w:lastColumn="0" w:oddVBand="0" w:evenVBand="0" w:oddHBand="0" w:evenHBand="0" w:firstRowFirstColumn="0" w:firstRowLastColumn="0" w:lastRowFirstColumn="0" w:lastRowLastColumn="0"/>
            </w:pPr>
            <w:r>
              <w:t>Truth</w:t>
            </w:r>
          </w:p>
        </w:tc>
      </w:tr>
      <w:tr w:rsidR="004D52D1" w14:paraId="761E68E4" w14:textId="77777777" w:rsidTr="00452F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4" w:type="dxa"/>
          </w:tcPr>
          <w:p w14:paraId="42E455E0" w14:textId="77777777" w:rsidR="004D52D1" w:rsidRDefault="004D52D1" w:rsidP="0037615E">
            <w:r>
              <w:t>Prediction</w:t>
            </w:r>
          </w:p>
        </w:tc>
        <w:tc>
          <w:tcPr>
            <w:tcW w:w="2264" w:type="dxa"/>
            <w:shd w:val="clear" w:color="auto" w:fill="auto"/>
          </w:tcPr>
          <w:p w14:paraId="4CBF5CC6" w14:textId="77777777" w:rsidR="004D52D1" w:rsidRPr="005667E3" w:rsidRDefault="004D52D1" w:rsidP="0037615E">
            <w:pPr>
              <w:cnfStyle w:val="000000100000" w:firstRow="0" w:lastRow="0" w:firstColumn="0" w:lastColumn="0" w:oddVBand="0" w:evenVBand="0" w:oddHBand="1" w:evenHBand="0" w:firstRowFirstColumn="0" w:firstRowLastColumn="0" w:lastRowFirstColumn="0" w:lastRowLastColumn="0"/>
            </w:pPr>
            <w:r w:rsidRPr="005667E3">
              <w:t>Fire</w:t>
            </w:r>
          </w:p>
        </w:tc>
        <w:tc>
          <w:tcPr>
            <w:tcW w:w="2264" w:type="dxa"/>
            <w:shd w:val="clear" w:color="auto" w:fill="auto"/>
          </w:tcPr>
          <w:p w14:paraId="6456EF12" w14:textId="77777777" w:rsidR="004D52D1" w:rsidRPr="005667E3" w:rsidRDefault="004D52D1" w:rsidP="0037615E">
            <w:pPr>
              <w:cnfStyle w:val="000000100000" w:firstRow="0" w:lastRow="0" w:firstColumn="0" w:lastColumn="0" w:oddVBand="0" w:evenVBand="0" w:oddHBand="1" w:evenHBand="0" w:firstRowFirstColumn="0" w:firstRowLastColumn="0" w:lastRowFirstColumn="0" w:lastRowLastColumn="0"/>
            </w:pPr>
            <w:r w:rsidRPr="005667E3">
              <w:t>none</w:t>
            </w:r>
          </w:p>
        </w:tc>
      </w:tr>
      <w:tr w:rsidR="004D52D1" w14:paraId="343175A5" w14:textId="77777777" w:rsidTr="00452FA0">
        <w:trPr>
          <w:jc w:val="center"/>
        </w:trPr>
        <w:tc>
          <w:tcPr>
            <w:cnfStyle w:val="001000000000" w:firstRow="0" w:lastRow="0" w:firstColumn="1" w:lastColumn="0" w:oddVBand="0" w:evenVBand="0" w:oddHBand="0" w:evenHBand="0" w:firstRowFirstColumn="0" w:firstRowLastColumn="0" w:lastRowFirstColumn="0" w:lastRowLastColumn="0"/>
            <w:tcW w:w="2264" w:type="dxa"/>
          </w:tcPr>
          <w:p w14:paraId="07AAED7D" w14:textId="77777777" w:rsidR="004D52D1" w:rsidRDefault="004D52D1" w:rsidP="0037615E">
            <w:r>
              <w:t>Fire</w:t>
            </w:r>
          </w:p>
        </w:tc>
        <w:tc>
          <w:tcPr>
            <w:tcW w:w="2264" w:type="dxa"/>
            <w:shd w:val="clear" w:color="auto" w:fill="auto"/>
          </w:tcPr>
          <w:p w14:paraId="43659539" w14:textId="1A35A324" w:rsidR="004D52D1" w:rsidRDefault="004D52D1" w:rsidP="0037615E">
            <w:pPr>
              <w:cnfStyle w:val="000000000000" w:firstRow="0" w:lastRow="0" w:firstColumn="0" w:lastColumn="0" w:oddVBand="0" w:evenVBand="0" w:oddHBand="0" w:evenHBand="0" w:firstRowFirstColumn="0" w:firstRowLastColumn="0" w:lastRowFirstColumn="0" w:lastRowLastColumn="0"/>
            </w:pPr>
            <w:r w:rsidRPr="004D52D1">
              <w:t>899</w:t>
            </w:r>
          </w:p>
        </w:tc>
        <w:tc>
          <w:tcPr>
            <w:tcW w:w="2264" w:type="dxa"/>
            <w:shd w:val="clear" w:color="auto" w:fill="auto"/>
          </w:tcPr>
          <w:p w14:paraId="2B1A8A1E" w14:textId="19A12E2C" w:rsidR="004D52D1" w:rsidRDefault="004D52D1" w:rsidP="0037615E">
            <w:pPr>
              <w:cnfStyle w:val="000000000000" w:firstRow="0" w:lastRow="0" w:firstColumn="0" w:lastColumn="0" w:oddVBand="0" w:evenVBand="0" w:oddHBand="0" w:evenHBand="0" w:firstRowFirstColumn="0" w:firstRowLastColumn="0" w:lastRowFirstColumn="0" w:lastRowLastColumn="0"/>
            </w:pPr>
            <w:r w:rsidRPr="004D52D1">
              <w:t>9858</w:t>
            </w:r>
          </w:p>
        </w:tc>
      </w:tr>
      <w:tr w:rsidR="004D52D1" w14:paraId="508258E8" w14:textId="77777777" w:rsidTr="00452F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4" w:type="dxa"/>
          </w:tcPr>
          <w:p w14:paraId="687AFF20" w14:textId="77777777" w:rsidR="004D52D1" w:rsidRDefault="004D52D1" w:rsidP="0037615E">
            <w:r>
              <w:t>none</w:t>
            </w:r>
          </w:p>
        </w:tc>
        <w:tc>
          <w:tcPr>
            <w:tcW w:w="2264" w:type="dxa"/>
            <w:shd w:val="clear" w:color="auto" w:fill="auto"/>
          </w:tcPr>
          <w:p w14:paraId="519A53B4" w14:textId="57CFFD6E" w:rsidR="004D52D1" w:rsidRDefault="004D52D1" w:rsidP="0037615E">
            <w:pPr>
              <w:cnfStyle w:val="000000100000" w:firstRow="0" w:lastRow="0" w:firstColumn="0" w:lastColumn="0" w:oddVBand="0" w:evenVBand="0" w:oddHBand="1" w:evenHBand="0" w:firstRowFirstColumn="0" w:firstRowLastColumn="0" w:lastRowFirstColumn="0" w:lastRowLastColumn="0"/>
            </w:pPr>
            <w:r w:rsidRPr="004D52D1">
              <w:t>308</w:t>
            </w:r>
          </w:p>
        </w:tc>
        <w:tc>
          <w:tcPr>
            <w:tcW w:w="2264" w:type="dxa"/>
            <w:shd w:val="clear" w:color="auto" w:fill="auto"/>
          </w:tcPr>
          <w:p w14:paraId="2889FB81" w14:textId="58557929" w:rsidR="004D52D1" w:rsidRDefault="004D52D1" w:rsidP="0037615E">
            <w:pPr>
              <w:cnfStyle w:val="000000100000" w:firstRow="0" w:lastRow="0" w:firstColumn="0" w:lastColumn="0" w:oddVBand="0" w:evenVBand="0" w:oddHBand="1" w:evenHBand="0" w:firstRowFirstColumn="0" w:firstRowLastColumn="0" w:lastRowFirstColumn="0" w:lastRowLastColumn="0"/>
            </w:pPr>
            <w:r w:rsidRPr="004D52D1">
              <w:t>18663</w:t>
            </w:r>
          </w:p>
        </w:tc>
      </w:tr>
    </w:tbl>
    <w:p w14:paraId="21D5EC4A" w14:textId="5C2A7DC0" w:rsidR="004D52D1" w:rsidRDefault="006039C7" w:rsidP="00CA48B8">
      <w:pPr>
        <w:pStyle w:val="Beschriftung"/>
        <w:jc w:val="center"/>
      </w:pPr>
      <w:bookmarkStart w:id="2" w:name="_Ref88223141"/>
      <w:r>
        <w:t xml:space="preserve">Table </w:t>
      </w:r>
      <w:fldSimple w:instr=" SEQ Table \* ARABIC ">
        <w:r w:rsidR="00BC50C5">
          <w:rPr>
            <w:noProof/>
          </w:rPr>
          <w:t>4</w:t>
        </w:r>
      </w:fldSimple>
      <w:bookmarkEnd w:id="2"/>
      <w:r>
        <w:t xml:space="preserve">: </w:t>
      </w:r>
      <w:r w:rsidRPr="001A5C17">
        <w:t xml:space="preserve">Confusion Matrix of </w:t>
      </w:r>
      <w:r>
        <w:t xml:space="preserve">tuned Elastic Net </w:t>
      </w:r>
      <w:r w:rsidRPr="001A5C17">
        <w:t>Model (</w:t>
      </w:r>
      <w:proofErr w:type="spellStart"/>
      <w:r>
        <w:t>upsampled</w:t>
      </w:r>
      <w:proofErr w:type="spellEnd"/>
      <w:r w:rsidRPr="001A5C17">
        <w:t>)</w:t>
      </w:r>
    </w:p>
    <w:p w14:paraId="5DBF72F3" w14:textId="750956BC" w:rsidR="00626CEB" w:rsidRPr="00626CEB" w:rsidRDefault="00626CEB" w:rsidP="0037615E">
      <w:pPr>
        <w:pStyle w:val="berschrift2"/>
        <w:numPr>
          <w:ilvl w:val="1"/>
          <w:numId w:val="3"/>
        </w:numPr>
      </w:pPr>
      <w:r>
        <w:lastRenderedPageBreak/>
        <w:t>Stratified random split</w:t>
      </w:r>
    </w:p>
    <w:p w14:paraId="5ABA1054" w14:textId="77777777" w:rsidR="00484C8C" w:rsidRDefault="007F0BA7" w:rsidP="0037615E">
      <w:r>
        <w:t xml:space="preserve">Clearly, these models are unable to satisfyingly classify fire ignitions and non-events in the data set designated for testing. </w:t>
      </w:r>
      <w:r w:rsidR="00C3068E">
        <w:t xml:space="preserve">This comes as a surprise after the performance estimates based on resampling the training data showed promising results for all model specifications. </w:t>
      </w:r>
      <w:r w:rsidR="00A7281B">
        <w:t xml:space="preserve">The superior performance achieved through resampling hints toward the reason for the drop in performance when predicting the test set: All classifiers appear to achieve much better results when evaluated on testing data </w:t>
      </w:r>
      <w:r w:rsidR="005638E2">
        <w:t xml:space="preserve">that was not split based on year, but random sampling as is done during cross validation. </w:t>
      </w:r>
    </w:p>
    <w:p w14:paraId="556526AD" w14:textId="55AC7795" w:rsidR="000E2180" w:rsidRDefault="006B296E" w:rsidP="0037615E">
      <w:r>
        <w:t xml:space="preserve">For this </w:t>
      </w:r>
      <w:r w:rsidR="00A52AEE">
        <w:t>reason,</w:t>
      </w:r>
      <w:r>
        <w:t xml:space="preserve"> I estimated another set of models with the exact same modeling specifications, except that the training and testing split </w:t>
      </w:r>
      <w:r w:rsidR="00484C8C">
        <w:t>being</w:t>
      </w:r>
      <w:r>
        <w:t xml:space="preserve"> conducted at random and not based on year. </w:t>
      </w:r>
    </w:p>
    <w:tbl>
      <w:tblPr>
        <w:tblStyle w:val="Gitternetztabelle7farbigAkzent1"/>
        <w:tblW w:w="0" w:type="auto"/>
        <w:tblInd w:w="5" w:type="dxa"/>
        <w:tblLook w:val="04A0" w:firstRow="1" w:lastRow="0" w:firstColumn="1" w:lastColumn="0" w:noHBand="0" w:noVBand="1"/>
      </w:tblPr>
      <w:tblGrid>
        <w:gridCol w:w="2566"/>
        <w:gridCol w:w="2165"/>
        <w:gridCol w:w="2165"/>
        <w:gridCol w:w="2165"/>
      </w:tblGrid>
      <w:tr w:rsidR="006B296E" w:rsidRPr="00D9401A" w14:paraId="32E5B608" w14:textId="77777777" w:rsidTr="001369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69" w:type="dxa"/>
          </w:tcPr>
          <w:p w14:paraId="2EBA58C3" w14:textId="77777777" w:rsidR="006B296E" w:rsidRPr="00D9401A" w:rsidRDefault="006B296E" w:rsidP="0037615E">
            <w:proofErr w:type="gramStart"/>
            <w:r w:rsidRPr="00D9401A">
              <w:t>.metric</w:t>
            </w:r>
            <w:proofErr w:type="gramEnd"/>
          </w:p>
        </w:tc>
        <w:tc>
          <w:tcPr>
            <w:tcW w:w="3570" w:type="dxa"/>
          </w:tcPr>
          <w:p w14:paraId="3DEC00B7" w14:textId="77777777" w:rsidR="006B296E" w:rsidRPr="00D9401A" w:rsidRDefault="006B296E" w:rsidP="0037615E">
            <w:pPr>
              <w:cnfStyle w:val="100000000000" w:firstRow="1" w:lastRow="0" w:firstColumn="0" w:lastColumn="0" w:oddVBand="0" w:evenVBand="0" w:oddHBand="0" w:evenHBand="0" w:firstRowFirstColumn="0" w:firstRowLastColumn="0" w:lastRowFirstColumn="0" w:lastRowLastColumn="0"/>
            </w:pPr>
            <w:r>
              <w:t>GLM</w:t>
            </w:r>
          </w:p>
        </w:tc>
        <w:tc>
          <w:tcPr>
            <w:tcW w:w="3570" w:type="dxa"/>
          </w:tcPr>
          <w:p w14:paraId="21E43816" w14:textId="77777777" w:rsidR="006B296E" w:rsidRPr="00D9401A" w:rsidRDefault="006B296E" w:rsidP="0037615E">
            <w:pPr>
              <w:cnfStyle w:val="100000000000" w:firstRow="1" w:lastRow="0" w:firstColumn="0" w:lastColumn="0" w:oddVBand="0" w:evenVBand="0" w:oddHBand="0" w:evenHBand="0" w:firstRowFirstColumn="0" w:firstRowLastColumn="0" w:lastRowFirstColumn="0" w:lastRowLastColumn="0"/>
            </w:pPr>
            <w:r>
              <w:t>RF</w:t>
            </w:r>
          </w:p>
        </w:tc>
        <w:tc>
          <w:tcPr>
            <w:tcW w:w="3570" w:type="dxa"/>
          </w:tcPr>
          <w:p w14:paraId="4B486208" w14:textId="77777777" w:rsidR="006B296E" w:rsidRPr="00D9401A" w:rsidRDefault="006B296E" w:rsidP="0037615E">
            <w:pPr>
              <w:cnfStyle w:val="100000000000" w:firstRow="1" w:lastRow="0" w:firstColumn="0" w:lastColumn="0" w:oddVBand="0" w:evenVBand="0" w:oddHBand="0" w:evenHBand="0" w:firstRowFirstColumn="0" w:firstRowLastColumn="0" w:lastRowFirstColumn="0" w:lastRowLastColumn="0"/>
            </w:pPr>
            <w:r>
              <w:t>XGB</w:t>
            </w:r>
          </w:p>
        </w:tc>
      </w:tr>
      <w:tr w:rsidR="006B296E" w:rsidRPr="00D9401A" w14:paraId="28BAE8BF" w14:textId="77777777" w:rsidTr="005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9" w:type="dxa"/>
          </w:tcPr>
          <w:p w14:paraId="318524AD" w14:textId="77777777" w:rsidR="006B296E" w:rsidRPr="00D9401A" w:rsidRDefault="006B296E" w:rsidP="0037615E">
            <w:r w:rsidRPr="0037174B">
              <w:t>accuracy</w:t>
            </w:r>
          </w:p>
        </w:tc>
        <w:tc>
          <w:tcPr>
            <w:tcW w:w="3570" w:type="dxa"/>
            <w:shd w:val="clear" w:color="auto" w:fill="auto"/>
          </w:tcPr>
          <w:p w14:paraId="5BDCDD88"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0.642</w:t>
            </w:r>
          </w:p>
        </w:tc>
        <w:tc>
          <w:tcPr>
            <w:tcW w:w="3570" w:type="dxa"/>
            <w:shd w:val="clear" w:color="auto" w:fill="auto"/>
          </w:tcPr>
          <w:p w14:paraId="432B9EB2"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0.86</w:t>
            </w:r>
          </w:p>
        </w:tc>
        <w:tc>
          <w:tcPr>
            <w:tcW w:w="3570" w:type="dxa"/>
            <w:shd w:val="clear" w:color="auto" w:fill="auto"/>
          </w:tcPr>
          <w:p w14:paraId="7B73E8E7"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0.807</w:t>
            </w:r>
          </w:p>
        </w:tc>
      </w:tr>
      <w:tr w:rsidR="006B296E" w:rsidRPr="00D9401A" w14:paraId="0EB0982C" w14:textId="77777777" w:rsidTr="00503996">
        <w:tc>
          <w:tcPr>
            <w:cnfStyle w:val="001000000000" w:firstRow="0" w:lastRow="0" w:firstColumn="1" w:lastColumn="0" w:oddVBand="0" w:evenVBand="0" w:oddHBand="0" w:evenHBand="0" w:firstRowFirstColumn="0" w:firstRowLastColumn="0" w:lastRowFirstColumn="0" w:lastRowLastColumn="0"/>
            <w:tcW w:w="3569" w:type="dxa"/>
          </w:tcPr>
          <w:p w14:paraId="257FA08F" w14:textId="77777777" w:rsidR="006B296E" w:rsidRPr="00D9401A" w:rsidRDefault="006B296E" w:rsidP="0037615E">
            <w:r w:rsidRPr="0037174B">
              <w:t>Classification</w:t>
            </w:r>
            <w:r>
              <w:t xml:space="preserve"> </w:t>
            </w:r>
            <w:r w:rsidRPr="0037174B">
              <w:t>cost</w:t>
            </w:r>
          </w:p>
        </w:tc>
        <w:tc>
          <w:tcPr>
            <w:tcW w:w="3570" w:type="dxa"/>
            <w:shd w:val="clear" w:color="auto" w:fill="auto"/>
          </w:tcPr>
          <w:p w14:paraId="2C3F5821"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0.388</w:t>
            </w:r>
          </w:p>
        </w:tc>
        <w:tc>
          <w:tcPr>
            <w:tcW w:w="3570" w:type="dxa"/>
            <w:shd w:val="clear" w:color="auto" w:fill="auto"/>
          </w:tcPr>
          <w:p w14:paraId="1524BD16"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0.238</w:t>
            </w:r>
          </w:p>
        </w:tc>
        <w:tc>
          <w:tcPr>
            <w:tcW w:w="3570" w:type="dxa"/>
            <w:shd w:val="clear" w:color="auto" w:fill="auto"/>
          </w:tcPr>
          <w:p w14:paraId="3D76B954"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0.244</w:t>
            </w:r>
          </w:p>
        </w:tc>
      </w:tr>
      <w:tr w:rsidR="006B296E" w:rsidRPr="00D9401A" w14:paraId="68DFDEB7" w14:textId="77777777" w:rsidTr="005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9" w:type="dxa"/>
          </w:tcPr>
          <w:p w14:paraId="27CA7C7E" w14:textId="77777777" w:rsidR="006B296E" w:rsidRPr="00D9401A" w:rsidRDefault="006B296E" w:rsidP="0037615E">
            <w:r>
              <w:t>F-</w:t>
            </w:r>
            <w:r w:rsidRPr="0037174B">
              <w:t>meas</w:t>
            </w:r>
            <w:r>
              <w:t>ure</w:t>
            </w:r>
          </w:p>
        </w:tc>
        <w:tc>
          <w:tcPr>
            <w:tcW w:w="3570" w:type="dxa"/>
            <w:shd w:val="clear" w:color="auto" w:fill="auto"/>
          </w:tcPr>
          <w:p w14:paraId="1E16C392"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0.092</w:t>
            </w:r>
          </w:p>
        </w:tc>
        <w:tc>
          <w:tcPr>
            <w:tcW w:w="3570" w:type="dxa"/>
            <w:shd w:val="clear" w:color="auto" w:fill="auto"/>
          </w:tcPr>
          <w:p w14:paraId="6A596AB0"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0.201</w:t>
            </w:r>
          </w:p>
        </w:tc>
        <w:tc>
          <w:tcPr>
            <w:tcW w:w="3570" w:type="dxa"/>
            <w:shd w:val="clear" w:color="auto" w:fill="auto"/>
          </w:tcPr>
          <w:p w14:paraId="035EDA0D"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0.155</w:t>
            </w:r>
          </w:p>
        </w:tc>
      </w:tr>
      <w:tr w:rsidR="006B296E" w:rsidRPr="00D9401A" w14:paraId="57C74D3B" w14:textId="77777777" w:rsidTr="00503996">
        <w:tc>
          <w:tcPr>
            <w:cnfStyle w:val="001000000000" w:firstRow="0" w:lastRow="0" w:firstColumn="1" w:lastColumn="0" w:oddVBand="0" w:evenVBand="0" w:oddHBand="0" w:evenHBand="0" w:firstRowFirstColumn="0" w:firstRowLastColumn="0" w:lastRowFirstColumn="0" w:lastRowLastColumn="0"/>
            <w:tcW w:w="3569" w:type="dxa"/>
          </w:tcPr>
          <w:p w14:paraId="6F7002F2" w14:textId="77777777" w:rsidR="006B296E" w:rsidRPr="00D9401A" w:rsidRDefault="006B296E" w:rsidP="0037615E">
            <w:r w:rsidRPr="0037174B">
              <w:t>precision</w:t>
            </w:r>
          </w:p>
        </w:tc>
        <w:tc>
          <w:tcPr>
            <w:tcW w:w="3570" w:type="dxa"/>
            <w:shd w:val="clear" w:color="auto" w:fill="auto"/>
          </w:tcPr>
          <w:p w14:paraId="372DF068"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0.048</w:t>
            </w:r>
          </w:p>
        </w:tc>
        <w:tc>
          <w:tcPr>
            <w:tcW w:w="3570" w:type="dxa"/>
            <w:shd w:val="clear" w:color="auto" w:fill="auto"/>
          </w:tcPr>
          <w:p w14:paraId="786C8E3C"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0.115</w:t>
            </w:r>
          </w:p>
        </w:tc>
        <w:tc>
          <w:tcPr>
            <w:tcW w:w="3570" w:type="dxa"/>
            <w:shd w:val="clear" w:color="auto" w:fill="auto"/>
          </w:tcPr>
          <w:p w14:paraId="7799866F"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0.086</w:t>
            </w:r>
          </w:p>
        </w:tc>
      </w:tr>
      <w:tr w:rsidR="006B296E" w:rsidRPr="00D9401A" w14:paraId="17D3FD79" w14:textId="77777777" w:rsidTr="005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9" w:type="dxa"/>
          </w:tcPr>
          <w:p w14:paraId="13EAA27C" w14:textId="77777777" w:rsidR="006B296E" w:rsidRPr="00D9401A" w:rsidRDefault="006B296E" w:rsidP="0037615E">
            <w:r w:rsidRPr="0037174B">
              <w:t>recall</w:t>
            </w:r>
          </w:p>
        </w:tc>
        <w:tc>
          <w:tcPr>
            <w:tcW w:w="3570" w:type="dxa"/>
            <w:shd w:val="clear" w:color="auto" w:fill="auto"/>
          </w:tcPr>
          <w:p w14:paraId="2B681E8E"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0.833</w:t>
            </w:r>
          </w:p>
        </w:tc>
        <w:tc>
          <w:tcPr>
            <w:tcW w:w="3570" w:type="dxa"/>
            <w:shd w:val="clear" w:color="auto" w:fill="auto"/>
          </w:tcPr>
          <w:p w14:paraId="5468E734"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0.812</w:t>
            </w:r>
          </w:p>
        </w:tc>
        <w:tc>
          <w:tcPr>
            <w:tcW w:w="3570" w:type="dxa"/>
            <w:shd w:val="clear" w:color="auto" w:fill="auto"/>
          </w:tcPr>
          <w:p w14:paraId="577AA9E1" w14:textId="77777777" w:rsidR="006B296E" w:rsidRPr="00D9401A" w:rsidRDefault="006B296E" w:rsidP="0037615E">
            <w:pPr>
              <w:cnfStyle w:val="000000100000" w:firstRow="0" w:lastRow="0" w:firstColumn="0" w:lastColumn="0" w:oddVBand="0" w:evenVBand="0" w:oddHBand="1" w:evenHBand="0" w:firstRowFirstColumn="0" w:firstRowLastColumn="0" w:lastRowFirstColumn="0" w:lastRowLastColumn="0"/>
            </w:pPr>
            <w:r w:rsidRPr="00D9401A">
              <w:t>0.82</w:t>
            </w:r>
          </w:p>
        </w:tc>
      </w:tr>
      <w:tr w:rsidR="006B296E" w:rsidRPr="00D9401A" w14:paraId="4703F76A" w14:textId="77777777" w:rsidTr="00503996">
        <w:tc>
          <w:tcPr>
            <w:cnfStyle w:val="001000000000" w:firstRow="0" w:lastRow="0" w:firstColumn="1" w:lastColumn="0" w:oddVBand="0" w:evenVBand="0" w:oddHBand="0" w:evenHBand="0" w:firstRowFirstColumn="0" w:firstRowLastColumn="0" w:lastRowFirstColumn="0" w:lastRowLastColumn="0"/>
            <w:tcW w:w="3569" w:type="dxa"/>
          </w:tcPr>
          <w:p w14:paraId="3AAFD18A" w14:textId="77777777" w:rsidR="006B296E" w:rsidRPr="00D9401A" w:rsidRDefault="006B296E" w:rsidP="0037615E">
            <w:r>
              <w:t>ROC-AUC</w:t>
            </w:r>
          </w:p>
        </w:tc>
        <w:tc>
          <w:tcPr>
            <w:tcW w:w="3570" w:type="dxa"/>
            <w:shd w:val="clear" w:color="auto" w:fill="auto"/>
          </w:tcPr>
          <w:p w14:paraId="06067906"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0.809</w:t>
            </w:r>
          </w:p>
        </w:tc>
        <w:tc>
          <w:tcPr>
            <w:tcW w:w="3570" w:type="dxa"/>
            <w:shd w:val="clear" w:color="auto" w:fill="auto"/>
          </w:tcPr>
          <w:p w14:paraId="415D7F25"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0.914</w:t>
            </w:r>
          </w:p>
        </w:tc>
        <w:tc>
          <w:tcPr>
            <w:tcW w:w="3570" w:type="dxa"/>
            <w:shd w:val="clear" w:color="auto" w:fill="auto"/>
          </w:tcPr>
          <w:p w14:paraId="3AE38F79" w14:textId="77777777" w:rsidR="006B296E" w:rsidRPr="00D9401A" w:rsidRDefault="006B296E" w:rsidP="0037615E">
            <w:pPr>
              <w:cnfStyle w:val="000000000000" w:firstRow="0" w:lastRow="0" w:firstColumn="0" w:lastColumn="0" w:oddVBand="0" w:evenVBand="0" w:oddHBand="0" w:evenHBand="0" w:firstRowFirstColumn="0" w:firstRowLastColumn="0" w:lastRowFirstColumn="0" w:lastRowLastColumn="0"/>
            </w:pPr>
            <w:r w:rsidRPr="00D9401A">
              <w:t>0.894</w:t>
            </w:r>
          </w:p>
        </w:tc>
      </w:tr>
    </w:tbl>
    <w:p w14:paraId="2E8D7835" w14:textId="58E9105B" w:rsidR="006B296E" w:rsidRDefault="00A52AEE" w:rsidP="00CA48B8">
      <w:pPr>
        <w:pStyle w:val="Beschriftung"/>
        <w:jc w:val="center"/>
      </w:pPr>
      <w:bookmarkStart w:id="3" w:name="_Ref88223636"/>
      <w:r>
        <w:t xml:space="preserve">Table </w:t>
      </w:r>
      <w:fldSimple w:instr=" SEQ Table \* ARABIC ">
        <w:r w:rsidR="00BC50C5">
          <w:rPr>
            <w:noProof/>
          </w:rPr>
          <w:t>5</w:t>
        </w:r>
      </w:fldSimple>
      <w:bookmarkEnd w:id="3"/>
      <w:r>
        <w:t xml:space="preserve">: Performance metrics when using a randomized training-/test split and </w:t>
      </w:r>
      <w:proofErr w:type="spellStart"/>
      <w:r>
        <w:t>downsampled</w:t>
      </w:r>
      <w:proofErr w:type="spellEnd"/>
      <w:r>
        <w:t xml:space="preserve"> training data</w:t>
      </w:r>
    </w:p>
    <w:p w14:paraId="5BC5CD5B" w14:textId="2572F036" w:rsidR="00A52AEE" w:rsidRDefault="003A2427" w:rsidP="0037615E">
      <w:r>
        <w:t>Changing</w:t>
      </w:r>
      <w:r w:rsidR="00484C8C">
        <w:t xml:space="preserve"> from time-based </w:t>
      </w:r>
      <w:r>
        <w:t>splitting to a randomized training and test split dramatically improves the performance metrics for all estimated models</w:t>
      </w:r>
      <w:r w:rsidR="00BC50C5">
        <w:t xml:space="preserve">, as seen in </w:t>
      </w:r>
      <w:r w:rsidR="00BC50C5">
        <w:fldChar w:fldCharType="begin"/>
      </w:r>
      <w:r w:rsidR="00BC50C5">
        <w:instrText xml:space="preserve"> REF _Ref88223636 \h </w:instrText>
      </w:r>
      <w:r w:rsidR="00BC50C5">
        <w:fldChar w:fldCharType="separate"/>
      </w:r>
      <w:r w:rsidR="00BC50C5">
        <w:t xml:space="preserve">Table </w:t>
      </w:r>
      <w:r w:rsidR="00BC50C5">
        <w:rPr>
          <w:noProof/>
        </w:rPr>
        <w:t>5</w:t>
      </w:r>
      <w:r w:rsidR="00BC50C5">
        <w:fldChar w:fldCharType="end"/>
      </w:r>
      <w:r>
        <w:t xml:space="preserve">. </w:t>
      </w:r>
      <w:r w:rsidR="00870CA6">
        <w:t xml:space="preserve">These models are trained on the </w:t>
      </w:r>
      <w:proofErr w:type="spellStart"/>
      <w:r w:rsidR="00870CA6">
        <w:t>downsampled</w:t>
      </w:r>
      <w:proofErr w:type="spellEnd"/>
      <w:r w:rsidR="00870CA6">
        <w:t xml:space="preserve"> training data set, which has proven to lead to comparable if not superior prediction results for the previously estimated models (see </w:t>
      </w:r>
      <w:r w:rsidR="00870CA6">
        <w:fldChar w:fldCharType="begin"/>
      </w:r>
      <w:r w:rsidR="00870CA6">
        <w:instrText xml:space="preserve"> REF _Ref88151586 \h </w:instrText>
      </w:r>
      <w:r w:rsidR="00870CA6">
        <w:fldChar w:fldCharType="separate"/>
      </w:r>
      <w:r w:rsidR="00BC50C5">
        <w:t>Table</w:t>
      </w:r>
      <w:r w:rsidR="00BC50C5">
        <w:t xml:space="preserve"> </w:t>
      </w:r>
      <w:r w:rsidR="00BC50C5">
        <w:rPr>
          <w:noProof/>
        </w:rPr>
        <w:t>3</w:t>
      </w:r>
      <w:r w:rsidR="00870CA6">
        <w:fldChar w:fldCharType="end"/>
      </w:r>
      <w:r w:rsidR="00870CA6">
        <w:t xml:space="preserve">). </w:t>
      </w:r>
    </w:p>
    <w:p w14:paraId="711C46B4" w14:textId="2ECC8538" w:rsidR="00893491" w:rsidRDefault="00893491" w:rsidP="0037615E">
      <w:r>
        <w:lastRenderedPageBreak/>
        <w:t xml:space="preserve">Not only is predictive performance increased for all models, the changes to the training and test split also affect these models </w:t>
      </w:r>
      <w:r w:rsidR="00CC7BC3">
        <w:t>differently</w:t>
      </w:r>
      <w:r>
        <w:t xml:space="preserve">. </w:t>
      </w:r>
      <w:r w:rsidR="00CC7BC3">
        <w:t xml:space="preserve">The Random Forest classifier now achieves the highest performance with a ROC-AUC of 0.914, closely followed by </w:t>
      </w:r>
      <w:proofErr w:type="spellStart"/>
      <w:r w:rsidR="00CC7BC3" w:rsidRPr="0018437C">
        <w:rPr>
          <w:i/>
          <w:iCs/>
        </w:rPr>
        <w:t>xgboost</w:t>
      </w:r>
      <w:proofErr w:type="spellEnd"/>
      <w:r w:rsidR="00CC7BC3">
        <w:t xml:space="preserve"> with a ROC-AUC of 0.894. </w:t>
      </w:r>
      <w:r w:rsidR="0018437C">
        <w:t xml:space="preserve">Hyperparameter tuning determined the best combination of parameters to be </w:t>
      </w:r>
      <w:proofErr w:type="spellStart"/>
      <w:r w:rsidR="0018437C" w:rsidRPr="0018437C">
        <w:rPr>
          <w:i/>
          <w:iCs/>
        </w:rPr>
        <w:t>mtry</w:t>
      </w:r>
      <w:proofErr w:type="spellEnd"/>
      <w:r w:rsidR="0018437C">
        <w:t xml:space="preserve"> of 23 and </w:t>
      </w:r>
      <w:proofErr w:type="spellStart"/>
      <w:r w:rsidR="0018437C" w:rsidRPr="0018437C">
        <w:rPr>
          <w:i/>
          <w:iCs/>
        </w:rPr>
        <w:t>min_n</w:t>
      </w:r>
      <w:proofErr w:type="spellEnd"/>
      <w:r w:rsidR="0018437C">
        <w:t xml:space="preserve"> of 4, given 500 grown decision trees in the ensemble. For </w:t>
      </w:r>
      <w:proofErr w:type="spellStart"/>
      <w:r w:rsidR="0018437C" w:rsidRPr="0018437C">
        <w:rPr>
          <w:i/>
          <w:iCs/>
        </w:rPr>
        <w:t>xgboost</w:t>
      </w:r>
      <w:proofErr w:type="spellEnd"/>
      <w:r w:rsidR="0018437C">
        <w:rPr>
          <w:i/>
          <w:iCs/>
        </w:rPr>
        <w:t xml:space="preserve"> </w:t>
      </w:r>
      <w:r w:rsidR="0018437C">
        <w:t xml:space="preserve">a similar </w:t>
      </w:r>
      <w:proofErr w:type="spellStart"/>
      <w:r w:rsidR="0018437C" w:rsidRPr="0018437C">
        <w:rPr>
          <w:i/>
          <w:iCs/>
        </w:rPr>
        <w:t>mtry</w:t>
      </w:r>
      <w:proofErr w:type="spellEnd"/>
      <w:r w:rsidR="0018437C">
        <w:rPr>
          <w:i/>
          <w:iCs/>
        </w:rPr>
        <w:t xml:space="preserve"> </w:t>
      </w:r>
      <w:r w:rsidR="0018437C">
        <w:t xml:space="preserve">with a value of 22 and a much larger </w:t>
      </w:r>
      <w:proofErr w:type="spellStart"/>
      <w:r w:rsidR="0018437C" w:rsidRPr="0018437C">
        <w:rPr>
          <w:i/>
          <w:iCs/>
        </w:rPr>
        <w:t>min_n</w:t>
      </w:r>
      <w:proofErr w:type="spellEnd"/>
      <w:r w:rsidR="0018437C" w:rsidRPr="0018437C">
        <w:t xml:space="preserve"> of</w:t>
      </w:r>
      <w:r w:rsidR="0018437C">
        <w:t xml:space="preserve"> 29</w:t>
      </w:r>
      <w:r w:rsidR="00703CB3">
        <w:t xml:space="preserve">, combined with </w:t>
      </w:r>
      <w:proofErr w:type="spellStart"/>
      <w:r w:rsidR="00703CB3" w:rsidRPr="00703CB3">
        <w:rPr>
          <w:i/>
          <w:iCs/>
        </w:rPr>
        <w:t>tree_depth</w:t>
      </w:r>
      <w:proofErr w:type="spellEnd"/>
      <w:r w:rsidR="00703CB3">
        <w:t xml:space="preserve"> of 8, a </w:t>
      </w:r>
      <w:proofErr w:type="spellStart"/>
      <w:r w:rsidR="00703CB3" w:rsidRPr="00703CB3">
        <w:rPr>
          <w:i/>
          <w:iCs/>
        </w:rPr>
        <w:t>learn_rate</w:t>
      </w:r>
      <w:proofErr w:type="spellEnd"/>
      <w:r w:rsidR="00703CB3">
        <w:t xml:space="preserve"> of </w:t>
      </w:r>
      <w:r w:rsidR="00703CB3" w:rsidRPr="00703CB3">
        <w:t>0.0637</w:t>
      </w:r>
      <w:r w:rsidR="00703CB3">
        <w:t xml:space="preserve">, </w:t>
      </w:r>
      <w:proofErr w:type="spellStart"/>
      <w:r w:rsidR="00703CB3" w:rsidRPr="00703CB3">
        <w:rPr>
          <w:i/>
          <w:iCs/>
        </w:rPr>
        <w:t>loss_reduction</w:t>
      </w:r>
      <w:proofErr w:type="spellEnd"/>
      <w:r w:rsidR="00703CB3">
        <w:t xml:space="preserve"> of </w:t>
      </w:r>
      <w:r w:rsidR="00703CB3" w:rsidRPr="00703CB3">
        <w:t>0.000000916</w:t>
      </w:r>
      <w:r w:rsidR="00703CB3">
        <w:t xml:space="preserve"> and a </w:t>
      </w:r>
      <w:proofErr w:type="spellStart"/>
      <w:r w:rsidR="00703CB3" w:rsidRPr="00703CB3">
        <w:rPr>
          <w:i/>
          <w:iCs/>
        </w:rPr>
        <w:t>sample_size</w:t>
      </w:r>
      <w:proofErr w:type="spellEnd"/>
      <w:r w:rsidR="00703CB3">
        <w:t xml:space="preserve"> of 82.6% were determined to </w:t>
      </w:r>
      <w:proofErr w:type="spellStart"/>
      <w:r w:rsidR="00703CB3">
        <w:t>maximixe</w:t>
      </w:r>
      <w:proofErr w:type="spellEnd"/>
      <w:r w:rsidR="00703CB3">
        <w:t xml:space="preserve"> the ROC-AUC. </w:t>
      </w:r>
      <w:r w:rsidR="00CC7BC3">
        <w:t xml:space="preserve">Elastic net regression, which previously outperformed the other classifiers, profits the least from changes and now ranks last with a ROC-AUC of 0.809. </w:t>
      </w:r>
      <w:r w:rsidR="00E47A26">
        <w:t>Hyperparameter tuning has found that the ideal</w:t>
      </w:r>
      <w:r w:rsidR="00E47A26">
        <w:rPr>
          <w:i/>
          <w:iCs/>
        </w:rPr>
        <w:t xml:space="preserve"> penalty </w:t>
      </w:r>
      <w:r w:rsidR="00E47A26">
        <w:t xml:space="preserve">value remains </w:t>
      </w:r>
      <w:r w:rsidR="00E47A26" w:rsidRPr="00E47A26">
        <w:t>0.0000000001</w:t>
      </w:r>
      <w:r w:rsidR="00E47A26">
        <w:t xml:space="preserve">, with the optimal </w:t>
      </w:r>
      <w:r w:rsidR="00E47A26">
        <w:rPr>
          <w:i/>
          <w:iCs/>
        </w:rPr>
        <w:t xml:space="preserve">mixture </w:t>
      </w:r>
      <w:r w:rsidR="00E47A26">
        <w:t xml:space="preserve">now being 0.5, which results in an equal mixture between LASSO and ridge penalties. </w:t>
      </w:r>
    </w:p>
    <w:p w14:paraId="437F19D2" w14:textId="71FEDE57" w:rsidR="00CB13A3" w:rsidRDefault="003F4F19" w:rsidP="0037615E">
      <w:r>
        <w:t xml:space="preserve">I ultimately rate the Random Forest as the strongest model. Not only does it achieve the largest ROC-AUC, but it outperforms elastic net regression and </w:t>
      </w:r>
      <w:proofErr w:type="spellStart"/>
      <w:r>
        <w:t>xgboost</w:t>
      </w:r>
      <w:proofErr w:type="spellEnd"/>
      <w:r>
        <w:t xml:space="preserve"> in terms of every other metric except for recall, which is still comparable. Random Forest achieves the highest accuracy, highest </w:t>
      </w:r>
      <w:r w:rsidR="00B23B12">
        <w:t>precision,</w:t>
      </w:r>
      <w:r>
        <w:t xml:space="preserve"> and highest F-measure, despite the slightly lower recall. This combination of metrics </w:t>
      </w:r>
      <w:r w:rsidR="00B23B12">
        <w:t xml:space="preserve">indicates that the Random Forest model achieves the best classification boundary among these models while minimizing the penalized classification cost metric. </w:t>
      </w:r>
      <w:r w:rsidR="00226109">
        <w:t xml:space="preserve">This is reflected in the confusion matrix of the Random Forest model, as seen in </w:t>
      </w:r>
      <w:r w:rsidR="00226109">
        <w:fldChar w:fldCharType="begin"/>
      </w:r>
      <w:r w:rsidR="00226109">
        <w:instrText xml:space="preserve"> REF _Ref88222519 \h </w:instrText>
      </w:r>
      <w:r w:rsidR="00226109">
        <w:fldChar w:fldCharType="separate"/>
      </w:r>
      <w:r w:rsidR="00BC50C5">
        <w:t xml:space="preserve">Table </w:t>
      </w:r>
      <w:r w:rsidR="00BC50C5">
        <w:rPr>
          <w:noProof/>
        </w:rPr>
        <w:t>6</w:t>
      </w:r>
      <w:r w:rsidR="00226109">
        <w:fldChar w:fldCharType="end"/>
      </w:r>
      <w:r w:rsidR="00226109">
        <w:t>.</w:t>
      </w:r>
      <w:r w:rsidR="007F1E29">
        <w:t xml:space="preserve"> This confusion matrix also demonstrates that despite the optimized classification boundary this model still overestimates the number of fire ignitions, leading to </w:t>
      </w:r>
      <w:proofErr w:type="gramStart"/>
      <w:r w:rsidR="007F1E29">
        <w:t>a large number of</w:t>
      </w:r>
      <w:proofErr w:type="gramEnd"/>
      <w:r w:rsidR="007F1E29">
        <w:t xml:space="preserve"> false positives. Compared to the best performing elastic net model trained on the time-based data split depicted in </w:t>
      </w:r>
      <w:r w:rsidR="007F1E29">
        <w:fldChar w:fldCharType="begin"/>
      </w:r>
      <w:r w:rsidR="007F1E29">
        <w:instrText xml:space="preserve"> REF _Ref88223141 \h </w:instrText>
      </w:r>
      <w:r w:rsidR="007F1E29">
        <w:fldChar w:fldCharType="separate"/>
      </w:r>
      <w:r w:rsidR="00BC50C5">
        <w:t xml:space="preserve">Table </w:t>
      </w:r>
      <w:r w:rsidR="00BC50C5">
        <w:rPr>
          <w:noProof/>
        </w:rPr>
        <w:t>4</w:t>
      </w:r>
      <w:r w:rsidR="007F1E29">
        <w:fldChar w:fldCharType="end"/>
      </w:r>
      <w:r w:rsidR="007F1E29">
        <w:t xml:space="preserve"> the false positive rate is much smaller, resulting in larger specificity. </w:t>
      </w:r>
    </w:p>
    <w:p w14:paraId="59A4A790" w14:textId="1CBD382D" w:rsidR="00CA48B8" w:rsidRDefault="00CA48B8" w:rsidP="0037615E"/>
    <w:p w14:paraId="2220C94D" w14:textId="77777777" w:rsidR="00CA48B8" w:rsidRDefault="00CA48B8" w:rsidP="0037615E"/>
    <w:tbl>
      <w:tblPr>
        <w:tblStyle w:val="Listentabelle7farbigAkzent1"/>
        <w:tblW w:w="0" w:type="auto"/>
        <w:jc w:val="center"/>
        <w:tblLook w:val="04A0" w:firstRow="1" w:lastRow="0" w:firstColumn="1" w:lastColumn="0" w:noHBand="0" w:noVBand="1"/>
      </w:tblPr>
      <w:tblGrid>
        <w:gridCol w:w="2264"/>
        <w:gridCol w:w="2264"/>
        <w:gridCol w:w="2264"/>
      </w:tblGrid>
      <w:tr w:rsidR="005667E3" w14:paraId="3C1669DD" w14:textId="77777777" w:rsidTr="002261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4" w:type="dxa"/>
          </w:tcPr>
          <w:p w14:paraId="4EF3A736" w14:textId="77777777" w:rsidR="005667E3" w:rsidRDefault="005667E3" w:rsidP="0037615E"/>
        </w:tc>
        <w:tc>
          <w:tcPr>
            <w:tcW w:w="4528" w:type="dxa"/>
            <w:gridSpan w:val="2"/>
          </w:tcPr>
          <w:p w14:paraId="071E9A69" w14:textId="0789439D" w:rsidR="005667E3" w:rsidRDefault="005667E3" w:rsidP="0037615E">
            <w:pPr>
              <w:cnfStyle w:val="100000000000" w:firstRow="1" w:lastRow="0" w:firstColumn="0" w:lastColumn="0" w:oddVBand="0" w:evenVBand="0" w:oddHBand="0" w:evenHBand="0" w:firstRowFirstColumn="0" w:firstRowLastColumn="0" w:lastRowFirstColumn="0" w:lastRowLastColumn="0"/>
            </w:pPr>
            <w:r>
              <w:t>Truth</w:t>
            </w:r>
          </w:p>
        </w:tc>
      </w:tr>
      <w:tr w:rsidR="005667E3" w14:paraId="26AC834F" w14:textId="77777777" w:rsidTr="002261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4" w:type="dxa"/>
          </w:tcPr>
          <w:p w14:paraId="20BEC90A" w14:textId="4C003F26" w:rsidR="005667E3" w:rsidRDefault="005667E3" w:rsidP="0037615E">
            <w:r>
              <w:t>Prediction</w:t>
            </w:r>
          </w:p>
        </w:tc>
        <w:tc>
          <w:tcPr>
            <w:tcW w:w="2264" w:type="dxa"/>
            <w:shd w:val="clear" w:color="auto" w:fill="auto"/>
          </w:tcPr>
          <w:p w14:paraId="52334AFD" w14:textId="75333A4F" w:rsidR="005667E3" w:rsidRPr="005667E3" w:rsidRDefault="005667E3" w:rsidP="0037615E">
            <w:pPr>
              <w:cnfStyle w:val="000000100000" w:firstRow="0" w:lastRow="0" w:firstColumn="0" w:lastColumn="0" w:oddVBand="0" w:evenVBand="0" w:oddHBand="1" w:evenHBand="0" w:firstRowFirstColumn="0" w:firstRowLastColumn="0" w:lastRowFirstColumn="0" w:lastRowLastColumn="0"/>
            </w:pPr>
            <w:r w:rsidRPr="005667E3">
              <w:t>Fire</w:t>
            </w:r>
          </w:p>
        </w:tc>
        <w:tc>
          <w:tcPr>
            <w:tcW w:w="2264" w:type="dxa"/>
            <w:shd w:val="clear" w:color="auto" w:fill="auto"/>
          </w:tcPr>
          <w:p w14:paraId="14D0BB42" w14:textId="6D1EED0A" w:rsidR="005667E3" w:rsidRPr="005667E3" w:rsidRDefault="005667E3" w:rsidP="0037615E">
            <w:pPr>
              <w:cnfStyle w:val="000000100000" w:firstRow="0" w:lastRow="0" w:firstColumn="0" w:lastColumn="0" w:oddVBand="0" w:evenVBand="0" w:oddHBand="1" w:evenHBand="0" w:firstRowFirstColumn="0" w:firstRowLastColumn="0" w:lastRowFirstColumn="0" w:lastRowLastColumn="0"/>
            </w:pPr>
            <w:r w:rsidRPr="005667E3">
              <w:t>none</w:t>
            </w:r>
          </w:p>
        </w:tc>
      </w:tr>
      <w:tr w:rsidR="005667E3" w14:paraId="53E2A453" w14:textId="77777777" w:rsidTr="00503996">
        <w:trPr>
          <w:jc w:val="center"/>
        </w:trPr>
        <w:tc>
          <w:tcPr>
            <w:cnfStyle w:val="001000000000" w:firstRow="0" w:lastRow="0" w:firstColumn="1" w:lastColumn="0" w:oddVBand="0" w:evenVBand="0" w:oddHBand="0" w:evenHBand="0" w:firstRowFirstColumn="0" w:firstRowLastColumn="0" w:lastRowFirstColumn="0" w:lastRowLastColumn="0"/>
            <w:tcW w:w="2264" w:type="dxa"/>
          </w:tcPr>
          <w:p w14:paraId="0F8C628C" w14:textId="1ACB35B1" w:rsidR="005667E3" w:rsidRDefault="005667E3" w:rsidP="0037615E">
            <w:r>
              <w:t>Fire</w:t>
            </w:r>
          </w:p>
        </w:tc>
        <w:tc>
          <w:tcPr>
            <w:tcW w:w="2264" w:type="dxa"/>
            <w:shd w:val="clear" w:color="auto" w:fill="auto"/>
          </w:tcPr>
          <w:p w14:paraId="17AD535A" w14:textId="6BF2272B" w:rsidR="005667E3" w:rsidRDefault="005667E3" w:rsidP="0037615E">
            <w:pPr>
              <w:cnfStyle w:val="000000000000" w:firstRow="0" w:lastRow="0" w:firstColumn="0" w:lastColumn="0" w:oddVBand="0" w:evenVBand="0" w:oddHBand="0" w:evenHBand="0" w:firstRowFirstColumn="0" w:firstRowLastColumn="0" w:lastRowFirstColumn="0" w:lastRowLastColumn="0"/>
            </w:pPr>
            <w:r w:rsidRPr="00236175">
              <w:t>524</w:t>
            </w:r>
          </w:p>
        </w:tc>
        <w:tc>
          <w:tcPr>
            <w:tcW w:w="2264" w:type="dxa"/>
            <w:shd w:val="clear" w:color="auto" w:fill="auto"/>
          </w:tcPr>
          <w:p w14:paraId="6F6369E7" w14:textId="6212F2C5" w:rsidR="005667E3" w:rsidRDefault="005667E3" w:rsidP="0037615E">
            <w:pPr>
              <w:cnfStyle w:val="000000000000" w:firstRow="0" w:lastRow="0" w:firstColumn="0" w:lastColumn="0" w:oddVBand="0" w:evenVBand="0" w:oddHBand="0" w:evenHBand="0" w:firstRowFirstColumn="0" w:firstRowLastColumn="0" w:lastRowFirstColumn="0" w:lastRowLastColumn="0"/>
            </w:pPr>
            <w:r w:rsidRPr="00236175">
              <w:t>4038</w:t>
            </w:r>
          </w:p>
        </w:tc>
      </w:tr>
      <w:tr w:rsidR="005667E3" w14:paraId="4F79F228" w14:textId="77777777" w:rsidTr="005039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4" w:type="dxa"/>
          </w:tcPr>
          <w:p w14:paraId="4102A227" w14:textId="53CADDB9" w:rsidR="005667E3" w:rsidRDefault="005667E3" w:rsidP="0037615E">
            <w:r>
              <w:t>none</w:t>
            </w:r>
          </w:p>
        </w:tc>
        <w:tc>
          <w:tcPr>
            <w:tcW w:w="2264" w:type="dxa"/>
            <w:shd w:val="clear" w:color="auto" w:fill="auto"/>
          </w:tcPr>
          <w:p w14:paraId="1D137FDF" w14:textId="7049AAE1" w:rsidR="005667E3" w:rsidRDefault="005667E3" w:rsidP="0037615E">
            <w:pPr>
              <w:cnfStyle w:val="000000100000" w:firstRow="0" w:lastRow="0" w:firstColumn="0" w:lastColumn="0" w:oddVBand="0" w:evenVBand="0" w:oddHBand="1" w:evenHBand="0" w:firstRowFirstColumn="0" w:firstRowLastColumn="0" w:lastRowFirstColumn="0" w:lastRowLastColumn="0"/>
            </w:pPr>
            <w:r w:rsidRPr="00236175">
              <w:t>121</w:t>
            </w:r>
          </w:p>
        </w:tc>
        <w:tc>
          <w:tcPr>
            <w:tcW w:w="2264" w:type="dxa"/>
            <w:shd w:val="clear" w:color="auto" w:fill="auto"/>
          </w:tcPr>
          <w:p w14:paraId="101D4F5A" w14:textId="12BCB895" w:rsidR="005667E3" w:rsidRDefault="005667E3" w:rsidP="0037615E">
            <w:pPr>
              <w:cnfStyle w:val="000000100000" w:firstRow="0" w:lastRow="0" w:firstColumn="0" w:lastColumn="0" w:oddVBand="0" w:evenVBand="0" w:oddHBand="1" w:evenHBand="0" w:firstRowFirstColumn="0" w:firstRowLastColumn="0" w:lastRowFirstColumn="0" w:lastRowLastColumn="0"/>
            </w:pPr>
            <w:r w:rsidRPr="00236175">
              <w:t>25045</w:t>
            </w:r>
          </w:p>
        </w:tc>
      </w:tr>
    </w:tbl>
    <w:p w14:paraId="77254E66" w14:textId="5D3EE0A7" w:rsidR="00236175" w:rsidRDefault="00226109" w:rsidP="00CA48B8">
      <w:pPr>
        <w:pStyle w:val="Beschriftung"/>
        <w:jc w:val="center"/>
      </w:pPr>
      <w:bookmarkStart w:id="4" w:name="_Ref88222519"/>
      <w:r>
        <w:t xml:space="preserve">Table </w:t>
      </w:r>
      <w:fldSimple w:instr=" SEQ Table \* ARABIC ">
        <w:r w:rsidR="00BC50C5">
          <w:rPr>
            <w:noProof/>
          </w:rPr>
          <w:t>6</w:t>
        </w:r>
      </w:fldSimple>
      <w:bookmarkEnd w:id="4"/>
      <w:r>
        <w:t>: Confusion Matrix of Random Forest Model (random sampling split)</w:t>
      </w:r>
    </w:p>
    <w:p w14:paraId="5EC2F93A" w14:textId="7009F3D9" w:rsidR="00226109" w:rsidRPr="00226109" w:rsidRDefault="00226109" w:rsidP="0037615E">
      <w:r>
        <w:t>These results are much more in line with the performance estimates based on resampling as seen in</w:t>
      </w:r>
      <w:r w:rsidR="006039C7">
        <w:t xml:space="preserve"> </w:t>
      </w:r>
      <w:r w:rsidR="006039C7">
        <w:fldChar w:fldCharType="begin"/>
      </w:r>
      <w:r w:rsidR="006039C7">
        <w:instrText xml:space="preserve"> REF _Ref88158320 \h </w:instrText>
      </w:r>
      <w:r w:rsidR="006039C7">
        <w:fldChar w:fldCharType="separate"/>
      </w:r>
      <w:r w:rsidR="00BC50C5">
        <w:t xml:space="preserve">Table </w:t>
      </w:r>
      <w:r w:rsidR="00BC50C5">
        <w:rPr>
          <w:noProof/>
        </w:rPr>
        <w:t>2</w:t>
      </w:r>
      <w:r w:rsidR="006039C7">
        <w:fldChar w:fldCharType="end"/>
      </w:r>
      <w:r>
        <w:t>, both in terms of the individual metrics as well as the ranking of the classifiers.</w:t>
      </w:r>
    </w:p>
    <w:p w14:paraId="23B17F59" w14:textId="55D8988A" w:rsidR="0001285C" w:rsidRDefault="007D460B" w:rsidP="0037615E">
      <w:pPr>
        <w:pStyle w:val="berschrift1"/>
        <w:numPr>
          <w:ilvl w:val="0"/>
          <w:numId w:val="3"/>
        </w:numPr>
      </w:pPr>
      <w:r>
        <w:t>Discussion</w:t>
      </w:r>
    </w:p>
    <w:p w14:paraId="7160BD7F" w14:textId="1C730CA5" w:rsidR="002F636B" w:rsidRPr="002F636B" w:rsidRDefault="002F636B" w:rsidP="002F636B">
      <w:proofErr w:type="spellStart"/>
      <w:r>
        <w:t>bla</w:t>
      </w:r>
      <w:proofErr w:type="spellEnd"/>
    </w:p>
    <w:p w14:paraId="37C61AF7" w14:textId="7B976F31" w:rsidR="007D460B" w:rsidRDefault="002F636B" w:rsidP="002F636B">
      <w:pPr>
        <w:pStyle w:val="berschrift2"/>
        <w:numPr>
          <w:ilvl w:val="1"/>
          <w:numId w:val="3"/>
        </w:numPr>
      </w:pPr>
      <w:r>
        <w:t>Variable Importance</w:t>
      </w:r>
    </w:p>
    <w:p w14:paraId="69BFBBE0" w14:textId="3D648F41" w:rsidR="002F636B" w:rsidRPr="002F636B" w:rsidRDefault="002F636B" w:rsidP="002F636B">
      <w:proofErr w:type="spellStart"/>
      <w:r>
        <w:t>bla</w:t>
      </w:r>
      <w:proofErr w:type="spellEnd"/>
    </w:p>
    <w:p w14:paraId="0B1D1762" w14:textId="71F32626" w:rsidR="007D460B" w:rsidRDefault="007D460B" w:rsidP="0037615E">
      <w:pPr>
        <w:pStyle w:val="berschrift1"/>
        <w:numPr>
          <w:ilvl w:val="0"/>
          <w:numId w:val="3"/>
        </w:numPr>
      </w:pPr>
      <w:r>
        <w:t>Conclusion</w:t>
      </w:r>
    </w:p>
    <w:p w14:paraId="180B7A9D" w14:textId="64DE26EE" w:rsidR="007D460B" w:rsidRPr="00955275" w:rsidRDefault="007D460B" w:rsidP="0037615E">
      <w:pPr>
        <w:rPr>
          <w:lang w:val="de-DE"/>
        </w:rPr>
      </w:pPr>
      <w:proofErr w:type="spellStart"/>
      <w:r>
        <w:t>bla</w:t>
      </w:r>
      <w:proofErr w:type="spellEnd"/>
    </w:p>
    <w:sectPr w:rsidR="007D460B" w:rsidRPr="00955275"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23A4" w14:textId="77777777" w:rsidR="00D1739F" w:rsidRDefault="00D1739F" w:rsidP="0037615E">
      <w:r>
        <w:separator/>
      </w:r>
    </w:p>
  </w:endnote>
  <w:endnote w:type="continuationSeparator" w:id="0">
    <w:p w14:paraId="1333997B" w14:textId="77777777" w:rsidR="00D1739F" w:rsidRDefault="00D1739F" w:rsidP="0037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8F51" w14:textId="77777777" w:rsidR="00D1739F" w:rsidRDefault="00D1739F" w:rsidP="0037615E">
      <w:r>
        <w:separator/>
      </w:r>
    </w:p>
  </w:footnote>
  <w:footnote w:type="continuationSeparator" w:id="0">
    <w:p w14:paraId="434223E4" w14:textId="77777777" w:rsidR="00D1739F" w:rsidRDefault="00D1739F" w:rsidP="0037615E">
      <w:r>
        <w:continuationSeparator/>
      </w:r>
    </w:p>
  </w:footnote>
  <w:footnote w:id="1">
    <w:p w14:paraId="6BF8EA16" w14:textId="28CEA6E8" w:rsidR="00DA4E87" w:rsidRPr="00DA4E87" w:rsidRDefault="00DA4E87" w:rsidP="0037615E">
      <w:pPr>
        <w:pStyle w:val="Funotentext"/>
      </w:pPr>
      <w:r w:rsidRPr="00D246CB">
        <w:rPr>
          <w:rStyle w:val="Funotenzeichen"/>
        </w:rPr>
        <w:footnoteRef/>
      </w:r>
      <w:r>
        <w:t xml:space="preserve"> Included counties:  </w:t>
      </w:r>
      <w:r w:rsidRPr="00DA4E87">
        <w:t>Butte, Colusa, Del Norte, Glenn, Humboldt, Lake, Lassen, Mendocino, Modoc,</w:t>
      </w:r>
      <w:r>
        <w:t xml:space="preserve"> </w:t>
      </w:r>
      <w:r w:rsidRPr="00DA4E87">
        <w:t>Nevada, Plumas, Shasta, Sierra, Siskiyou, Sutter, Tehama, Trinity, Yuba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A17"/>
    <w:multiLevelType w:val="hybridMultilevel"/>
    <w:tmpl w:val="B53E883C"/>
    <w:lvl w:ilvl="0" w:tplc="44BAE4B6">
      <w:start w:val="2"/>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423DF"/>
    <w:multiLevelType w:val="multilevel"/>
    <w:tmpl w:val="B7A029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B137774"/>
    <w:multiLevelType w:val="multilevel"/>
    <w:tmpl w:val="772EC0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1285C"/>
    <w:rsid w:val="00035F1F"/>
    <w:rsid w:val="0003605F"/>
    <w:rsid w:val="00042544"/>
    <w:rsid w:val="00057BB7"/>
    <w:rsid w:val="00074424"/>
    <w:rsid w:val="00082145"/>
    <w:rsid w:val="00086210"/>
    <w:rsid w:val="00094668"/>
    <w:rsid w:val="00097198"/>
    <w:rsid w:val="000A3AEA"/>
    <w:rsid w:val="000B0193"/>
    <w:rsid w:val="000B2945"/>
    <w:rsid w:val="000B43C2"/>
    <w:rsid w:val="000C1A21"/>
    <w:rsid w:val="000C7DE7"/>
    <w:rsid w:val="000D4083"/>
    <w:rsid w:val="000D7B2E"/>
    <w:rsid w:val="000E163B"/>
    <w:rsid w:val="000E2180"/>
    <w:rsid w:val="000E2231"/>
    <w:rsid w:val="000E3678"/>
    <w:rsid w:val="000E439E"/>
    <w:rsid w:val="000E6E68"/>
    <w:rsid w:val="000F3A2A"/>
    <w:rsid w:val="000F57E8"/>
    <w:rsid w:val="000F7E23"/>
    <w:rsid w:val="001033E7"/>
    <w:rsid w:val="00125BBD"/>
    <w:rsid w:val="00156846"/>
    <w:rsid w:val="00166924"/>
    <w:rsid w:val="00176651"/>
    <w:rsid w:val="0018422C"/>
    <w:rsid w:val="0018437C"/>
    <w:rsid w:val="00185042"/>
    <w:rsid w:val="00186DE0"/>
    <w:rsid w:val="00187204"/>
    <w:rsid w:val="00190CE9"/>
    <w:rsid w:val="00191483"/>
    <w:rsid w:val="0019171A"/>
    <w:rsid w:val="0019569C"/>
    <w:rsid w:val="00196779"/>
    <w:rsid w:val="00197623"/>
    <w:rsid w:val="001C4291"/>
    <w:rsid w:val="001C5B67"/>
    <w:rsid w:val="001C607C"/>
    <w:rsid w:val="001D48C9"/>
    <w:rsid w:val="001F3043"/>
    <w:rsid w:val="0020565D"/>
    <w:rsid w:val="00213290"/>
    <w:rsid w:val="00214BEE"/>
    <w:rsid w:val="00226109"/>
    <w:rsid w:val="00231ECF"/>
    <w:rsid w:val="002326A4"/>
    <w:rsid w:val="002360C4"/>
    <w:rsid w:val="00236175"/>
    <w:rsid w:val="00242D60"/>
    <w:rsid w:val="00244822"/>
    <w:rsid w:val="00251F95"/>
    <w:rsid w:val="00280A78"/>
    <w:rsid w:val="002828A2"/>
    <w:rsid w:val="00286973"/>
    <w:rsid w:val="00293703"/>
    <w:rsid w:val="002A28EA"/>
    <w:rsid w:val="002A711F"/>
    <w:rsid w:val="002A7792"/>
    <w:rsid w:val="002B1C95"/>
    <w:rsid w:val="002B633A"/>
    <w:rsid w:val="002E462B"/>
    <w:rsid w:val="002F636B"/>
    <w:rsid w:val="0030032E"/>
    <w:rsid w:val="003055AC"/>
    <w:rsid w:val="0031721A"/>
    <w:rsid w:val="00333D42"/>
    <w:rsid w:val="00335C87"/>
    <w:rsid w:val="00350D0D"/>
    <w:rsid w:val="00352514"/>
    <w:rsid w:val="003545AF"/>
    <w:rsid w:val="0035618D"/>
    <w:rsid w:val="003639DF"/>
    <w:rsid w:val="00371B6C"/>
    <w:rsid w:val="003729D5"/>
    <w:rsid w:val="0037615E"/>
    <w:rsid w:val="00382666"/>
    <w:rsid w:val="00385467"/>
    <w:rsid w:val="003904BC"/>
    <w:rsid w:val="003A2427"/>
    <w:rsid w:val="003B1FD4"/>
    <w:rsid w:val="003D2A81"/>
    <w:rsid w:val="003D63AF"/>
    <w:rsid w:val="003E73FA"/>
    <w:rsid w:val="003F292D"/>
    <w:rsid w:val="003F4F19"/>
    <w:rsid w:val="004005FA"/>
    <w:rsid w:val="00427076"/>
    <w:rsid w:val="004301DE"/>
    <w:rsid w:val="004422A2"/>
    <w:rsid w:val="004500DF"/>
    <w:rsid w:val="00456F55"/>
    <w:rsid w:val="00461476"/>
    <w:rsid w:val="00475BC1"/>
    <w:rsid w:val="00484C8C"/>
    <w:rsid w:val="00495AA2"/>
    <w:rsid w:val="004A4368"/>
    <w:rsid w:val="004B3E7F"/>
    <w:rsid w:val="004C34E0"/>
    <w:rsid w:val="004C3AFB"/>
    <w:rsid w:val="004D52D1"/>
    <w:rsid w:val="004E33C3"/>
    <w:rsid w:val="004E43E5"/>
    <w:rsid w:val="004F376B"/>
    <w:rsid w:val="004F774A"/>
    <w:rsid w:val="005001B3"/>
    <w:rsid w:val="00503682"/>
    <w:rsid w:val="0050389E"/>
    <w:rsid w:val="00503996"/>
    <w:rsid w:val="00506C13"/>
    <w:rsid w:val="00511F16"/>
    <w:rsid w:val="00535832"/>
    <w:rsid w:val="00546E97"/>
    <w:rsid w:val="00551F87"/>
    <w:rsid w:val="0055270B"/>
    <w:rsid w:val="0055757C"/>
    <w:rsid w:val="00557A27"/>
    <w:rsid w:val="005638E2"/>
    <w:rsid w:val="005667E3"/>
    <w:rsid w:val="00575ABF"/>
    <w:rsid w:val="00577210"/>
    <w:rsid w:val="00585760"/>
    <w:rsid w:val="00593DBD"/>
    <w:rsid w:val="00595AB5"/>
    <w:rsid w:val="005B2969"/>
    <w:rsid w:val="005B485A"/>
    <w:rsid w:val="005C0A77"/>
    <w:rsid w:val="005D7BFA"/>
    <w:rsid w:val="005E2C83"/>
    <w:rsid w:val="005E4178"/>
    <w:rsid w:val="00600D8E"/>
    <w:rsid w:val="00602929"/>
    <w:rsid w:val="006039C7"/>
    <w:rsid w:val="00626CEB"/>
    <w:rsid w:val="00637326"/>
    <w:rsid w:val="00644CF1"/>
    <w:rsid w:val="00650FE3"/>
    <w:rsid w:val="00653C22"/>
    <w:rsid w:val="00673896"/>
    <w:rsid w:val="00686DBD"/>
    <w:rsid w:val="0069728E"/>
    <w:rsid w:val="006B098E"/>
    <w:rsid w:val="006B296E"/>
    <w:rsid w:val="006B75CE"/>
    <w:rsid w:val="006E069A"/>
    <w:rsid w:val="006E2DAD"/>
    <w:rsid w:val="006E38B2"/>
    <w:rsid w:val="006E5A89"/>
    <w:rsid w:val="006F2F93"/>
    <w:rsid w:val="006F45A7"/>
    <w:rsid w:val="006F56C4"/>
    <w:rsid w:val="006F5885"/>
    <w:rsid w:val="007015AF"/>
    <w:rsid w:val="00703CB3"/>
    <w:rsid w:val="007130DA"/>
    <w:rsid w:val="0071755B"/>
    <w:rsid w:val="00722642"/>
    <w:rsid w:val="007242AE"/>
    <w:rsid w:val="00724DDB"/>
    <w:rsid w:val="007312CB"/>
    <w:rsid w:val="007360A8"/>
    <w:rsid w:val="00740293"/>
    <w:rsid w:val="0074607E"/>
    <w:rsid w:val="0077754B"/>
    <w:rsid w:val="00784FFC"/>
    <w:rsid w:val="00787BB0"/>
    <w:rsid w:val="007A3A6A"/>
    <w:rsid w:val="007C4F55"/>
    <w:rsid w:val="007D460B"/>
    <w:rsid w:val="007D72A9"/>
    <w:rsid w:val="007E47DB"/>
    <w:rsid w:val="007F0BA7"/>
    <w:rsid w:val="007F1898"/>
    <w:rsid w:val="007F1E29"/>
    <w:rsid w:val="00800615"/>
    <w:rsid w:val="00804ACA"/>
    <w:rsid w:val="008148BB"/>
    <w:rsid w:val="00824C8A"/>
    <w:rsid w:val="00833E68"/>
    <w:rsid w:val="00840ABC"/>
    <w:rsid w:val="008638B1"/>
    <w:rsid w:val="00870CA6"/>
    <w:rsid w:val="00873970"/>
    <w:rsid w:val="0087755B"/>
    <w:rsid w:val="00893491"/>
    <w:rsid w:val="00896BC0"/>
    <w:rsid w:val="008B1A61"/>
    <w:rsid w:val="008B2D63"/>
    <w:rsid w:val="008B2F33"/>
    <w:rsid w:val="008B3E9B"/>
    <w:rsid w:val="008B6C5F"/>
    <w:rsid w:val="00903E87"/>
    <w:rsid w:val="009075C2"/>
    <w:rsid w:val="00924E52"/>
    <w:rsid w:val="0092598D"/>
    <w:rsid w:val="00937A0F"/>
    <w:rsid w:val="00944051"/>
    <w:rsid w:val="009446D8"/>
    <w:rsid w:val="00955275"/>
    <w:rsid w:val="00963B2F"/>
    <w:rsid w:val="0096536A"/>
    <w:rsid w:val="00966B8E"/>
    <w:rsid w:val="009722D9"/>
    <w:rsid w:val="00974F03"/>
    <w:rsid w:val="00985AA9"/>
    <w:rsid w:val="009953C2"/>
    <w:rsid w:val="009A4F6F"/>
    <w:rsid w:val="009A6633"/>
    <w:rsid w:val="009C0B43"/>
    <w:rsid w:val="009C14E2"/>
    <w:rsid w:val="009C38AC"/>
    <w:rsid w:val="009C5060"/>
    <w:rsid w:val="009C7ACD"/>
    <w:rsid w:val="009D243B"/>
    <w:rsid w:val="009D77AE"/>
    <w:rsid w:val="009E32D5"/>
    <w:rsid w:val="009F3EFB"/>
    <w:rsid w:val="00A02260"/>
    <w:rsid w:val="00A11414"/>
    <w:rsid w:val="00A17D80"/>
    <w:rsid w:val="00A25E03"/>
    <w:rsid w:val="00A32146"/>
    <w:rsid w:val="00A37067"/>
    <w:rsid w:val="00A45806"/>
    <w:rsid w:val="00A466BA"/>
    <w:rsid w:val="00A52AEE"/>
    <w:rsid w:val="00A53A16"/>
    <w:rsid w:val="00A6353E"/>
    <w:rsid w:val="00A7281B"/>
    <w:rsid w:val="00A73C42"/>
    <w:rsid w:val="00A7750D"/>
    <w:rsid w:val="00A94AFB"/>
    <w:rsid w:val="00AA5B76"/>
    <w:rsid w:val="00AB62BF"/>
    <w:rsid w:val="00AC3954"/>
    <w:rsid w:val="00AC46CD"/>
    <w:rsid w:val="00AD24AF"/>
    <w:rsid w:val="00AD342A"/>
    <w:rsid w:val="00AE1A65"/>
    <w:rsid w:val="00AF18AC"/>
    <w:rsid w:val="00AF24E2"/>
    <w:rsid w:val="00B02AB4"/>
    <w:rsid w:val="00B03EBA"/>
    <w:rsid w:val="00B041D2"/>
    <w:rsid w:val="00B05EEF"/>
    <w:rsid w:val="00B23B12"/>
    <w:rsid w:val="00B243AC"/>
    <w:rsid w:val="00B334DB"/>
    <w:rsid w:val="00B36ADE"/>
    <w:rsid w:val="00B41398"/>
    <w:rsid w:val="00B4206C"/>
    <w:rsid w:val="00B4291E"/>
    <w:rsid w:val="00B44D09"/>
    <w:rsid w:val="00B46668"/>
    <w:rsid w:val="00B646DC"/>
    <w:rsid w:val="00B65AFE"/>
    <w:rsid w:val="00B74AF0"/>
    <w:rsid w:val="00B762AC"/>
    <w:rsid w:val="00B83BBF"/>
    <w:rsid w:val="00BA7EA3"/>
    <w:rsid w:val="00BC50C5"/>
    <w:rsid w:val="00BC783E"/>
    <w:rsid w:val="00BE5A20"/>
    <w:rsid w:val="00BE7448"/>
    <w:rsid w:val="00C069E4"/>
    <w:rsid w:val="00C24C51"/>
    <w:rsid w:val="00C25511"/>
    <w:rsid w:val="00C3068E"/>
    <w:rsid w:val="00C30B3D"/>
    <w:rsid w:val="00C46C2B"/>
    <w:rsid w:val="00C627A4"/>
    <w:rsid w:val="00C6364A"/>
    <w:rsid w:val="00C744F7"/>
    <w:rsid w:val="00C84C04"/>
    <w:rsid w:val="00C85977"/>
    <w:rsid w:val="00C934DE"/>
    <w:rsid w:val="00C97CE4"/>
    <w:rsid w:val="00CA48B8"/>
    <w:rsid w:val="00CA70A1"/>
    <w:rsid w:val="00CB13A3"/>
    <w:rsid w:val="00CB1F82"/>
    <w:rsid w:val="00CC7BC3"/>
    <w:rsid w:val="00CE6DCC"/>
    <w:rsid w:val="00CF0F3D"/>
    <w:rsid w:val="00D030D1"/>
    <w:rsid w:val="00D059A9"/>
    <w:rsid w:val="00D1739F"/>
    <w:rsid w:val="00D246CB"/>
    <w:rsid w:val="00D41D27"/>
    <w:rsid w:val="00D425EB"/>
    <w:rsid w:val="00D430AF"/>
    <w:rsid w:val="00D43BD9"/>
    <w:rsid w:val="00D45D42"/>
    <w:rsid w:val="00D527EA"/>
    <w:rsid w:val="00D53A25"/>
    <w:rsid w:val="00D5650C"/>
    <w:rsid w:val="00D61B78"/>
    <w:rsid w:val="00D63B6E"/>
    <w:rsid w:val="00D728B7"/>
    <w:rsid w:val="00D861B6"/>
    <w:rsid w:val="00D91E55"/>
    <w:rsid w:val="00D91F46"/>
    <w:rsid w:val="00D92650"/>
    <w:rsid w:val="00DA1768"/>
    <w:rsid w:val="00DA1AED"/>
    <w:rsid w:val="00DA4E87"/>
    <w:rsid w:val="00DB3CA5"/>
    <w:rsid w:val="00DB5B83"/>
    <w:rsid w:val="00DC1445"/>
    <w:rsid w:val="00DC4308"/>
    <w:rsid w:val="00DC7733"/>
    <w:rsid w:val="00DD18F7"/>
    <w:rsid w:val="00DE0DD8"/>
    <w:rsid w:val="00DE4EED"/>
    <w:rsid w:val="00DF322F"/>
    <w:rsid w:val="00E0358F"/>
    <w:rsid w:val="00E06E4B"/>
    <w:rsid w:val="00E17107"/>
    <w:rsid w:val="00E2735B"/>
    <w:rsid w:val="00E307E1"/>
    <w:rsid w:val="00E4473A"/>
    <w:rsid w:val="00E46E97"/>
    <w:rsid w:val="00E47A26"/>
    <w:rsid w:val="00E54013"/>
    <w:rsid w:val="00E709FB"/>
    <w:rsid w:val="00E77C42"/>
    <w:rsid w:val="00E81D2B"/>
    <w:rsid w:val="00E859B4"/>
    <w:rsid w:val="00E9010E"/>
    <w:rsid w:val="00E91DE4"/>
    <w:rsid w:val="00E92D6A"/>
    <w:rsid w:val="00EA0C70"/>
    <w:rsid w:val="00EA3AF8"/>
    <w:rsid w:val="00EB0492"/>
    <w:rsid w:val="00EC4645"/>
    <w:rsid w:val="00EC647D"/>
    <w:rsid w:val="00EE062B"/>
    <w:rsid w:val="00EE08E8"/>
    <w:rsid w:val="00EE4725"/>
    <w:rsid w:val="00F13088"/>
    <w:rsid w:val="00F260D2"/>
    <w:rsid w:val="00F30157"/>
    <w:rsid w:val="00F446BD"/>
    <w:rsid w:val="00F45697"/>
    <w:rsid w:val="00F54118"/>
    <w:rsid w:val="00F547F9"/>
    <w:rsid w:val="00F631B0"/>
    <w:rsid w:val="00F6606D"/>
    <w:rsid w:val="00F70F12"/>
    <w:rsid w:val="00F76A5F"/>
    <w:rsid w:val="00F81AFE"/>
    <w:rsid w:val="00F96626"/>
    <w:rsid w:val="00FA4C59"/>
    <w:rsid w:val="00FD631B"/>
    <w:rsid w:val="00FE133B"/>
    <w:rsid w:val="00FF56F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615E"/>
    <w:pPr>
      <w:shd w:val="clear" w:color="auto" w:fill="FFFFFF"/>
      <w:spacing w:after="12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B44D09"/>
    <w:pPr>
      <w:keepNext/>
      <w:keepLines/>
      <w:spacing w:before="40" w:after="0"/>
      <w:outlineLvl w:val="1"/>
    </w:pPr>
    <w:rPr>
      <w:rFonts w:asciiTheme="majorHAnsi" w:eastAsiaTheme="majorEastAsia" w:hAnsiTheme="majorHAnsi" w:cstheme="majorBidi"/>
      <w:b/>
      <w:bCs/>
      <w:color w:val="2F5496" w:themeColor="accent1" w:themeShade="BF"/>
      <w:sz w:val="30"/>
      <w:szCs w:val="30"/>
    </w:rPr>
  </w:style>
  <w:style w:type="paragraph" w:styleId="berschrift3">
    <w:name w:val="heading 3"/>
    <w:basedOn w:val="berschrift2"/>
    <w:link w:val="berschrift3Zchn"/>
    <w:uiPriority w:val="9"/>
    <w:qFormat/>
    <w:rsid w:val="00B44D09"/>
    <w:pPr>
      <w:outlineLvl w:val="2"/>
    </w:pPr>
    <w:rPr>
      <w:sz w:val="28"/>
      <w:szCs w:val="28"/>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44D09"/>
    <w:rPr>
      <w:rFonts w:asciiTheme="majorHAnsi" w:eastAsiaTheme="majorEastAsia" w:hAnsiTheme="majorHAnsi" w:cstheme="majorBidi"/>
      <w:b/>
      <w:bCs/>
      <w:color w:val="2F5496" w:themeColor="accent1" w:themeShade="BF"/>
      <w:sz w:val="28"/>
      <w:szCs w:val="28"/>
      <w:shd w:val="clear" w:color="auto" w:fill="FFFFFF"/>
      <w:lang w:val="en-US"/>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B44D09"/>
    <w:rPr>
      <w:rFonts w:asciiTheme="majorHAnsi" w:eastAsiaTheme="majorEastAsia" w:hAnsiTheme="majorHAnsi" w:cstheme="majorBidi"/>
      <w:b/>
      <w:bCs/>
      <w:color w:val="2F5496" w:themeColor="accent1" w:themeShade="BF"/>
      <w:sz w:val="30"/>
      <w:szCs w:val="30"/>
      <w:shd w:val="clear" w:color="auto" w:fill="FFFFFF"/>
      <w:lang w:val="en-US"/>
    </w:rPr>
  </w:style>
  <w:style w:type="character" w:styleId="Platzhaltertext">
    <w:name w:val="Placeholder Text"/>
    <w:basedOn w:val="Absatz-Standardschriftart"/>
    <w:uiPriority w:val="99"/>
    <w:semiHidden/>
    <w:rsid w:val="0035618D"/>
    <w:rPr>
      <w:color w:val="808080"/>
    </w:rPr>
  </w:style>
  <w:style w:type="table" w:styleId="Tabellenraster">
    <w:name w:val="Table Grid"/>
    <w:basedOn w:val="NormaleTabelle"/>
    <w:uiPriority w:val="39"/>
    <w:rsid w:val="00506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506C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06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333D42"/>
    <w:pPr>
      <w:spacing w:after="200" w:line="240" w:lineRule="auto"/>
    </w:pPr>
    <w:rPr>
      <w:i/>
      <w:iCs/>
      <w:color w:val="44546A" w:themeColor="text2"/>
      <w:sz w:val="18"/>
      <w:szCs w:val="18"/>
    </w:rPr>
  </w:style>
  <w:style w:type="paragraph" w:styleId="Funotentext">
    <w:name w:val="footnote text"/>
    <w:basedOn w:val="Standard"/>
    <w:link w:val="FunotentextZchn"/>
    <w:uiPriority w:val="99"/>
    <w:unhideWhenUsed/>
    <w:rsid w:val="00DA4E87"/>
    <w:pPr>
      <w:spacing w:after="0" w:line="240" w:lineRule="auto"/>
    </w:pPr>
    <w:rPr>
      <w:sz w:val="20"/>
      <w:szCs w:val="20"/>
    </w:rPr>
  </w:style>
  <w:style w:type="character" w:customStyle="1" w:styleId="FunotentextZchn">
    <w:name w:val="Fußnotentext Zchn"/>
    <w:basedOn w:val="Absatz-Standardschriftart"/>
    <w:link w:val="Funotentext"/>
    <w:uiPriority w:val="99"/>
    <w:rsid w:val="00DA4E87"/>
    <w:rPr>
      <w:rFonts w:ascii="Open Sans" w:eastAsia="Times New Roman" w:hAnsi="Open Sans" w:cs="Open Sans"/>
      <w:color w:val="333333"/>
      <w:sz w:val="20"/>
      <w:szCs w:val="20"/>
      <w:shd w:val="clear" w:color="auto" w:fill="FFFFFF"/>
      <w:lang w:val="en-US"/>
    </w:rPr>
  </w:style>
  <w:style w:type="character" w:styleId="Funotenzeichen">
    <w:name w:val="footnote reference"/>
    <w:basedOn w:val="Absatz-Standardschriftart"/>
    <w:uiPriority w:val="99"/>
    <w:semiHidden/>
    <w:unhideWhenUsed/>
    <w:rsid w:val="00DA4E87"/>
    <w:rPr>
      <w:vertAlign w:val="superscript"/>
    </w:rPr>
  </w:style>
  <w:style w:type="paragraph" w:styleId="Fuzeile">
    <w:name w:val="footer"/>
    <w:basedOn w:val="Standard"/>
    <w:link w:val="FuzeileZchn"/>
    <w:uiPriority w:val="99"/>
    <w:unhideWhenUsed/>
    <w:rsid w:val="004B3E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3E7F"/>
    <w:rPr>
      <w:rFonts w:ascii="Open Sans" w:eastAsia="Times New Roman" w:hAnsi="Open Sans" w:cs="Open Sans"/>
      <w:color w:val="333333"/>
      <w:shd w:val="clear" w:color="auto" w:fill="FFFFFF"/>
      <w:lang w:val="en-US"/>
    </w:rPr>
  </w:style>
  <w:style w:type="character" w:styleId="Seitenzahl">
    <w:name w:val="page number"/>
    <w:basedOn w:val="Absatz-Standardschriftart"/>
    <w:uiPriority w:val="99"/>
    <w:semiHidden/>
    <w:unhideWhenUsed/>
    <w:rsid w:val="004B3E7F"/>
  </w:style>
  <w:style w:type="paragraph" w:styleId="KeinLeerraum">
    <w:name w:val="No Spacing"/>
    <w:uiPriority w:val="1"/>
    <w:qFormat/>
    <w:rsid w:val="0001285C"/>
    <w:pPr>
      <w:shd w:val="clear" w:color="auto" w:fill="FFFFFF"/>
      <w:jc w:val="both"/>
    </w:pPr>
    <w:rPr>
      <w:rFonts w:ascii="Open Sans" w:eastAsia="Times New Roman" w:hAnsi="Open Sans" w:cs="Open Sans"/>
      <w:color w:val="333333"/>
      <w:lang w:val="en-US"/>
    </w:rPr>
  </w:style>
  <w:style w:type="table" w:styleId="Gitternetztabelle7farbigAkzent1">
    <w:name w:val="Grid Table 7 Colorful Accent 1"/>
    <w:basedOn w:val="NormaleTabelle"/>
    <w:uiPriority w:val="52"/>
    <w:rsid w:val="009953C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
    <w:name w:val="Grid Table 7 Colorful"/>
    <w:basedOn w:val="NormaleTabelle"/>
    <w:uiPriority w:val="52"/>
    <w:rsid w:val="00D91F4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6farbigAkzent6">
    <w:name w:val="Grid Table 6 Colorful Accent 6"/>
    <w:basedOn w:val="NormaleTabelle"/>
    <w:uiPriority w:val="51"/>
    <w:rsid w:val="00D91F4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infacheTabelle3">
    <w:name w:val="Plain Table 3"/>
    <w:basedOn w:val="NormaleTabelle"/>
    <w:uiPriority w:val="43"/>
    <w:rsid w:val="00D91F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7farbigAkzent2">
    <w:name w:val="Grid Table 7 Colorful Accent 2"/>
    <w:basedOn w:val="NormaleTabelle"/>
    <w:uiPriority w:val="52"/>
    <w:rsid w:val="00D91F4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6farbigAkzent5">
    <w:name w:val="Grid Table 6 Colorful Accent 5"/>
    <w:basedOn w:val="NormaleTabelle"/>
    <w:uiPriority w:val="51"/>
    <w:rsid w:val="00D91F4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91F4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2">
    <w:name w:val="Grid Table 2"/>
    <w:basedOn w:val="NormaleTabelle"/>
    <w:uiPriority w:val="47"/>
    <w:rsid w:val="00D91F4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7farbigAkzent1">
    <w:name w:val="List Table 7 Colorful Accent 1"/>
    <w:basedOn w:val="NormaleTabelle"/>
    <w:uiPriority w:val="52"/>
    <w:rsid w:val="005667E3"/>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 w:id="260339259">
      <w:bodyDiv w:val="1"/>
      <w:marLeft w:val="0"/>
      <w:marRight w:val="0"/>
      <w:marTop w:val="0"/>
      <w:marBottom w:val="0"/>
      <w:divBdr>
        <w:top w:val="none" w:sz="0" w:space="0" w:color="auto"/>
        <w:left w:val="none" w:sz="0" w:space="0" w:color="auto"/>
        <w:bottom w:val="none" w:sz="0" w:space="0" w:color="auto"/>
        <w:right w:val="none" w:sz="0" w:space="0" w:color="auto"/>
      </w:divBdr>
      <w:divsChild>
        <w:div w:id="1956209921">
          <w:marLeft w:val="0"/>
          <w:marRight w:val="0"/>
          <w:marTop w:val="0"/>
          <w:marBottom w:val="0"/>
          <w:divBdr>
            <w:top w:val="none" w:sz="0" w:space="0" w:color="auto"/>
            <w:left w:val="none" w:sz="0" w:space="0" w:color="auto"/>
            <w:bottom w:val="none" w:sz="0" w:space="0" w:color="auto"/>
            <w:right w:val="none" w:sz="0" w:space="0" w:color="auto"/>
          </w:divBdr>
          <w:divsChild>
            <w:div w:id="863711482">
              <w:marLeft w:val="0"/>
              <w:marRight w:val="0"/>
              <w:marTop w:val="0"/>
              <w:marBottom w:val="0"/>
              <w:divBdr>
                <w:top w:val="none" w:sz="0" w:space="0" w:color="auto"/>
                <w:left w:val="none" w:sz="0" w:space="0" w:color="auto"/>
                <w:bottom w:val="none" w:sz="0" w:space="0" w:color="auto"/>
                <w:right w:val="none" w:sz="0" w:space="0" w:color="auto"/>
              </w:divBdr>
              <w:divsChild>
                <w:div w:id="472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6742">
      <w:bodyDiv w:val="1"/>
      <w:marLeft w:val="0"/>
      <w:marRight w:val="0"/>
      <w:marTop w:val="0"/>
      <w:marBottom w:val="0"/>
      <w:divBdr>
        <w:top w:val="none" w:sz="0" w:space="0" w:color="auto"/>
        <w:left w:val="none" w:sz="0" w:space="0" w:color="auto"/>
        <w:bottom w:val="none" w:sz="0" w:space="0" w:color="auto"/>
        <w:right w:val="none" w:sz="0" w:space="0" w:color="auto"/>
      </w:divBdr>
    </w:div>
    <w:div w:id="1233850022">
      <w:bodyDiv w:val="1"/>
      <w:marLeft w:val="0"/>
      <w:marRight w:val="0"/>
      <w:marTop w:val="0"/>
      <w:marBottom w:val="0"/>
      <w:divBdr>
        <w:top w:val="none" w:sz="0" w:space="0" w:color="auto"/>
        <w:left w:val="none" w:sz="0" w:space="0" w:color="auto"/>
        <w:bottom w:val="none" w:sz="0" w:space="0" w:color="auto"/>
        <w:right w:val="none" w:sz="0" w:space="0" w:color="auto"/>
      </w:divBdr>
    </w:div>
    <w:div w:id="1441948733">
      <w:bodyDiv w:val="1"/>
      <w:marLeft w:val="0"/>
      <w:marRight w:val="0"/>
      <w:marTop w:val="0"/>
      <w:marBottom w:val="0"/>
      <w:divBdr>
        <w:top w:val="none" w:sz="0" w:space="0" w:color="auto"/>
        <w:left w:val="none" w:sz="0" w:space="0" w:color="auto"/>
        <w:bottom w:val="none" w:sz="0" w:space="0" w:color="auto"/>
        <w:right w:val="none" w:sz="0" w:space="0" w:color="auto"/>
      </w:divBdr>
    </w:div>
    <w:div w:id="14422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5F42-A5CF-7241-A11F-C6C933E1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27420</Words>
  <Characters>172747</Characters>
  <Application>Microsoft Office Word</Application>
  <DocSecurity>0</DocSecurity>
  <Lines>1439</Lines>
  <Paragraphs>399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252</cp:revision>
  <dcterms:created xsi:type="dcterms:W3CDTF">2021-11-02T20:33:00Z</dcterms:created>
  <dcterms:modified xsi:type="dcterms:W3CDTF">2021-11-19T16:28:00Z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id="Ci1E1vnd"/&gt;&lt;style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