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9A24B"/>
          <w:spacing w:val="60"/>
          <w:sz w:val="20"/>
          <w:szCs w:val="20"/>
        </w:rPr>
        <w:t xml:space="preserve">INDUDUZO FUNERAL HOME</w:t>
      </w:r>
    </w:p>
    <w:p>
      <w:pPr>
        <w:pBdr>
          <w:bottom w:val="single" w:color="C9A24B" w:sz="12" w:space="8"/>
        </w:pBdr>
        <w:spacing w:after="200"/>
      </w:pPr>
      <w:r>
        <w:rPr>
          <w:i/>
          <w:iCs/>
          <w:color w:val="222426"/>
          <w:sz w:val="20"/>
          <w:szCs w:val="20"/>
        </w:rPr>
        <w:t xml:space="preserve">Siyazazi Izingxaki Zakho</w:t>
      </w:r>
    </w:p>
    <w:p>
      <w:pPr>
        <w:spacing w:after="120" w:before="200"/>
      </w:pPr>
      <w:r>
        <w:rPr>
          <w:b/>
          <w:bCs/>
          <w:color w:val="0B1B2B"/>
          <w:sz w:val="46"/>
          <w:szCs w:val="46"/>
        </w:rPr>
        <w:t xml:space="preserve">Taking Payments Online</w:t>
      </w:r>
    </w:p>
    <w:p>
      <w:pPr>
        <w:spacing w:after="240"/>
      </w:pPr>
      <w:r>
        <w:rPr>
          <w:color w:val="222426"/>
          <w:sz w:val="24"/>
          <w:szCs w:val="24"/>
        </w:rPr>
        <w:t xml:space="preserve">What is required to charge customers, and which South African provider to use</w:t>
      </w:r>
    </w:p>
    <w:p>
      <w:pPr>
        <w:spacing w:after="320" w:line="276"/>
      </w:pPr>
      <w:r>
        <w:rPr>
          <w:color w:val="6A6A6A"/>
          <w:sz w:val="19"/>
          <w:szCs w:val="19"/>
        </w:rPr>
        <w:t xml:space="preserve">Prepared August 2026  |  For internal decision-making</w:t>
      </w:r>
    </w:p>
    <w:tbl>
      <w:tblPr>
        <w:tblW w:type="dxa" w:w="9360"/>
        <w:tblBorders>
          <w:top w:val="single" w:color="C9A24B" w:sz="8"/>
          <w:left w:val="single" w:color="C9A24B" w:sz="8"/>
          <w:bottom w:val="single" w:color="C9A24B" w:sz="8"/>
          <w:right w:val="single" w:color="C9A24B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B2B" w:color="auto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C9A24B"/>
                <w:sz w:val="22"/>
                <w:szCs w:val="22"/>
              </w:rPr>
              <w:t xml:space="preserve">THE ONE THING TO READ FIRST</w:t>
            </w:r>
          </w:p>
          <w:p>
            <w:pPr>
              <w:spacing w:after="80" w:line="276"/>
            </w:pPr>
            <w:r>
              <w:rPr>
                <w:color w:val="FFFFFF"/>
                <w:sz w:val="21"/>
                <w:szCs w:val="21"/>
              </w:rPr>
              <w:t xml:space="preserve">Choosing a payment provider is the easy part and the cheap part. The gate that actually stops Induduzo charging premiums online is regulatory, not technical.</w:t>
            </w:r>
          </w:p>
          <w:p>
            <w:pPr>
              <w:spacing w:after="80" w:line="276"/>
            </w:pPr>
            <w:r>
              <w:rPr>
                <w:color w:val="FFFFFF"/>
                <w:sz w:val="21"/>
                <w:szCs w:val="21"/>
              </w:rPr>
              <w:t xml:space="preserve">In South Africa a funeral parlour may not collect premiums unless the policies are underwritten by a licensed insurer and the parlour is either a licensed Financial Services Provider (FSP) or a registered Representative of one. In September 2025 the FSCA acted against four funeral firms that had collected more than R67 million in premiums without the required licensing.</w:t>
            </w:r>
          </w:p>
          <w:p>
            <w:pPr>
              <w:spacing w:after="80" w:line="276"/>
            </w:pPr>
            <w:r>
              <w:rPr>
                <w:color w:val="FFFFFF"/>
                <w:sz w:val="21"/>
                <w:szCs w:val="21"/>
              </w:rPr>
              <w:t xml:space="preserve">Sort the licensing and underwriting first. Every provider below will happily onboard you and start collecting money; none of them checks whether you are allowed to.</w:t>
            </w:r>
          </w:p>
        </w:tc>
      </w:tr>
    </w:tbl>
    <w:p>
      <w:pPr>
        <w:pStyle w:val="Heading1"/>
        <w:pBdr>
          <w:bottom w:val="single" w:color="C9A24B" w:sz="12" w:space="6"/>
        </w:pBdr>
        <w:spacing w:after="160" w:before="360"/>
      </w:pPr>
      <w:r>
        <w:rPr>
          <w:b/>
          <w:bCs/>
          <w:color w:val="0B1B2B"/>
          <w:sz w:val="30"/>
          <w:szCs w:val="30"/>
        </w:rPr>
        <w:t xml:space="preserve">Part A — What must be in place before you can charge a cent</w:t>
      </w:r>
    </w:p>
    <w:p>
      <w:pPr>
        <w:pStyle w:val="Heading2"/>
        <w:spacing w:after="120" w:before="260"/>
      </w:pPr>
      <w:r>
        <w:rPr>
          <w:b/>
          <w:bCs/>
          <w:color w:val="0B1B2B"/>
          <w:sz w:val="24"/>
          <w:szCs w:val="24"/>
        </w:rPr>
        <w:t xml:space="preserve">1. The regulatory requirements</w:t>
      </w:r>
    </w:p>
    <w:p>
      <w:pPr>
        <w:spacing w:after="120" w:line="276"/>
      </w:pPr>
      <w:r>
        <w:rPr>
          <w:color w:val="222426"/>
          <w:sz w:val="21"/>
          <w:szCs w:val="21"/>
        </w:rPr>
        <w:t xml:space="preserve">These are not optional and they are the long pole. Budget months, not days.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22426"/>
          <w:sz w:val="21"/>
          <w:szCs w:val="21"/>
        </w:rPr>
        <w:t xml:space="preserve">Underwriting: </w:t>
      </w:r>
      <w:r>
        <w:rPr>
          <w:color w:val="222426"/>
          <w:sz w:val="21"/>
          <w:szCs w:val="21"/>
        </w:rPr>
        <w:t xml:space="preserve">the funeral policies must be underwritten by an insurer licensed under the Insurance Act 18 of 2017. A parlour cannot carry the risk itself.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22426"/>
          <w:sz w:val="21"/>
          <w:szCs w:val="21"/>
        </w:rPr>
        <w:t xml:space="preserve">FSP licence or Representative status: </w:t>
      </w:r>
      <w:r>
        <w:rPr>
          <w:color w:val="222426"/>
          <w:sz w:val="21"/>
          <w:szCs w:val="21"/>
        </w:rPr>
        <w:t xml:space="preserve">under the FAIS Act, anyone who advises on or sells the cover must hold an FSP licence or be an appointed Representative of a licensed FSP.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22426"/>
          <w:sz w:val="21"/>
          <w:szCs w:val="21"/>
        </w:rPr>
        <w:t xml:space="preserve">Premium collection: </w:t>
      </w:r>
      <w:r>
        <w:rPr>
          <w:color w:val="222426"/>
          <w:sz w:val="21"/>
          <w:szCs w:val="21"/>
        </w:rPr>
        <w:t xml:space="preserve">collecting premiums and handling claims without the above is not permissible. This is the specific thing the FSCA has been enforcing.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22426"/>
          <w:sz w:val="21"/>
          <w:szCs w:val="21"/>
        </w:rPr>
        <w:t xml:space="preserve">Verify status publicly: </w:t>
      </w:r>
      <w:r>
        <w:rPr>
          <w:color w:val="222426"/>
          <w:sz w:val="21"/>
          <w:szCs w:val="21"/>
        </w:rPr>
        <w:t xml:space="preserve">the FSCA maintains public registers at fsca.co.za. Whoever underwrites Induduzo should be checked there, and Induduzo's own status should be verifiable by customers.</w:t>
      </w:r>
    </w:p>
    <w:p>
      <w:pPr>
        <w:spacing w:after="200" w:line="276"/>
      </w:pPr>
      <w:r>
        <w:rPr>
          <w:b/>
          <w:bCs/>
          <w:color w:val="222426"/>
          <w:sz w:val="21"/>
          <w:szCs w:val="21"/>
        </w:rPr>
        <w:t xml:space="preserve">Action: </w:t>
      </w:r>
      <w:r>
        <w:rPr>
          <w:color w:val="222426"/>
          <w:sz w:val="21"/>
          <w:szCs w:val="21"/>
        </w:rPr>
        <w:t xml:space="preserve">confirm in writing who underwrites the Induduzo plans, and under whose FSP licence the business sells. If the answer to either is unclear, that is the first thing to resolve — before any payment integration work.</w:t>
      </w:r>
    </w:p>
    <w:p>
      <w:pPr>
        <w:pStyle w:val="Heading2"/>
        <w:spacing w:after="120" w:before="260"/>
      </w:pPr>
      <w:r>
        <w:rPr>
          <w:b/>
          <w:bCs/>
          <w:color w:val="0B1B2B"/>
          <w:sz w:val="24"/>
          <w:szCs w:val="24"/>
        </w:rPr>
        <w:t xml:space="preserve">2. The business and banking requirements</w:t>
      </w:r>
    </w:p>
    <w:p>
      <w:pPr>
        <w:spacing w:after="120" w:line="276"/>
      </w:pPr>
      <w:r>
        <w:rPr>
          <w:color w:val="222426"/>
          <w:sz w:val="21"/>
          <w:szCs w:val="21"/>
        </w:rPr>
        <w:t xml:space="preserve">Every provider in this document requires all of the following. These are quick by comparison.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426"/>
          <w:sz w:val="21"/>
          <w:szCs w:val="21"/>
        </w:rPr>
        <w:t xml:space="preserve">A registered South African entity (Pty Ltd, CC, or sole proprietor depending on provider).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426"/>
          <w:sz w:val="21"/>
          <w:szCs w:val="21"/>
        </w:rPr>
        <w:t xml:space="preserve">A South African business bank account in the entity's name, for ZAR settlement.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426"/>
          <w:sz w:val="21"/>
          <w:szCs w:val="21"/>
        </w:rPr>
        <w:t xml:space="preserve">FICA documents: company registration (CIPC), proof of business address, director IDs, and proof of bank account.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426"/>
          <w:sz w:val="21"/>
          <w:szCs w:val="21"/>
        </w:rPr>
        <w:t xml:space="preserve">A live website showing pricing, terms and conditions, a refund/cancellation policy, and contact details — most gateways check this during onboarding.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22426"/>
          <w:sz w:val="21"/>
          <w:szCs w:val="21"/>
        </w:rPr>
        <w:t xml:space="preserve">A POPIA-compliant privacy notice. </w:t>
      </w:r>
      <w:r>
        <w:rPr>
          <w:color w:val="222426"/>
          <w:sz w:val="21"/>
          <w:szCs w:val="21"/>
        </w:rPr>
        <w:t xml:space="preserve">The registration form already collects consent; the privacy notice must exist as a published page to match it.</w:t>
      </w:r>
    </w:p>
    <w:p>
      <w:pPr>
        <w:pStyle w:val="Heading2"/>
        <w:spacing w:after="120" w:before="260"/>
      </w:pPr>
      <w:r>
        <w:rPr>
          <w:b/>
          <w:bCs/>
          <w:color w:val="0B1B2B"/>
          <w:sz w:val="24"/>
          <w:szCs w:val="24"/>
        </w:rPr>
        <w:t xml:space="preserve">3. The one technical rule that matters</w:t>
      </w:r>
    </w:p>
    <w:p>
      <w:pPr>
        <w:spacing w:after="200" w:line="276"/>
      </w:pPr>
      <w:r>
        <w:rPr>
          <w:color w:val="222426"/>
          <w:sz w:val="21"/>
          <w:szCs w:val="21"/>
        </w:rPr>
        <w:t xml:space="preserve">Induduzo must never handle raw card numbers. Card data is collected by the provider's own hosted page or embedded fields, and the system stores only a token or reference. This keeps Induduzo out of the expensive tiers of PCI DSS compliance entirely. </w:t>
      </w:r>
      <w:r>
        <w:rPr>
          <w:b/>
          <w:bCs/>
          <w:color w:val="222426"/>
          <w:sz w:val="21"/>
          <w:szCs w:val="21"/>
        </w:rPr>
        <w:t xml:space="preserve">The registration forms already built follow this rule — they collect no bank or card details at all.</w:t>
      </w:r>
    </w:p>
    <w:p>
      <w:r>
        <w:br w:type="page"/>
      </w:r>
    </w:p>
    <w:p>
      <w:pPr>
        <w:pStyle w:val="Heading1"/>
        <w:pBdr>
          <w:bottom w:val="single" w:color="C9A24B" w:sz="12" w:space="6"/>
        </w:pBdr>
        <w:spacing w:after="160" w:before="360"/>
      </w:pPr>
      <w:r>
        <w:rPr>
          <w:b/>
          <w:bCs/>
          <w:color w:val="0B1B2B"/>
          <w:sz w:val="30"/>
          <w:szCs w:val="30"/>
        </w:rPr>
        <w:t xml:space="preserve">Part B — The provider landscape</w:t>
      </w:r>
    </w:p>
    <w:p>
      <w:pPr>
        <w:spacing w:after="160" w:line="276"/>
      </w:pPr>
      <w:r>
        <w:rPr>
          <w:color w:val="222426"/>
          <w:sz w:val="21"/>
          <w:szCs w:val="21"/>
        </w:rPr>
        <w:t xml:space="preserve">There are two different payment problems here, and they need different tools. Conflating them is the most common and most expensive mistake.</w:t>
      </w:r>
    </w:p>
    <w:p>
      <w:pPr>
        <w:pStyle w:val="Heading2"/>
        <w:spacing w:after="120" w:before="260"/>
      </w:pPr>
      <w:r>
        <w:rPr>
          <w:b/>
          <w:bCs/>
          <w:color w:val="0B1B2B"/>
          <w:sz w:val="24"/>
          <w:szCs w:val="24"/>
        </w:rPr>
        <w:t xml:space="preserve">Problem 1 — Recurring monthly premiums (the core business)</w:t>
      </w:r>
    </w:p>
    <w:p>
      <w:pPr>
        <w:spacing w:after="120" w:line="276"/>
      </w:pPr>
      <w:r>
        <w:rPr>
          <w:color w:val="222426"/>
          <w:sz w:val="21"/>
          <w:szCs w:val="21"/>
        </w:rPr>
        <w:t xml:space="preserve">Plans A, B and C are monthly premiums. This is a debit order problem, not a card problem. Cards expire, get cancelled and get declined; for a R250/month policy that means lapses, and a lapsed policy is lost revenue plus a distressed family at claim time.</w:t>
      </w:r>
    </w:p>
    <w:p>
      <w:pPr>
        <w:spacing w:after="160" w:line="276"/>
      </w:pPr>
      <w:r>
        <w:rPr>
          <w:b/>
          <w:bCs/>
          <w:color w:val="222426"/>
          <w:sz w:val="21"/>
          <w:szCs w:val="21"/>
        </w:rPr>
        <w:t xml:space="preserve">DebiCheck </w:t>
      </w:r>
      <w:r>
        <w:rPr>
          <w:color w:val="222426"/>
          <w:sz w:val="21"/>
          <w:szCs w:val="21"/>
        </w:rPr>
        <w:t xml:space="preserve">is the South African Reserve Bank's authenticated debit order system: the customer approves the mandate electronically through their own bank before any collection happens. It materially reduces disputed debits and is what established funeral insurers such as Clientèle use.</w:t>
      </w:r>
    </w:p>
    <w:tbl>
      <w:tblPr>
        <w:tblW w:type="dxa" w:w="9360"/>
        <w:tblBorders>
          <w:top w:val="single" w:color="D8D8D8" w:sz="2"/>
          <w:left w:val="single" w:color="D8D8D8" w:sz="2"/>
          <w:bottom w:val="single" w:color="D8D8D8" w:sz="2"/>
          <w:right w:val="single" w:color="D8D8D8" w:sz="2"/>
          <w:insideH w:val="single" w:color="D8D8D8" w:sz="2"/>
          <w:insideV w:val="single" w:color="D8D8D8" w:sz="2"/>
        </w:tblBorders>
      </w:tblPr>
      <w:tblGrid>
        <w:gridCol w:w="1900"/>
        <w:gridCol w:w="2400"/>
        <w:gridCol w:w="2600"/>
        <w:gridCol w:w="2460"/>
      </w:tblGrid>
      <w:tr>
        <w:trPr>
          <w:tblHeader/>
        </w:trPr>
        <w:tc>
          <w:tcPr>
            <w:tcW w:type="dxa" w:w="1900"/>
            <w:shd w:fill="0B1B2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2400"/>
            <w:shd w:fill="0B1B2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2600"/>
            <w:shd w:fill="0B1B2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Pricing</w:t>
            </w:r>
          </w:p>
        </w:tc>
        <w:tc>
          <w:tcPr>
            <w:tcW w:type="dxa" w:w="2460"/>
            <w:shd w:fill="0B1B2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 for Induduzo</w:t>
            </w:r>
          </w:p>
        </w:tc>
      </w:tr>
      <w:tr>
        <w:tc>
          <w:tcPr>
            <w:tcW w:type="dxa" w:w="1900"/>
            <w:shd w:fill="F4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222426"/>
                <w:sz w:val="19"/>
                <w:szCs w:val="19"/>
              </w:rPr>
              <w:t xml:space="preserve">Netcash</w:t>
            </w:r>
          </w:p>
        </w:tc>
        <w:tc>
          <w:tcPr>
            <w:tcW w:type="dxa" w:w="2400"/>
            <w:shd w:fill="F4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222426"/>
                <w:sz w:val="19"/>
                <w:szCs w:val="19"/>
              </w:rPr>
              <w:t xml:space="preserve">Debit orders, DebiCheck, invoicing, card and EFT</w:t>
            </w:r>
          </w:p>
        </w:tc>
        <w:tc>
          <w:tcPr>
            <w:tcW w:type="dxa" w:w="2600"/>
            <w:shd w:fill="F4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222426"/>
                <w:sz w:val="19"/>
                <w:szCs w:val="19"/>
              </w:rPr>
              <w:t xml:space="preserve">Quoted per merchant; not published</w:t>
            </w:r>
          </w:p>
        </w:tc>
        <w:tc>
          <w:tcPr>
            <w:tcW w:type="dxa" w:w="2460"/>
            <w:shd w:fill="F4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222426"/>
                <w:sz w:val="19"/>
                <w:szCs w:val="19"/>
              </w:rPr>
              <w:t xml:space="preserve">20+ years in SA payments. Registered with PASA as a Systems Operator and Third Party Payments Provider. Strongest fit for a debit-order-driven business.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222426"/>
                <w:sz w:val="19"/>
                <w:szCs w:val="19"/>
              </w:rPr>
              <w:t xml:space="preserve">Stitch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222426"/>
                <w:sz w:val="19"/>
                <w:szCs w:val="19"/>
              </w:rPr>
              <w:t xml:space="preserve">DebiCheck, debit orders, pay-by-bank, cards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222426"/>
                <w:sz w:val="19"/>
                <w:szCs w:val="19"/>
              </w:rPr>
              <w:t xml:space="preserve">Quoted privately; enterprise-oriented</w:t>
            </w:r>
          </w:p>
        </w:tc>
        <w:tc>
          <w:tcPr>
            <w:tcW w:type="dxa" w:w="24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222426"/>
                <w:sz w:val="19"/>
                <w:szCs w:val="19"/>
              </w:rPr>
              <w:t xml:space="preserve">Customer can sign a DebiCheck mandate online or at point of sale. Good if agents sign families up in the field.</w:t>
            </w:r>
          </w:p>
        </w:tc>
      </w:tr>
      <w:tr>
        <w:tc>
          <w:tcPr>
            <w:tcW w:type="dxa" w:w="1900"/>
            <w:shd w:fill="F4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222426"/>
                <w:sz w:val="19"/>
                <w:szCs w:val="19"/>
              </w:rPr>
              <w:t xml:space="preserve">Peach Payments</w:t>
            </w:r>
          </w:p>
        </w:tc>
        <w:tc>
          <w:tcPr>
            <w:tcW w:type="dxa" w:w="2400"/>
            <w:shd w:fill="F4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222426"/>
                <w:sz w:val="19"/>
                <w:szCs w:val="19"/>
              </w:rPr>
              <w:t xml:space="preserve">Cards, EFT, subscriptions</w:t>
            </w:r>
          </w:p>
        </w:tc>
        <w:tc>
          <w:tcPr>
            <w:tcW w:type="dxa" w:w="2600"/>
            <w:shd w:fill="F4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222426"/>
                <w:sz w:val="19"/>
                <w:szCs w:val="19"/>
              </w:rPr>
              <w:t xml:space="preserve">2.95% + R1.50 card, EFT from 1.5%, approx. R300/month account fee</w:t>
            </w:r>
          </w:p>
        </w:tc>
        <w:tc>
          <w:tcPr>
            <w:tcW w:type="dxa" w:w="2460"/>
            <w:shd w:fill="F4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222426"/>
                <w:sz w:val="19"/>
                <w:szCs w:val="19"/>
              </w:rPr>
              <w:t xml:space="preserve">Published rates and broad local coverage. Subscriptions are card-based rather than true DebiCheck.</w:t>
            </w:r>
          </w:p>
        </w:tc>
      </w:tr>
    </w:tbl>
    <w:p>
      <w:pPr>
        <w:spacing w:after="160" w:line="276"/>
      </w:pPr>
      <w:r>
        <w:rPr>
          <w:color w:val="222426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b/>
          <w:bCs/>
          <w:color w:val="0B1B2B"/>
          <w:sz w:val="24"/>
          <w:szCs w:val="24"/>
        </w:rPr>
        <w:t xml:space="preserve">Problem 2 — Once-off payments (joining fees, Dome Plan, Plan C)</w:t>
      </w:r>
    </w:p>
    <w:p>
      <w:pPr>
        <w:spacing w:after="120" w:line="276"/>
      </w:pPr>
      <w:r>
        <w:rPr>
          <w:color w:val="222426"/>
          <w:sz w:val="21"/>
          <w:szCs w:val="21"/>
        </w:rPr>
        <w:t xml:space="preserve">The R50 joining fee, the Dome Plan's R400 once-off, and any ad-hoc arrangement fee are ordinary online payments. Here the published-rate providers are straightforward.</w:t>
      </w:r>
    </w:p>
    <w:tbl>
      <w:tblPr>
        <w:tblW w:type="dxa" w:w="9360"/>
        <w:tblBorders>
          <w:top w:val="single" w:color="D8D8D8" w:sz="2"/>
          <w:left w:val="single" w:color="D8D8D8" w:sz="2"/>
          <w:bottom w:val="single" w:color="D8D8D8" w:sz="2"/>
          <w:right w:val="single" w:color="D8D8D8" w:sz="2"/>
          <w:insideH w:val="single" w:color="D8D8D8" w:sz="2"/>
          <w:insideV w:val="single" w:color="D8D8D8" w:sz="2"/>
        </w:tblBorders>
      </w:tblPr>
      <w:tblGrid>
        <w:gridCol w:w="1900"/>
        <w:gridCol w:w="2400"/>
        <w:gridCol w:w="2600"/>
        <w:gridCol w:w="2460"/>
      </w:tblGrid>
      <w:tr>
        <w:trPr>
          <w:tblHeader/>
        </w:trPr>
        <w:tc>
          <w:tcPr>
            <w:tcW w:type="dxa" w:w="1900"/>
            <w:shd w:fill="0B1B2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2400"/>
            <w:shd w:fill="0B1B2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2600"/>
            <w:shd w:fill="0B1B2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Pricing</w:t>
            </w:r>
          </w:p>
        </w:tc>
        <w:tc>
          <w:tcPr>
            <w:tcW w:type="dxa" w:w="2460"/>
            <w:shd w:fill="0B1B2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 for Induduzo</w:t>
            </w:r>
          </w:p>
        </w:tc>
      </w:tr>
      <w:tr>
        <w:tc>
          <w:tcPr>
            <w:tcW w:type="dxa" w:w="1900"/>
            <w:shd w:fill="F4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222426"/>
                <w:sz w:val="19"/>
                <w:szCs w:val="19"/>
              </w:rPr>
              <w:t xml:space="preserve">Yoco</w:t>
            </w:r>
          </w:p>
        </w:tc>
        <w:tc>
          <w:tcPr>
            <w:tcW w:type="dxa" w:w="2400"/>
            <w:shd w:fill="F4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222426"/>
                <w:sz w:val="19"/>
                <w:szCs w:val="19"/>
              </w:rPr>
              <w:t xml:space="preserve">Card (online and in-person card machines)</w:t>
            </w:r>
          </w:p>
        </w:tc>
        <w:tc>
          <w:tcPr>
            <w:tcW w:type="dxa" w:w="2600"/>
            <w:shd w:fill="F4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222426"/>
                <w:sz w:val="19"/>
                <w:szCs w:val="19"/>
              </w:rPr>
              <w:t xml:space="preserve">From approx. 2.7% ex VAT, falling with volume; no monthly fee</w:t>
            </w:r>
          </w:p>
        </w:tc>
        <w:tc>
          <w:tcPr>
            <w:tcW w:type="dxa" w:w="2460"/>
            <w:shd w:fill="F4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222426"/>
                <w:sz w:val="19"/>
                <w:szCs w:val="19"/>
              </w:rPr>
              <w:t xml:space="preserve">No native Instant EFT. Strong if branches also want card machines. Fast, simple onboarding.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222426"/>
                <w:sz w:val="19"/>
                <w:szCs w:val="19"/>
              </w:rPr>
              <w:t xml:space="preserve">Ozow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222426"/>
                <w:sz w:val="19"/>
                <w:szCs w:val="19"/>
              </w:rPr>
              <w:t xml:space="preserve">Instant EFT only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222426"/>
                <w:sz w:val="19"/>
                <w:szCs w:val="19"/>
              </w:rPr>
              <w:t xml:space="preserve">1.5% per transaction, no monthly fee</w:t>
            </w:r>
          </w:p>
        </w:tc>
        <w:tc>
          <w:tcPr>
            <w:tcW w:type="dxa" w:w="24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222426"/>
                <w:sz w:val="19"/>
                <w:szCs w:val="19"/>
              </w:rPr>
              <w:t xml:space="preserve">Cheapest EFT in the market. No card acceptance — pair with a card provider. Suits customers without cards.</w:t>
            </w:r>
          </w:p>
        </w:tc>
      </w:tr>
      <w:tr>
        <w:tc>
          <w:tcPr>
            <w:tcW w:type="dxa" w:w="1900"/>
            <w:shd w:fill="F4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222426"/>
                <w:sz w:val="19"/>
                <w:szCs w:val="19"/>
              </w:rPr>
              <w:t xml:space="preserve">PayFast</w:t>
            </w:r>
          </w:p>
        </w:tc>
        <w:tc>
          <w:tcPr>
            <w:tcW w:type="dxa" w:w="2400"/>
            <w:shd w:fill="F4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222426"/>
                <w:sz w:val="19"/>
                <w:szCs w:val="19"/>
              </w:rPr>
              <w:t xml:space="preserve">Cards and Instant EFT</w:t>
            </w:r>
          </w:p>
        </w:tc>
        <w:tc>
          <w:tcPr>
            <w:tcW w:type="dxa" w:w="2600"/>
            <w:shd w:fill="F4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222426"/>
                <w:sz w:val="19"/>
                <w:szCs w:val="19"/>
              </w:rPr>
              <w:t xml:space="preserve">3.2% + R2 ex VAT, no monthly fee, T+1 settlement</w:t>
            </w:r>
          </w:p>
        </w:tc>
        <w:tc>
          <w:tcPr>
            <w:tcW w:type="dxa" w:w="2460"/>
            <w:shd w:fill="F4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222426"/>
                <w:sz w:val="19"/>
                <w:szCs w:val="19"/>
              </w:rPr>
              <w:t xml:space="preserve">Widely recognised by SA consumers. Card rate is above the market.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222426"/>
                <w:sz w:val="19"/>
                <w:szCs w:val="19"/>
              </w:rPr>
              <w:t xml:space="preserve">Paystack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222426"/>
                <w:sz w:val="19"/>
                <w:szCs w:val="19"/>
              </w:rPr>
              <w:t xml:space="preserve">Cards and local methods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222426"/>
                <w:sz w:val="19"/>
                <w:szCs w:val="19"/>
              </w:rPr>
              <w:t xml:space="preserve">2.9% + R1</w:t>
            </w:r>
          </w:p>
        </w:tc>
        <w:tc>
          <w:tcPr>
            <w:tcW w:type="dxa" w:w="24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222426"/>
                <w:sz w:val="19"/>
                <w:szCs w:val="19"/>
              </w:rPr>
              <w:t xml:space="preserve">Owned by Stripe. T+1 payouts. Good middle option.</w:t>
            </w:r>
          </w:p>
        </w:tc>
      </w:tr>
      <w:tr>
        <w:tc>
          <w:tcPr>
            <w:tcW w:type="dxa" w:w="1900"/>
            <w:shd w:fill="F4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222426"/>
                <w:sz w:val="19"/>
                <w:szCs w:val="19"/>
              </w:rPr>
              <w:t xml:space="preserve">Stripe</w:t>
            </w:r>
          </w:p>
        </w:tc>
        <w:tc>
          <w:tcPr>
            <w:tcW w:type="dxa" w:w="2400"/>
            <w:shd w:fill="F4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222426"/>
                <w:sz w:val="19"/>
                <w:szCs w:val="19"/>
              </w:rPr>
              <w:t xml:space="preserve">Cards, international</w:t>
            </w:r>
          </w:p>
        </w:tc>
        <w:tc>
          <w:tcPr>
            <w:tcW w:type="dxa" w:w="2600"/>
            <w:shd w:fill="F4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222426"/>
                <w:sz w:val="19"/>
                <w:szCs w:val="19"/>
              </w:rPr>
              <w:t xml:space="preserve">2.9% + 30c</w:t>
            </w:r>
          </w:p>
        </w:tc>
        <w:tc>
          <w:tcPr>
            <w:tcW w:type="dxa" w:w="2460"/>
            <w:shd w:fill="F4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222426"/>
                <w:sz w:val="19"/>
                <w:szCs w:val="19"/>
              </w:rPr>
              <w:t xml:space="preserve">Available to SA-registered merchants, but payouts are typically T+7 or longer for Sub-Saharan Africa. Built for international commerce, not SA debit orders.</w:t>
            </w:r>
          </w:p>
        </w:tc>
      </w:tr>
    </w:tbl>
    <w:p>
      <w:pPr>
        <w:spacing w:after="160" w:line="276"/>
      </w:pPr>
      <w:r>
        <w:rPr>
          <w:color w:val="222426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b/>
          <w:bCs/>
          <w:color w:val="0B1B2B"/>
          <w:sz w:val="24"/>
          <w:szCs w:val="24"/>
        </w:rPr>
        <w:t xml:space="preserve">A note on the two you asked about</w:t>
      </w:r>
    </w:p>
    <w:p>
      <w:pPr>
        <w:spacing w:after="100" w:line="276"/>
      </w:pPr>
      <w:r>
        <w:rPr>
          <w:b/>
          <w:bCs/>
          <w:color w:val="222426"/>
          <w:sz w:val="21"/>
          <w:szCs w:val="21"/>
        </w:rPr>
        <w:t xml:space="preserve">Yoco </w:t>
      </w:r>
      <w:r>
        <w:rPr>
          <w:color w:val="222426"/>
          <w:sz w:val="21"/>
          <w:szCs w:val="21"/>
        </w:rPr>
        <w:t xml:space="preserve">is a genuinely good choice for once-off and in-branch card payments, and its brand recognition in South Africa is high. It is not a debit order platform, so it cannot carry the monthly premium book on its own.</w:t>
      </w:r>
    </w:p>
    <w:p>
      <w:pPr>
        <w:spacing w:after="100" w:line="276"/>
      </w:pPr>
      <w:r>
        <w:rPr>
          <w:b/>
          <w:bCs/>
          <w:color w:val="222426"/>
          <w:sz w:val="21"/>
          <w:szCs w:val="21"/>
        </w:rPr>
        <w:t xml:space="preserve">FNB </w:t>
      </w:r>
      <w:r>
        <w:rPr>
          <w:color w:val="222426"/>
          <w:sz w:val="21"/>
          <w:szCs w:val="21"/>
        </w:rPr>
        <w:t xml:space="preserve">(or any bank) plays a different role in this stack. The bank provides the business account that money settles into, and banks do offer debit order facilities directly. But a bank is not a payment gateway: it will not give you a checkout page, a mandate-capture flow, or an API that your portal can call. In practice you keep the FNB business account and put a gateway or collections provider in front of it.</w:t>
      </w:r>
    </w:p>
    <w:p>
      <w:pPr>
        <w:spacing w:after="200" w:line="276"/>
      </w:pPr>
      <w:r>
        <w:rPr>
          <w:b/>
          <w:bCs/>
          <w:color w:val="222426"/>
          <w:sz w:val="21"/>
          <w:szCs w:val="21"/>
        </w:rPr>
        <w:t xml:space="preserve">Stripe </w:t>
      </w:r>
      <w:r>
        <w:rPr>
          <w:color w:val="222426"/>
          <w:sz w:val="21"/>
          <w:szCs w:val="21"/>
        </w:rPr>
        <w:t xml:space="preserve">is worth naming explicitly because it is the default assumption in most technical writing. For Induduzo it is the wrong first choice: the business is ZAR-denominated, debit-order-driven and domestic, and Stripe's Sub-Saharan settlement times are slow. Revisit it only if Induduzo ever sells to customers outside South Africa.</w:t>
      </w:r>
    </w:p>
    <w:p>
      <w:r>
        <w:br w:type="page"/>
      </w:r>
    </w:p>
    <w:p>
      <w:pPr>
        <w:pStyle w:val="Heading1"/>
        <w:pBdr>
          <w:bottom w:val="single" w:color="C9A24B" w:sz="12" w:space="6"/>
        </w:pBdr>
        <w:spacing w:after="160" w:before="360"/>
      </w:pPr>
      <w:r>
        <w:rPr>
          <w:b/>
          <w:bCs/>
          <w:color w:val="0B1B2B"/>
          <w:sz w:val="30"/>
          <w:szCs w:val="30"/>
        </w:rPr>
        <w:t xml:space="preserve">Part C — Recommendation</w:t>
      </w:r>
    </w:p>
    <w:tbl>
      <w:tblPr>
        <w:tblW w:type="dxa" w:w="9360"/>
        <w:tblBorders>
          <w:top w:val="single" w:color="C9A24B" w:sz="8"/>
          <w:left w:val="single" w:color="C9A24B" w:sz="8"/>
          <w:bottom w:val="single" w:color="C9A24B" w:sz="8"/>
          <w:right w:val="single" w:color="C9A24B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B2B" w:color="auto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C9A24B"/>
                <w:sz w:val="22"/>
                <w:szCs w:val="22"/>
              </w:rPr>
              <w:t xml:space="preserve">RECOMMENDED STACK</w:t>
            </w:r>
          </w:p>
          <w:p>
            <w:pPr>
              <w:spacing w:after="80" w:line="276"/>
            </w:pPr>
            <w:r>
              <w:rPr>
                <w:color w:val="FFFFFF"/>
                <w:sz w:val="21"/>
                <w:szCs w:val="21"/>
              </w:rPr>
              <w:t xml:space="preserve">1. Netcash (or Stitch) for recurring premiums via DebiCheck — this is the core of the funeral cover business and deserves the purpose-built tool.</w:t>
            </w:r>
          </w:p>
          <w:p>
            <w:pPr>
              <w:spacing w:after="80" w:line="276"/>
            </w:pPr>
            <w:r>
              <w:rPr>
                <w:color w:val="FFFFFF"/>
                <w:sz w:val="21"/>
                <w:szCs w:val="21"/>
              </w:rPr>
              <w:t xml:space="preserve">2. Yoco for once-off payments and in-branch card machines — published rates, no monthly fee, quick to open.</w:t>
            </w:r>
          </w:p>
          <w:p>
            <w:pPr>
              <w:spacing w:after="80" w:line="276"/>
            </w:pPr>
            <w:r>
              <w:rPr>
                <w:color w:val="FFFFFF"/>
                <w:sz w:val="21"/>
                <w:szCs w:val="21"/>
              </w:rPr>
              <w:t xml:space="preserve">3. Keep the existing FNB business account as the settlement destination for both.</w:t>
            </w:r>
          </w:p>
        </w:tc>
      </w:tr>
    </w:tbl>
    <w:p>
      <w:pPr>
        <w:spacing w:after="160" w:line="276"/>
      </w:pPr>
      <w:r>
        <w:rPr>
          <w:color w:val="222426"/>
          <w:sz w:val="21"/>
          <w:szCs w:val="21"/>
        </w:rPr>
        <w:t xml:space="preserve"/>
      </w:r>
    </w:p>
    <w:p>
      <w:pPr>
        <w:spacing w:after="120" w:line="276"/>
      </w:pPr>
      <w:r>
        <w:rPr>
          <w:color w:val="222426"/>
          <w:sz w:val="21"/>
          <w:szCs w:val="21"/>
        </w:rPr>
        <w:t xml:space="preserve">The reasoning is simple. About 90% of the money is monthly premiums, and that money should move on authenticated debit orders because that is what keeps policies from lapsing. The remaining once-off payments are low-volume and do not justify a second monthly account fee, which rules out Peach as the starting point. Yoco costs nothing while idle.</w:t>
      </w:r>
    </w:p>
    <w:p>
      <w:pPr>
        <w:spacing w:after="200" w:line="276"/>
      </w:pPr>
      <w:r>
        <w:rPr>
          <w:b/>
          <w:bCs/>
          <w:color w:val="222426"/>
          <w:sz w:val="21"/>
          <w:szCs w:val="21"/>
        </w:rPr>
        <w:t xml:space="preserve">Get quotes from both Netcash and Stitch before committing. </w:t>
      </w:r>
      <w:r>
        <w:rPr>
          <w:color w:val="222426"/>
          <w:sz w:val="21"/>
          <w:szCs w:val="21"/>
        </w:rPr>
        <w:t xml:space="preserve">Neither publishes rates, so the only way to compare is to ask, and a funeral book with a clear growth target (2,000 policies by December 2027) is exactly the kind of volume that earns a better rate.</w:t>
      </w:r>
    </w:p>
    <w:p>
      <w:pPr>
        <w:pStyle w:val="Heading1"/>
        <w:pBdr>
          <w:bottom w:val="single" w:color="C9A24B" w:sz="12" w:space="6"/>
        </w:pBdr>
        <w:spacing w:after="160" w:before="360"/>
      </w:pPr>
      <w:r>
        <w:rPr>
          <w:b/>
          <w:bCs/>
          <w:color w:val="0B1B2B"/>
          <w:sz w:val="30"/>
          <w:szCs w:val="30"/>
        </w:rPr>
        <w:t xml:space="preserve">Part D — Opening an account: what you will need</w:t>
      </w:r>
    </w:p>
    <w:p>
      <w:pPr>
        <w:spacing w:after="140" w:line="276"/>
      </w:pPr>
      <w:r>
        <w:rPr>
          <w:color w:val="222426"/>
          <w:sz w:val="21"/>
          <w:szCs w:val="21"/>
        </w:rPr>
        <w:t xml:space="preserve">Order of operations matters. Steps 1 and 2 gate everything else.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222426"/>
          <w:sz w:val="21"/>
          <w:szCs w:val="21"/>
        </w:rPr>
        <w:t xml:space="preserve">Confirm the underwriter and the FSP licence position, in writing. Do not start provider onboarding before this is settled.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222426"/>
          <w:sz w:val="21"/>
          <w:szCs w:val="21"/>
        </w:rPr>
        <w:t xml:space="preserve">Gather the FICA pack: CIPC registration documents, proof of business address, certified director IDs, and a bank confirmation letter for the FNB account.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222426"/>
          <w:sz w:val="21"/>
          <w:szCs w:val="21"/>
        </w:rPr>
        <w:t xml:space="preserve">Publish the supporting website pages: plan terms and conditions, privacy notice (POPIA), refund and cancellation policy, and clear contact details. Gateways check for these.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222426"/>
          <w:sz w:val="21"/>
          <w:szCs w:val="21"/>
        </w:rPr>
        <w:t xml:space="preserve">Apply to Yoco online for the once-off/card facility. This is typically the fastest approval and lets you test the plumbing early.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222426"/>
          <w:sz w:val="21"/>
          <w:szCs w:val="21"/>
        </w:rPr>
        <w:t xml:space="preserve">Request quotes from Netcash and Stitch for DebiCheck collections. Give them expected volumes, average premium (R250-R350), and the growth target.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222426"/>
          <w:sz w:val="21"/>
          <w:szCs w:val="21"/>
        </w:rPr>
        <w:t xml:space="preserve">Run a pilot: collect from a small group of consenting policyholders for one or two months before migrating the whole book.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222426"/>
          <w:sz w:val="21"/>
          <w:szCs w:val="21"/>
        </w:rPr>
        <w:t xml:space="preserve">Only then integrate with the portal (Part E).</w:t>
      </w:r>
    </w:p>
    <w:p>
      <w:pPr>
        <w:pStyle w:val="Heading1"/>
        <w:pBdr>
          <w:bottom w:val="single" w:color="C9A24B" w:sz="12" w:space="6"/>
        </w:pBdr>
        <w:spacing w:after="160" w:before="360"/>
      </w:pPr>
      <w:r>
        <w:rPr>
          <w:b/>
          <w:bCs/>
          <w:color w:val="0B1B2B"/>
          <w:sz w:val="30"/>
          <w:szCs w:val="30"/>
        </w:rPr>
        <w:t xml:space="preserve">Part E — Connecting it to the portal (later phase)</w:t>
      </w:r>
    </w:p>
    <w:p>
      <w:pPr>
        <w:spacing w:after="140" w:line="276"/>
      </w:pPr>
      <w:r>
        <w:rPr>
          <w:color w:val="222426"/>
          <w:sz w:val="21"/>
          <w:szCs w:val="21"/>
        </w:rPr>
        <w:t xml:space="preserve">This is deliberately a later step, and it should connect to the staff portal rather than the public website. The public site's job ends at capturing the application; money movement belongs behind authentication.</w:t>
      </w:r>
    </w:p>
    <w:p>
      <w:pPr>
        <w:pStyle w:val="Heading2"/>
        <w:spacing w:after="120" w:before="260"/>
      </w:pPr>
      <w:r>
        <w:rPr>
          <w:b/>
          <w:bCs/>
          <w:color w:val="0B1B2B"/>
          <w:sz w:val="24"/>
          <w:szCs w:val="24"/>
        </w:rPr>
        <w:t xml:space="preserve">The rules this integration must follow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22426"/>
          <w:sz w:val="21"/>
          <w:szCs w:val="21"/>
        </w:rPr>
        <w:t xml:space="preserve">The provider is never the source of truth. </w:t>
      </w:r>
      <w:r>
        <w:rPr>
          <w:color w:val="222426"/>
          <w:sz w:val="21"/>
          <w:szCs w:val="21"/>
        </w:rPr>
        <w:t xml:space="preserve">Induduzo's own system owns policy state, arrears logic and claim eligibility. The provider tells you what happened to a payment; it does not decide whether a policy is active.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22426"/>
          <w:sz w:val="21"/>
          <w:szCs w:val="21"/>
        </w:rPr>
        <w:t xml:space="preserve">Confirm payments server-side. </w:t>
      </w:r>
      <w:r>
        <w:rPr>
          <w:color w:val="222426"/>
          <w:sz w:val="21"/>
          <w:szCs w:val="21"/>
        </w:rPr>
        <w:t xml:space="preserve">A payment is only marked paid on the strength of a signed webhook or a server-to-server API check — never because the customer's browser said so.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22426"/>
          <w:sz w:val="21"/>
          <w:szCs w:val="21"/>
        </w:rPr>
        <w:t xml:space="preserve">Verify every webhook signature </w:t>
      </w:r>
      <w:r>
        <w:rPr>
          <w:color w:val="222426"/>
          <w:sz w:val="21"/>
          <w:szCs w:val="21"/>
        </w:rPr>
        <w:t xml:space="preserve">before trusting it, and deduplicate on the provider's event ID so a retried webhook cannot be applied twice.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22426"/>
          <w:sz w:val="21"/>
          <w:szCs w:val="21"/>
        </w:rPr>
        <w:t xml:space="preserve">Use idempotency keys </w:t>
      </w:r>
      <w:r>
        <w:rPr>
          <w:color w:val="222426"/>
          <w:sz w:val="21"/>
          <w:szCs w:val="21"/>
        </w:rPr>
        <w:t xml:space="preserve">so one real payment can never become two policy credits.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22426"/>
          <w:sz w:val="21"/>
          <w:szCs w:val="21"/>
        </w:rPr>
        <w:t xml:space="preserve">Keep an internal ledger. </w:t>
      </w:r>
      <w:r>
        <w:rPr>
          <w:color w:val="222426"/>
          <w:sz w:val="21"/>
          <w:szCs w:val="21"/>
        </w:rPr>
        <w:t xml:space="preserve">Every money movement is an append-only event with a source and destination. Reversals are new entries, never edits to old ones. This is what prevents the classic failure of a customer showing as paid while the bank says otherwise.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22426"/>
          <w:sz w:val="21"/>
          <w:szCs w:val="21"/>
        </w:rPr>
        <w:t xml:space="preserve">Store tokens, never card or account numbers. </w:t>
      </w:r>
      <w:r>
        <w:rPr>
          <w:color w:val="222426"/>
          <w:sz w:val="21"/>
          <w:szCs w:val="21"/>
        </w:rPr>
        <w:t xml:space="preserve">Mask anything sensitive in the staff UI, and require maker-checker approval for bank detail changes and payout releases.</w:t>
      </w:r>
    </w:p>
    <w:p>
      <w:pPr>
        <w:spacing w:after="120" w:line="276"/>
      </w:pPr>
      <w:r>
        <w:rPr>
          <w:color w:val="222426"/>
          <w:sz w:val="21"/>
          <w:szCs w:val="21"/>
        </w:rPr>
        <w:t xml:space="preserve"/>
      </w:r>
    </w:p>
    <w:p>
      <w:pPr>
        <w:spacing w:after="200" w:line="276"/>
      </w:pPr>
      <w:r>
        <w:rPr>
          <w:b/>
          <w:bCs/>
          <w:color w:val="222426"/>
          <w:sz w:val="21"/>
          <w:szCs w:val="21"/>
        </w:rPr>
        <w:t xml:space="preserve">The flow, end to end: </w:t>
      </w:r>
      <w:r>
        <w:rPr>
          <w:color w:val="222426"/>
          <w:sz w:val="21"/>
          <w:szCs w:val="21"/>
        </w:rPr>
        <w:t xml:space="preserve">application submitted on the website and saved to the database (already built) → staff review in the portal → mandate or payment link issued to the customer through the provider → provider confirms via signed webhook → the system records the payment event and activates the policy → the 3-month waiting period clock starts from the first successful collection.</w:t>
      </w:r>
    </w:p>
    <w:p>
      <w:pPr>
        <w:pStyle w:val="Heading1"/>
        <w:pBdr>
          <w:bottom w:val="single" w:color="C9A24B" w:sz="12" w:space="6"/>
        </w:pBdr>
        <w:spacing w:after="160" w:before="360"/>
      </w:pPr>
      <w:r>
        <w:rPr>
          <w:b/>
          <w:bCs/>
          <w:color w:val="0B1B2B"/>
          <w:sz w:val="30"/>
          <w:szCs w:val="30"/>
        </w:rPr>
        <w:t xml:space="preserve">Part F — Open questions to resolve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426"/>
          <w:sz w:val="21"/>
          <w:szCs w:val="21"/>
        </w:rPr>
        <w:t xml:space="preserve">Who currently underwrites the Induduzo plans, and is that arrangement documented and current?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426"/>
          <w:sz w:val="21"/>
          <w:szCs w:val="21"/>
        </w:rPr>
        <w:t xml:space="preserve">Does Induduzo hold an FSP licence, or does it operate as a Representative of one? Under whose licence?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426"/>
          <w:sz w:val="21"/>
          <w:szCs w:val="21"/>
        </w:rPr>
        <w:t xml:space="preserve">How are premiums collected today (cash at branch, existing debit orders, agents), and what would migrating that book to DebiCheck involve?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426"/>
          <w:sz w:val="21"/>
          <w:szCs w:val="21"/>
        </w:rPr>
        <w:t xml:space="preserve">What is the current lapse rate? This sets the value of moving to authenticated debit orders.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426"/>
          <w:sz w:val="21"/>
          <w:szCs w:val="21"/>
        </w:rPr>
        <w:t xml:space="preserve">Does the existing FNB relationship include a debit order facility, and on what terms compared with Netcash or Stitch?</w:t>
      </w:r>
    </w:p>
    <w:p>
      <w:pPr>
        <w:pStyle w:val="Heading1"/>
        <w:pBdr>
          <w:bottom w:val="single" w:color="C9A24B" w:sz="12" w:space="6"/>
        </w:pBdr>
        <w:spacing w:after="160" w:before="360"/>
      </w:pPr>
      <w:r>
        <w:rPr>
          <w:b/>
          <w:bCs/>
          <w:color w:val="0B1B2B"/>
          <w:sz w:val="30"/>
          <w:szCs w:val="30"/>
        </w:rPr>
        <w:t xml:space="preserve">Sources</w:t>
      </w:r>
    </w:p>
    <w:p>
      <w:pPr>
        <w:spacing w:after="140" w:line="276"/>
      </w:pPr>
      <w:r>
        <w:rPr>
          <w:color w:val="6A6A6A"/>
          <w:sz w:val="19"/>
          <w:szCs w:val="19"/>
        </w:rPr>
        <w:t xml:space="preserve">All figures current as of August 2026. Rates change; confirm directly with each provider before deciding.</w:t>
      </w:r>
    </w:p>
    <w:p>
      <w:pPr>
        <w:spacing w:after="60"/>
      </w:pPr>
      <w:hyperlink w:history="1" r:id="rIdu5ucriece7wud3rqukxtj">
        <w:r>
          <w:rPr>
            <w:rStyle w:val="Hyperlink"/>
            <w:sz w:val="19"/>
            <w:szCs w:val="19"/>
          </w:rPr>
          <w:t xml:space="preserve">FSCA action against unlicensed funeral firms — IOL, September 2025</w:t>
        </w:r>
      </w:hyperlink>
    </w:p>
    <w:p>
      <w:pPr>
        <w:spacing w:after="60"/>
      </w:pPr>
      <w:hyperlink w:history="1" r:id="rId-9posoqzt2lhv3cwbdbhm">
        <w:r>
          <w:rPr>
            <w:rStyle w:val="Hyperlink"/>
            <w:sz w:val="19"/>
            <w:szCs w:val="19"/>
          </w:rPr>
          <w:t xml:space="preserve">Why funeral policies must be underwritten by an insurer — BrightRock</w:t>
        </w:r>
      </w:hyperlink>
    </w:p>
    <w:p>
      <w:pPr>
        <w:spacing w:after="60"/>
      </w:pPr>
      <w:hyperlink w:history="1" r:id="rIde04wcyok6pz_-f29a7kip">
        <w:r>
          <w:rPr>
            <w:rStyle w:val="Hyperlink"/>
            <w:sz w:val="19"/>
            <w:szCs w:val="19"/>
          </w:rPr>
          <w:t xml:space="preserve">Funeral policies: what consumers should know — FAIS Ombud</w:t>
        </w:r>
      </w:hyperlink>
    </w:p>
    <w:p>
      <w:pPr>
        <w:spacing w:after="60"/>
      </w:pPr>
      <w:hyperlink w:history="1" r:id="rIdppcdor13paekrtwbr4vvl">
        <w:r>
          <w:rPr>
            <w:rStyle w:val="Hyperlink"/>
            <w:sz w:val="19"/>
            <w:szCs w:val="19"/>
          </w:rPr>
          <w:t xml:space="preserve">How failed debit orders drive policy lapse for insurers in South Africa — Stitch</w:t>
        </w:r>
      </w:hyperlink>
    </w:p>
    <w:p>
      <w:pPr>
        <w:spacing w:after="60"/>
      </w:pPr>
      <w:hyperlink w:history="1" r:id="rIdiw2xivc69mnu-q7cxmfgq">
        <w:r>
          <w:rPr>
            <w:rStyle w:val="Hyperlink"/>
            <w:sz w:val="19"/>
            <w:szCs w:val="19"/>
          </w:rPr>
          <w:t xml:space="preserve">DebiCheck authenticated debit order collections — Stitch</w:t>
        </w:r>
      </w:hyperlink>
    </w:p>
    <w:p>
      <w:pPr>
        <w:spacing w:after="60"/>
      </w:pPr>
      <w:hyperlink w:history="1" r:id="rIdnidrm568d_hscp0og3_by">
        <w:r>
          <w:rPr>
            <w:rStyle w:val="Hyperlink"/>
            <w:sz w:val="19"/>
            <w:szCs w:val="19"/>
          </w:rPr>
          <w:t xml:space="preserve">DebiCheck system and mandate authentication — Netcash</w:t>
        </w:r>
      </w:hyperlink>
    </w:p>
    <w:p>
      <w:pPr>
        <w:spacing w:after="60"/>
      </w:pPr>
      <w:hyperlink w:history="1" r:id="rIdzosgupsfimvizlbg7xfwv">
        <w:r>
          <w:rPr>
            <w:rStyle w:val="Hyperlink"/>
            <w:sz w:val="19"/>
            <w:szCs w:val="19"/>
          </w:rPr>
          <w:t xml:space="preserve">Debit order collection system — Netcash</w:t>
        </w:r>
      </w:hyperlink>
    </w:p>
    <w:p>
      <w:pPr>
        <w:spacing w:after="60"/>
      </w:pPr>
      <w:hyperlink w:history="1" r:id="rId2nnffwfzd3ponwq9vzm5i">
        <w:r>
          <w:rPr>
            <w:rStyle w:val="Hyperlink"/>
            <w:sz w:val="19"/>
            <w:szCs w:val="19"/>
          </w:rPr>
          <w:t xml:space="preserve">Best payment gateway in South Africa 2026: fees compared — Allanux</w:t>
        </w:r>
      </w:hyperlink>
    </w:p>
    <w:p>
      <w:pPr>
        <w:spacing w:after="60"/>
      </w:pPr>
      <w:hyperlink w:history="1" r:id="rIdup3sm0mcfb3z3s7p32l2v">
        <w:r>
          <w:rPr>
            <w:rStyle w:val="Hyperlink"/>
            <w:sz w:val="19"/>
            <w:szCs w:val="19"/>
          </w:rPr>
          <w:t xml:space="preserve">Payment gateway fees comparison South Africa: 2026 real costs — Growth Pulse Media</w:t>
        </w:r>
      </w:hyperlink>
    </w:p>
    <w:p>
      <w:pPr>
        <w:spacing w:after="60"/>
      </w:pPr>
      <w:hyperlink w:history="1" r:id="rIdx2div95ogazb60gsn-zpk">
        <w:r>
          <w:rPr>
            <w:rStyle w:val="Hyperlink"/>
            <w:sz w:val="19"/>
            <w:szCs w:val="19"/>
          </w:rPr>
          <w:t xml:space="preserve">Cheapest payment gateway South Africa 2026 — ECD</w:t>
        </w:r>
      </w:hyperlink>
    </w:p>
    <w:p>
      <w:pPr>
        <w:spacing w:after="60"/>
      </w:pPr>
      <w:hyperlink w:history="1" r:id="rId3rmeuaoc6e5ylzr5op-0f">
        <w:r>
          <w:rPr>
            <w:rStyle w:val="Hyperlink"/>
            <w:sz w:val="19"/>
            <w:szCs w:val="19"/>
          </w:rPr>
          <w:t xml:space="preserve">Does Stripe operate in South Africa? — Paystack</w:t>
        </w:r>
      </w:hyperlink>
    </w:p>
    <w:p>
      <w:pPr>
        <w:spacing w:after="60"/>
      </w:pPr>
      <w:hyperlink w:history="1" r:id="rIdyu5zojxmr0uxqj0selkqr">
        <w:r>
          <w:rPr>
            <w:rStyle w:val="Hyperlink"/>
            <w:sz w:val="19"/>
            <w:szCs w:val="19"/>
          </w:rPr>
          <w:t xml:space="preserve">DebiCheck for funeral cover — Clientèle</w:t>
        </w:r>
      </w:hyperlink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  <w:lvl w:ilvl="1" w15:tentative="1">
      <w:start w:val="1"/>
      <w:numFmt w:val="bullet"/>
      <w:lvlText w:val="◦"/>
      <w:lvlJc w:val="left"/>
      <w:pPr>
        <w:ind w:left="80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4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5ucriece7wud3rqukxtj" Type="http://schemas.openxmlformats.org/officeDocument/2006/relationships/hyperlink" Target="https://iol.co.za/news/south-africa/2025-09-17-fsca-takes-action-against-funeral-firms-for-collecting-millions-without-proper-licencing/" TargetMode="External"/><Relationship Id="rId-9posoqzt2lhv3cwbdbhm" Type="http://schemas.openxmlformats.org/officeDocument/2006/relationships/hyperlink" Target="https://www.brightrock.co.za/media-centre/why-must-funeral-policies-be-underwritten-by-an-insurer" TargetMode="External"/><Relationship Id="rIde04wcyok6pz_-f29a7kip" Type="http://schemas.openxmlformats.org/officeDocument/2006/relationships/hyperlink" Target="https://www.faisombud.co.za/latest-news/funeral-policies-what-consumers-should-know-and-avoid/" TargetMode="External"/><Relationship Id="rIdppcdor13paekrtwbr4vvl" Type="http://schemas.openxmlformats.org/officeDocument/2006/relationships/hyperlink" Target="https://stitch.money/blog/how-failed-debit-orders-drive-policy-lapse-for-insurers-in-south-africa" TargetMode="External"/><Relationship Id="rIdiw2xivc69mnu-q7cxmfgq" Type="http://schemas.openxmlformats.org/officeDocument/2006/relationships/hyperlink" Target="https://stitch.money/payment-methods/debicheck" TargetMode="External"/><Relationship Id="rIdnidrm568d_hscp0og3_by" Type="http://schemas.openxmlformats.org/officeDocument/2006/relationships/hyperlink" Target="https://netcash.co.za/services/debicheck/" TargetMode="External"/><Relationship Id="rIdzosgupsfimvizlbg7xfwv" Type="http://schemas.openxmlformats.org/officeDocument/2006/relationships/hyperlink" Target="https://netcash.co.za/services/debit-order-collections/" TargetMode="External"/><Relationship Id="rId2nnffwfzd3ponwq9vzm5i" Type="http://schemas.openxmlformats.org/officeDocument/2006/relationships/hyperlink" Target="https://www.allanuxweb.com/blog/best-payment-gateway-south-africa" TargetMode="External"/><Relationship Id="rIdup3sm0mcfb3z3s7p32l2v" Type="http://schemas.openxmlformats.org/officeDocument/2006/relationships/hyperlink" Target="https://www.growthpulsemedia.co.za/payment-gateway-fees-comparison-south-africa/" TargetMode="External"/><Relationship Id="rIdx2div95ogazb60gsn-zpk" Type="http://schemas.openxmlformats.org/officeDocument/2006/relationships/hyperlink" Target="https://www.ecommercedevelopment.co.za/cheapest-payment-gateway-south-africa/" TargetMode="External"/><Relationship Id="rId3rmeuaoc6e5ylzr5op-0f" Type="http://schemas.openxmlformats.org/officeDocument/2006/relationships/hyperlink" Target="https://paystack.com/stripe/south-africa" TargetMode="External"/><Relationship Id="rIdyu5zojxmr0uxqj0selkqr" Type="http://schemas.openxmlformats.org/officeDocument/2006/relationships/hyperlink" Target="https://clientele.co.za/debicheck/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Online Payments: Requirements and Provider Options</dc:title>
  <dc:creator>Induduzo Funeral Home</dc:creator>
  <dc:description>What Induduzo needs in order to charge customers online, and which South African payment provider to use.</dc:description>
  <cp:lastModifiedBy>Un-named</cp:lastModifiedBy>
  <cp:revision>1</cp:revision>
  <dcterms:created xsi:type="dcterms:W3CDTF">2026-08-25T07:47:28.125Z</dcterms:created>
  <dcterms:modified xsi:type="dcterms:W3CDTF">2026-08-25T07:47:28.128Z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