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6BA" w:rsidRDefault="008710E6" w:rsidP="005206BA">
      <w:pPr>
        <w:pStyle w:val="Heading1"/>
      </w:pPr>
      <w:r>
        <w:t>France DA</w:t>
      </w:r>
    </w:p>
    <w:p w:rsidR="005206BA" w:rsidRDefault="005206BA" w:rsidP="005206BA">
      <w:pPr>
        <w:pStyle w:val="Heading2"/>
      </w:pPr>
      <w:r>
        <w:t>Database as a whole</w:t>
      </w:r>
    </w:p>
    <w:p w:rsidR="005206BA" w:rsidRDefault="005206BA" w:rsidP="005206BA">
      <w:pPr>
        <w:pStyle w:val="ListParagraph"/>
        <w:ind w:left="0"/>
      </w:pPr>
      <w:r>
        <w:t xml:space="preserve">The </w:t>
      </w:r>
      <w:r w:rsidR="008710E6">
        <w:t>FRDA</w:t>
      </w:r>
      <w:r>
        <w:t xml:space="preserve"> database consists of data collected from </w:t>
      </w:r>
      <w:r w:rsidR="008710E6">
        <w:t>France</w:t>
      </w:r>
      <w:r>
        <w:t xml:space="preserve"> </w:t>
      </w:r>
      <w:r w:rsidR="008710E6">
        <w:t>GP offices for all ages</w:t>
      </w:r>
      <w:r>
        <w:t xml:space="preserve">.  </w:t>
      </w:r>
      <w:r w:rsidR="008710E6">
        <w:t>There are roughly 1109 GPs part of the database. There are about 8 million total patients in the database, with 5 million active patients.</w:t>
      </w:r>
      <w:r w:rsidR="00D16E22">
        <w:t xml:space="preserve"> Data</w:t>
      </w:r>
      <w:r>
        <w:t xml:space="preserve"> include</w:t>
      </w:r>
      <w:r w:rsidR="00D16E22">
        <w:t>s</w:t>
      </w:r>
      <w:r>
        <w:t xml:space="preserve"> </w:t>
      </w:r>
      <w:r w:rsidR="008710E6">
        <w:t xml:space="preserve">drugs, </w:t>
      </w:r>
      <w:r>
        <w:t>conditions, observations, measurements</w:t>
      </w:r>
      <w:r w:rsidR="008710E6">
        <w:t xml:space="preserve"> by the GP</w:t>
      </w:r>
      <w:r>
        <w:t xml:space="preserve">. </w:t>
      </w:r>
      <w:r w:rsidR="008710E6">
        <w:t>Additionally, the GP could send referrals for exams or specialists to the patients which is recorded in the data. Here is a look at distribution of the database:</w:t>
      </w:r>
    </w:p>
    <w:p w:rsidR="008710E6" w:rsidRDefault="008710E6" w:rsidP="005206BA">
      <w:pPr>
        <w:pStyle w:val="ListParagraph"/>
        <w:ind w:left="0"/>
      </w:pPr>
      <w:r>
        <w:rPr>
          <w:noProof/>
          <w:lang w:eastAsia="en-US"/>
        </w:rPr>
        <w:drawing>
          <wp:inline distT="0" distB="0" distL="0" distR="0" wp14:anchorId="0D972427">
            <wp:extent cx="5466015" cy="297369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0292" cy="29923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06BA" w:rsidRDefault="00EE481B" w:rsidP="008710E6">
      <w:r>
        <w:t xml:space="preserve">Below is a look at the data tables within France DA: </w:t>
      </w:r>
    </w:p>
    <w:p w:rsidR="00EE481B" w:rsidRPr="005206BA" w:rsidRDefault="00EE481B" w:rsidP="008710E6">
      <w:r>
        <w:rPr>
          <w:noProof/>
        </w:rPr>
        <w:drawing>
          <wp:inline distT="0" distB="0" distL="0" distR="0" wp14:anchorId="0CC49BF6">
            <wp:extent cx="5357495" cy="2016178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4712" cy="202265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5206BA" w:rsidRDefault="005206BA" w:rsidP="005206BA">
      <w:pPr>
        <w:pStyle w:val="Heading2"/>
      </w:pPr>
      <w:r>
        <w:t>Person</w:t>
      </w:r>
    </w:p>
    <w:p w:rsidR="005206BA" w:rsidRDefault="0033386A" w:rsidP="005206BA">
      <w:r>
        <w:t>FRDA</w:t>
      </w:r>
      <w:r w:rsidR="005206BA">
        <w:t xml:space="preserve"> covers all age groups</w:t>
      </w:r>
      <w:r>
        <w:t>.</w:t>
      </w:r>
      <w:r w:rsidR="005206BA">
        <w:t xml:space="preserve"> </w:t>
      </w:r>
      <w:r>
        <w:t xml:space="preserve">Distribution is given above. </w:t>
      </w:r>
      <w:r w:rsidR="005206BA">
        <w:t>In general,</w:t>
      </w:r>
      <w:r>
        <w:t xml:space="preserve"> the year of birth is exact and the month and day are both programmed to be the 1</w:t>
      </w:r>
      <w:r w:rsidRPr="0033386A">
        <w:rPr>
          <w:vertAlign w:val="superscript"/>
        </w:rPr>
        <w:t>st</w:t>
      </w:r>
      <w:r>
        <w:t xml:space="preserve">. </w:t>
      </w:r>
    </w:p>
    <w:p w:rsidR="009011E2" w:rsidRDefault="009011E2" w:rsidP="009011E2">
      <w:pPr>
        <w:pStyle w:val="Heading2"/>
      </w:pPr>
      <w:r>
        <w:lastRenderedPageBreak/>
        <w:t>Visit</w:t>
      </w:r>
    </w:p>
    <w:p w:rsidR="009011E2" w:rsidRPr="00B62C5D" w:rsidRDefault="0033386A" w:rsidP="009011E2">
      <w:r>
        <w:t xml:space="preserve">All visits are office visits. Visits are being calculated by the event dates from CDM tables. </w:t>
      </w:r>
    </w:p>
    <w:p w:rsidR="005206BA" w:rsidRDefault="008928B1" w:rsidP="005206BA">
      <w:pPr>
        <w:pStyle w:val="Heading2"/>
      </w:pPr>
      <w:r>
        <w:t>Observation Period</w:t>
      </w:r>
    </w:p>
    <w:p w:rsidR="005206BA" w:rsidRDefault="005206BA" w:rsidP="005206BA">
      <w:r>
        <w:t xml:space="preserve">The observation period is defined as the </w:t>
      </w:r>
      <w:r w:rsidR="0033386A">
        <w:t xml:space="preserve">first and last encounter a patient has in the CDM. For this, it is being calculated from event tables in CDM. </w:t>
      </w:r>
    </w:p>
    <w:p w:rsidR="009011E2" w:rsidRDefault="009011E2" w:rsidP="005206BA">
      <w:pPr>
        <w:pStyle w:val="Heading2"/>
      </w:pPr>
      <w:r>
        <w:t>Location</w:t>
      </w:r>
    </w:p>
    <w:p w:rsidR="009011E2" w:rsidRPr="009011E2" w:rsidRDefault="0033386A" w:rsidP="009011E2">
      <w:r>
        <w:t xml:space="preserve">The provinces are being recorded here. These are the locations of the GPs. </w:t>
      </w:r>
    </w:p>
    <w:p w:rsidR="005206BA" w:rsidRDefault="008928B1" w:rsidP="005206BA">
      <w:pPr>
        <w:pStyle w:val="Heading2"/>
      </w:pPr>
      <w:r>
        <w:t>Care Site</w:t>
      </w:r>
    </w:p>
    <w:p w:rsidR="005206BA" w:rsidRDefault="0033386A" w:rsidP="005206BA">
      <w:r>
        <w:t xml:space="preserve">There are only office care sites, however other care sites such as “telephone” and “email” are recorded in this table. </w:t>
      </w:r>
    </w:p>
    <w:p w:rsidR="009011E2" w:rsidRDefault="009011E2" w:rsidP="009011E2">
      <w:pPr>
        <w:pStyle w:val="Heading2"/>
      </w:pPr>
      <w:r>
        <w:t>Condition</w:t>
      </w:r>
    </w:p>
    <w:p w:rsidR="009011E2" w:rsidRDefault="009011E2" w:rsidP="009011E2">
      <w:r>
        <w:t>The condition occurrence is populated by</w:t>
      </w:r>
      <w:r w:rsidR="0033386A">
        <w:t xml:space="preserve"> recorded CIM10 codes which are ICD10 codes for diagnoses. Some of these codes could be procedure or observation domains and have been moved accordingly. </w:t>
      </w:r>
      <w:r w:rsidRPr="008E6423">
        <w:rPr>
          <w:rFonts w:cs="Arial"/>
          <w:sz w:val="24"/>
        </w:rPr>
        <w:t xml:space="preserve"> </w:t>
      </w:r>
    </w:p>
    <w:p w:rsidR="005206BA" w:rsidRDefault="005206BA" w:rsidP="005206BA">
      <w:pPr>
        <w:pStyle w:val="Heading2"/>
      </w:pPr>
      <w:r>
        <w:t>Death</w:t>
      </w:r>
    </w:p>
    <w:p w:rsidR="005206BA" w:rsidRDefault="0033386A" w:rsidP="005206BA">
      <w:r>
        <w:t xml:space="preserve">There is no death in FRDA data. </w:t>
      </w:r>
    </w:p>
    <w:p w:rsidR="005206BA" w:rsidRDefault="008928B1" w:rsidP="005206BA">
      <w:pPr>
        <w:pStyle w:val="Heading2"/>
      </w:pPr>
      <w:r>
        <w:t>Procedure</w:t>
      </w:r>
    </w:p>
    <w:p w:rsidR="005206BA" w:rsidRDefault="0033386A" w:rsidP="005206BA">
      <w:r>
        <w:t xml:space="preserve">Procedures are being recorded from CIM10 codes or ATC codes that have a domain of procedure. There is no procedural data in FRDA as such. </w:t>
      </w:r>
    </w:p>
    <w:p w:rsidR="005206BA" w:rsidRDefault="005206BA" w:rsidP="005206BA">
      <w:pPr>
        <w:pStyle w:val="Heading2"/>
      </w:pPr>
      <w:r>
        <w:t>Measurement</w:t>
      </w:r>
    </w:p>
    <w:p w:rsidR="005206BA" w:rsidRDefault="0033386A" w:rsidP="005206BA">
      <w:r>
        <w:t xml:space="preserve">Contains various measurement and vitals taken by the GP office. Some of this could be patient recorded, but there is little to no way to find this information out. </w:t>
      </w:r>
    </w:p>
    <w:p w:rsidR="005206BA" w:rsidRDefault="005206BA" w:rsidP="005206BA">
      <w:pPr>
        <w:pStyle w:val="Heading2"/>
      </w:pPr>
      <w:r>
        <w:t>Observation</w:t>
      </w:r>
    </w:p>
    <w:p w:rsidR="005206BA" w:rsidRPr="00B9455B" w:rsidRDefault="005206BA" w:rsidP="005206BA">
      <w:r>
        <w:t>The observations contain any records with a domain of observations or records that are unmapped.</w:t>
      </w:r>
    </w:p>
    <w:p w:rsidR="009011E2" w:rsidRDefault="009011E2" w:rsidP="009011E2">
      <w:pPr>
        <w:pStyle w:val="Heading2"/>
      </w:pPr>
      <w:r>
        <w:t>Provider</w:t>
      </w:r>
    </w:p>
    <w:p w:rsidR="009011E2" w:rsidRDefault="0033386A" w:rsidP="009011E2">
      <w:r>
        <w:t xml:space="preserve">All providers are GPs. There are no provider specialties. </w:t>
      </w:r>
    </w:p>
    <w:p w:rsidR="009011E2" w:rsidRDefault="009011E2" w:rsidP="009011E2">
      <w:pPr>
        <w:pStyle w:val="Heading2"/>
      </w:pPr>
      <w:r>
        <w:t>Drug</w:t>
      </w:r>
    </w:p>
    <w:p w:rsidR="009011E2" w:rsidRDefault="009011E2" w:rsidP="009011E2">
      <w:r>
        <w:t xml:space="preserve">Drug exposures include a mix of prescriptions and </w:t>
      </w:r>
      <w:r w:rsidR="0033386A">
        <w:t xml:space="preserve">vaccination </w:t>
      </w:r>
      <w:r>
        <w:t xml:space="preserve">records.  </w:t>
      </w:r>
      <w:r w:rsidR="0033386A">
        <w:t xml:space="preserve">All vaccination records are given type concept of “physician administered”. </w:t>
      </w:r>
    </w:p>
    <w:p w:rsidR="00FF0DDD" w:rsidRDefault="00FF0DDD" w:rsidP="00FF0DDD">
      <w:pPr>
        <w:pStyle w:val="Heading2"/>
      </w:pPr>
      <w:r>
        <w:t>Cohort</w:t>
      </w:r>
    </w:p>
    <w:p w:rsidR="00FF0DDD" w:rsidRDefault="00FF0DDD" w:rsidP="009011E2">
      <w:r>
        <w:t>-</w:t>
      </w:r>
    </w:p>
    <w:p w:rsidR="005206BA" w:rsidRDefault="005206B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206BA" w:rsidRDefault="00FA4FFA" w:rsidP="00ED54DF">
      <w:pPr>
        <w:pStyle w:val="Heading1"/>
      </w:pPr>
      <w:r>
        <w:lastRenderedPageBreak/>
        <w:t>German DA</w:t>
      </w:r>
    </w:p>
    <w:p w:rsidR="00ED54DF" w:rsidRDefault="00ED54DF" w:rsidP="00ED54DF">
      <w:pPr>
        <w:pStyle w:val="Heading2"/>
      </w:pPr>
      <w:r>
        <w:t>Database as a whole</w:t>
      </w:r>
    </w:p>
    <w:p w:rsidR="00D16E22" w:rsidRDefault="00D16E22" w:rsidP="00ED54DF">
      <w:r>
        <w:t xml:space="preserve">The </w:t>
      </w:r>
      <w:r>
        <w:t>GEDA</w:t>
      </w:r>
      <w:r>
        <w:t xml:space="preserve"> database consists of data collected from </w:t>
      </w:r>
      <w:r>
        <w:t>various German specialties office and dated back to 1992</w:t>
      </w:r>
      <w:r>
        <w:t xml:space="preserve">.  </w:t>
      </w:r>
      <w:r>
        <w:t xml:space="preserve">In Germany, patients have direct access to specialties, and free physician choice. However, </w:t>
      </w:r>
      <w:proofErr w:type="spellStart"/>
      <w:r>
        <w:t>tere</w:t>
      </w:r>
      <w:proofErr w:type="spellEnd"/>
      <w:r>
        <w:t xml:space="preserve"> are privacy issues around the data. Only the date of birth can be shown for the patient and they are de-identified by a unique patient id number. The location of the physician cannot be given in the data, and thus is limited to East or West Germany. Below is a distribution of specialties in Germany: </w:t>
      </w:r>
    </w:p>
    <w:p w:rsidR="00D16E22" w:rsidRDefault="00D16E22" w:rsidP="00ED54DF">
      <w:r>
        <w:rPr>
          <w:noProof/>
        </w:rPr>
        <w:drawing>
          <wp:inline distT="0" distB="0" distL="0" distR="0" wp14:anchorId="44186CA1">
            <wp:extent cx="5662890" cy="340169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3727" cy="34082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ED54DF" w:rsidRDefault="00D16E22" w:rsidP="00ED54DF">
      <w:r>
        <w:t xml:space="preserve"> </w:t>
      </w:r>
      <w:r>
        <w:t xml:space="preserve">Within the data, </w:t>
      </w:r>
      <w:r w:rsidR="003D5BDA">
        <w:t>physicians</w:t>
      </w:r>
      <w:r>
        <w:t xml:space="preserve"> have recorded a patient’s condition, prescription history, measurements, any referrals or notes, procedures, </w:t>
      </w:r>
      <w:r w:rsidR="003D5BDA">
        <w:t xml:space="preserve">and observations. Additionally, there is a field called “diagnosis certainty” which informs how certain the physician is about a certain condition. This field is used throughout the analysis of German DA OMOP. </w:t>
      </w:r>
    </w:p>
    <w:p w:rsidR="003D5BDA" w:rsidRDefault="003D5BDA" w:rsidP="00ED54DF"/>
    <w:p w:rsidR="003D5BDA" w:rsidRDefault="003D5BDA" w:rsidP="00ED54DF">
      <w:r>
        <w:t>Below is a look at th</w:t>
      </w:r>
      <w:r>
        <w:t>e data tables within German DA.</w:t>
      </w:r>
    </w:p>
    <w:tbl>
      <w:tblPr>
        <w:tblpPr w:leftFromText="180" w:rightFromText="180" w:vertAnchor="text" w:horzAnchor="margin" w:tblpXSpec="center" w:tblpY="428"/>
        <w:tblW w:w="908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320"/>
        <w:gridCol w:w="1890"/>
        <w:gridCol w:w="3870"/>
      </w:tblGrid>
      <w:tr w:rsidR="00D16E22" w:rsidRPr="00D16E22" w:rsidTr="00D16E22">
        <w:trPr>
          <w:trHeight w:val="743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5B4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E22" w:rsidRPr="00D16E22" w:rsidRDefault="00D16E22" w:rsidP="00D16E22">
            <w:r w:rsidRPr="00D16E22">
              <w:rPr>
                <w:b/>
                <w:bCs/>
              </w:rPr>
              <w:t>Source Data Tables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5B4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E22" w:rsidRPr="00D16E22" w:rsidRDefault="00D16E22" w:rsidP="00D16E22">
            <w:r w:rsidRPr="00D16E22">
              <w:rPr>
                <w:b/>
                <w:bCs/>
              </w:rPr>
              <w:t>No of Variables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25B4FF"/>
            <w:tcMar>
              <w:top w:w="15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16E22" w:rsidRPr="00D16E22" w:rsidRDefault="00D16E22" w:rsidP="00D16E22">
            <w:r w:rsidRPr="00D16E22">
              <w:rPr>
                <w:b/>
                <w:bCs/>
              </w:rPr>
              <w:t>Description</w:t>
            </w:r>
          </w:p>
        </w:tc>
      </w:tr>
      <w:tr w:rsidR="00D16E22" w:rsidRPr="00D16E22" w:rsidTr="00D16E22">
        <w:trPr>
          <w:trHeight w:val="671"/>
        </w:trPr>
        <w:tc>
          <w:tcPr>
            <w:tcW w:w="33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16E22" w:rsidRPr="00D16E22" w:rsidRDefault="00D16E22" w:rsidP="00D16E22">
            <w:r w:rsidRPr="00D16E22">
              <w:rPr>
                <w:b/>
                <w:bCs/>
              </w:rPr>
              <w:t xml:space="preserve">DAFR, </w:t>
            </w:r>
            <w:proofErr w:type="spellStart"/>
            <w:r w:rsidRPr="00D16E22">
              <w:rPr>
                <w:b/>
                <w:bCs/>
              </w:rPr>
              <w:t>Back_Office_data</w:t>
            </w:r>
            <w:proofErr w:type="spellEnd"/>
            <w:r w:rsidRPr="00D16E22">
              <w:rPr>
                <w:b/>
                <w:bCs/>
              </w:rPr>
              <w:t xml:space="preserve"> </w:t>
            </w:r>
          </w:p>
        </w:tc>
        <w:tc>
          <w:tcPr>
            <w:tcW w:w="189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16E22" w:rsidRPr="00D16E22" w:rsidRDefault="00D16E22" w:rsidP="00D16E22">
            <w:r w:rsidRPr="00D16E22">
              <w:t>27</w:t>
            </w:r>
          </w:p>
        </w:tc>
        <w:tc>
          <w:tcPr>
            <w:tcW w:w="387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16E22" w:rsidRPr="00D16E22" w:rsidRDefault="00D16E22" w:rsidP="00D16E22">
            <w:r w:rsidRPr="00D16E22">
              <w:t xml:space="preserve">All data is stored in this one table </w:t>
            </w:r>
          </w:p>
        </w:tc>
      </w:tr>
      <w:tr w:rsidR="00D16E22" w:rsidRPr="00D16E22" w:rsidTr="00D16E22">
        <w:trPr>
          <w:trHeight w:val="1162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16E22" w:rsidRPr="00D16E22" w:rsidRDefault="00D16E22" w:rsidP="00D16E22">
            <w:r w:rsidRPr="00D16E22">
              <w:rPr>
                <w:b/>
                <w:bCs/>
              </w:rPr>
              <w:lastRenderedPageBreak/>
              <w:t xml:space="preserve">NDF Reference file 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16E22" w:rsidRPr="00D16E22" w:rsidRDefault="00D16E22" w:rsidP="00D16E22">
            <w:r w:rsidRPr="00D16E22">
              <w:t>37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16E22" w:rsidRPr="00D16E22" w:rsidRDefault="00D16E22" w:rsidP="00D16E22">
            <w:r w:rsidRPr="00D16E22">
              <w:t xml:space="preserve">Reference file to drugs in </w:t>
            </w:r>
            <w:proofErr w:type="spellStart"/>
            <w:r w:rsidRPr="00D16E22">
              <w:t>back_office_data</w:t>
            </w:r>
            <w:proofErr w:type="spellEnd"/>
            <w:r w:rsidRPr="00D16E22">
              <w:t xml:space="preserve">.  </w:t>
            </w:r>
          </w:p>
        </w:tc>
      </w:tr>
      <w:tr w:rsidR="00D16E22" w:rsidRPr="00D16E22" w:rsidTr="00D16E22">
        <w:trPr>
          <w:trHeight w:val="1162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16E22" w:rsidRPr="00D16E22" w:rsidRDefault="00D16E22" w:rsidP="00D16E22">
            <w:r w:rsidRPr="00D16E22">
              <w:rPr>
                <w:b/>
                <w:bCs/>
              </w:rPr>
              <w:t xml:space="preserve">Reference file for tests 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16E22" w:rsidRPr="00D16E22" w:rsidRDefault="00D16E22" w:rsidP="00D16E22">
            <w:r w:rsidRPr="00D16E22">
              <w:t>5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E5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16E22" w:rsidRPr="00D16E22" w:rsidRDefault="00D16E22" w:rsidP="00D16E22">
            <w:r w:rsidRPr="00D16E22">
              <w:t xml:space="preserve">Results or tests for patients in </w:t>
            </w:r>
            <w:proofErr w:type="spellStart"/>
            <w:r w:rsidRPr="00D16E22">
              <w:t>back_office_data</w:t>
            </w:r>
            <w:proofErr w:type="spellEnd"/>
            <w:r w:rsidRPr="00D16E22">
              <w:t xml:space="preserve"> </w:t>
            </w:r>
          </w:p>
        </w:tc>
      </w:tr>
      <w:tr w:rsidR="00D16E22" w:rsidRPr="00D16E22" w:rsidTr="00D16E22">
        <w:trPr>
          <w:trHeight w:val="555"/>
        </w:trPr>
        <w:tc>
          <w:tcPr>
            <w:tcW w:w="33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16E22" w:rsidRPr="00D16E22" w:rsidRDefault="00D16E22" w:rsidP="00D16E22">
            <w:r w:rsidRPr="00D16E22">
              <w:rPr>
                <w:b/>
                <w:bCs/>
              </w:rPr>
              <w:t xml:space="preserve">Doctor Attributes  </w:t>
            </w:r>
          </w:p>
        </w:tc>
        <w:tc>
          <w:tcPr>
            <w:tcW w:w="189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F"/>
            <w:tcMar>
              <w:top w:w="15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16E22" w:rsidRPr="00D16E22" w:rsidRDefault="00D16E22" w:rsidP="00D16E22">
            <w:r w:rsidRPr="00D16E22">
              <w:t>6</w:t>
            </w:r>
          </w:p>
        </w:tc>
        <w:tc>
          <w:tcPr>
            <w:tcW w:w="38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F2FF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:rsidR="00D16E22" w:rsidRPr="00D16E22" w:rsidRDefault="00D16E22" w:rsidP="00D16E22">
            <w:r w:rsidRPr="00D16E22">
              <w:t xml:space="preserve">Provider level specifics  </w:t>
            </w:r>
          </w:p>
        </w:tc>
      </w:tr>
    </w:tbl>
    <w:p w:rsidR="00D16E22" w:rsidRDefault="00D16E22" w:rsidP="00ED54DF"/>
    <w:p w:rsidR="003D5BDA" w:rsidRDefault="003D5BDA" w:rsidP="003D5BDA">
      <w:pPr>
        <w:pStyle w:val="Heading2"/>
      </w:pPr>
      <w:r>
        <w:t>Person</w:t>
      </w:r>
    </w:p>
    <w:p w:rsidR="003D5BDA" w:rsidRDefault="003D5BDA" w:rsidP="003D5BDA">
      <w:r>
        <w:t>GED</w:t>
      </w:r>
      <w:r>
        <w:t xml:space="preserve">A covers all age groups. In general, the year of birth is </w:t>
      </w:r>
      <w:r>
        <w:t xml:space="preserve">only given for patient’s privacy. </w:t>
      </w:r>
    </w:p>
    <w:p w:rsidR="003D5BDA" w:rsidRDefault="003D5BDA" w:rsidP="003D5BDA">
      <w:pPr>
        <w:pStyle w:val="Heading2"/>
      </w:pPr>
      <w:r>
        <w:t>Visit</w:t>
      </w:r>
    </w:p>
    <w:p w:rsidR="003D5BDA" w:rsidRPr="00B62C5D" w:rsidRDefault="003D5BDA" w:rsidP="003D5BDA">
      <w:r>
        <w:t xml:space="preserve">All visits are office visits. Visits are being calculated by the event dates from CDM tables. </w:t>
      </w:r>
    </w:p>
    <w:p w:rsidR="003D5BDA" w:rsidRDefault="003D5BDA" w:rsidP="003D5BDA">
      <w:pPr>
        <w:pStyle w:val="Heading2"/>
      </w:pPr>
      <w:r>
        <w:t>Observation Period</w:t>
      </w:r>
    </w:p>
    <w:p w:rsidR="003D5BDA" w:rsidRDefault="003D5BDA" w:rsidP="003D5BDA">
      <w:r>
        <w:t xml:space="preserve">The observation period is defined as the first and last encounter a patient has in the CDM. For this, it is being calculated from event tables in CDM. </w:t>
      </w:r>
    </w:p>
    <w:p w:rsidR="003D5BDA" w:rsidRDefault="003D5BDA" w:rsidP="003D5BDA">
      <w:pPr>
        <w:pStyle w:val="Heading2"/>
      </w:pPr>
      <w:r>
        <w:t>Location</w:t>
      </w:r>
    </w:p>
    <w:p w:rsidR="003D5BDA" w:rsidRPr="009011E2" w:rsidRDefault="003D5BDA" w:rsidP="003D5BDA">
      <w:r>
        <w:t xml:space="preserve">Due to privacy reasons, only East and West Germany are given as locations. </w:t>
      </w:r>
    </w:p>
    <w:p w:rsidR="003D5BDA" w:rsidRDefault="003D5BDA" w:rsidP="003D5BDA">
      <w:pPr>
        <w:pStyle w:val="Heading2"/>
      </w:pPr>
      <w:r>
        <w:t>Care Site</w:t>
      </w:r>
    </w:p>
    <w:p w:rsidR="003D5BDA" w:rsidRDefault="003D5BDA" w:rsidP="003D5BDA">
      <w:r>
        <w:t>T</w:t>
      </w:r>
      <w:r>
        <w:t xml:space="preserve">here are only office care sites in the data. </w:t>
      </w:r>
      <w:r>
        <w:t xml:space="preserve"> </w:t>
      </w:r>
    </w:p>
    <w:p w:rsidR="003D5BDA" w:rsidRDefault="003D5BDA" w:rsidP="003D5BDA">
      <w:pPr>
        <w:pStyle w:val="Heading2"/>
      </w:pPr>
      <w:r>
        <w:t>Condition</w:t>
      </w:r>
    </w:p>
    <w:p w:rsidR="003D5BDA" w:rsidRDefault="003D5BDA" w:rsidP="003D5BDA">
      <w:r>
        <w:t>The condition occurrence is populated by</w:t>
      </w:r>
      <w:r>
        <w:t xml:space="preserve"> recording the ICD10 codes in the data. Also, when </w:t>
      </w:r>
      <w:proofErr w:type="spellStart"/>
      <w:r>
        <w:t>diagnosis_certainty</w:t>
      </w:r>
      <w:proofErr w:type="spellEnd"/>
      <w:r>
        <w:t xml:space="preserve"> field = Confirmed, then only is a record populated in condition occurrence. This field explains how confident the physician is that a patient has a diagnosis, and only confirmed diagnoses should be counted as one’s the patient actually has. </w:t>
      </w:r>
      <w:r w:rsidRPr="008E6423">
        <w:rPr>
          <w:rFonts w:cs="Arial"/>
          <w:sz w:val="24"/>
        </w:rPr>
        <w:t xml:space="preserve"> </w:t>
      </w:r>
    </w:p>
    <w:p w:rsidR="003D5BDA" w:rsidRDefault="003D5BDA" w:rsidP="003D5BDA">
      <w:pPr>
        <w:pStyle w:val="Heading2"/>
      </w:pPr>
      <w:r>
        <w:t>Death</w:t>
      </w:r>
    </w:p>
    <w:p w:rsidR="003D5BDA" w:rsidRDefault="003D5BDA" w:rsidP="003D5BDA">
      <w:r>
        <w:t xml:space="preserve">Death information is being populated by ICD10 death codes indicated by business. These death codes have to have a diagnosis certainty of confirmed. Also, if a patient has any activity after death date, the patient is considered alive and their events are recorded in respective CDM tables. </w:t>
      </w:r>
    </w:p>
    <w:p w:rsidR="003D5BDA" w:rsidRDefault="003D5BDA" w:rsidP="003D5BDA">
      <w:pPr>
        <w:pStyle w:val="Heading2"/>
      </w:pPr>
      <w:r>
        <w:t>Procedure</w:t>
      </w:r>
    </w:p>
    <w:p w:rsidR="003D5BDA" w:rsidRDefault="003D5BDA" w:rsidP="003D5BDA">
      <w:r>
        <w:t xml:space="preserve">Procedures are being recorded from </w:t>
      </w:r>
      <w:r>
        <w:t xml:space="preserve">ICD10 codes and also some from drug codes. All of these codes have a domain = procedure. </w:t>
      </w:r>
      <w:r>
        <w:t xml:space="preserve"> </w:t>
      </w:r>
    </w:p>
    <w:p w:rsidR="003D5BDA" w:rsidRDefault="003D5BDA" w:rsidP="003D5BDA">
      <w:pPr>
        <w:pStyle w:val="Heading2"/>
      </w:pPr>
      <w:r>
        <w:lastRenderedPageBreak/>
        <w:t>Measurement</w:t>
      </w:r>
    </w:p>
    <w:p w:rsidR="003D5BDA" w:rsidRDefault="003D5BDA" w:rsidP="003D5BDA">
      <w:r>
        <w:t xml:space="preserve">Contains various measurement and vitals taken by the </w:t>
      </w:r>
      <w:r>
        <w:t xml:space="preserve">physician. This can be patient reported as well, but there is no way to find this information out. </w:t>
      </w:r>
    </w:p>
    <w:p w:rsidR="003D5BDA" w:rsidRDefault="003D5BDA" w:rsidP="003D5BDA">
      <w:pPr>
        <w:pStyle w:val="Heading2"/>
      </w:pPr>
      <w:r>
        <w:t>Observation</w:t>
      </w:r>
    </w:p>
    <w:p w:rsidR="003D5BDA" w:rsidRPr="00B9455B" w:rsidRDefault="003D5BDA" w:rsidP="003D5BDA">
      <w:r>
        <w:t>The observations contain any records with a domain of observations or records that are unmapped.</w:t>
      </w:r>
    </w:p>
    <w:p w:rsidR="003D5BDA" w:rsidRDefault="003D5BDA" w:rsidP="003D5BDA">
      <w:pPr>
        <w:pStyle w:val="Heading2"/>
      </w:pPr>
      <w:r>
        <w:t>Provider</w:t>
      </w:r>
    </w:p>
    <w:p w:rsidR="003D5BDA" w:rsidRDefault="003D5BDA" w:rsidP="003D5BDA">
      <w:r>
        <w:t xml:space="preserve">There are provider specialties within the data, as well as GPs. In Germany, a provider can also focus on a specialty, such cases, the provider is mapped to respective specialty. </w:t>
      </w:r>
    </w:p>
    <w:p w:rsidR="003D5BDA" w:rsidRDefault="003D5BDA" w:rsidP="003D5BDA">
      <w:pPr>
        <w:pStyle w:val="Heading2"/>
      </w:pPr>
      <w:r>
        <w:t>Drug</w:t>
      </w:r>
    </w:p>
    <w:p w:rsidR="003D5BDA" w:rsidRDefault="003D5BDA" w:rsidP="003D5BDA">
      <w:r>
        <w:t xml:space="preserve">Drug exposures include a mix of prescriptions and vaccination records.  All vaccination records are given type concept of “physician administered”. </w:t>
      </w:r>
    </w:p>
    <w:p w:rsidR="003D5BDA" w:rsidRDefault="003D5BDA" w:rsidP="003D5BDA">
      <w:pPr>
        <w:pStyle w:val="Heading2"/>
      </w:pPr>
      <w:r>
        <w:t>Cohort</w:t>
      </w:r>
    </w:p>
    <w:p w:rsidR="003D5BDA" w:rsidRDefault="003D5BDA" w:rsidP="003D5BDA">
      <w:r>
        <w:t>-</w:t>
      </w:r>
    </w:p>
    <w:p w:rsidR="00ED54DF" w:rsidRPr="003D5BDA" w:rsidRDefault="00ED54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5206BA" w:rsidRDefault="00FA4FFA" w:rsidP="005206BA">
      <w:pPr>
        <w:pStyle w:val="Heading1"/>
      </w:pPr>
      <w:r>
        <w:t>Australia LPD</w:t>
      </w:r>
    </w:p>
    <w:p w:rsidR="00791C69" w:rsidRDefault="00791C69" w:rsidP="00791C69">
      <w:pPr>
        <w:pStyle w:val="Heading2"/>
      </w:pPr>
      <w:r>
        <w:t>Database as a whole</w:t>
      </w:r>
    </w:p>
    <w:p w:rsidR="00ED5A45" w:rsidRPr="00672146" w:rsidRDefault="00ED5A45" w:rsidP="00ED5A45">
      <w:pPr>
        <w:rPr>
          <w:rFonts w:ascii="Times New Roman" w:eastAsia="Georgia" w:hAnsi="Times New Roman" w:cs="Times New Roman"/>
          <w:sz w:val="20"/>
          <w:szCs w:val="20"/>
        </w:rPr>
      </w:pPr>
      <w:r>
        <w:t xml:space="preserve">The </w:t>
      </w:r>
      <w:r>
        <w:t>AU LPD</w:t>
      </w:r>
      <w:r>
        <w:t xml:space="preserve"> database consists of data collected from GP offices for all ages.  There are roughly </w:t>
      </w:r>
      <w:r w:rsidR="00F27972">
        <w:t>900</w:t>
      </w:r>
      <w:r>
        <w:t xml:space="preserve"> GPs part of the database. </w:t>
      </w:r>
      <w:r w:rsidR="00F27972">
        <w:t>There are about 1.6</w:t>
      </w:r>
      <w:r>
        <w:t xml:space="preserve"> million total patients in the database</w:t>
      </w:r>
      <w:r w:rsidR="00F27972">
        <w:t xml:space="preserve">. </w:t>
      </w:r>
      <w:r>
        <w:t xml:space="preserve"> Data includes drugs, conditions, observations, measurements by the GP. </w:t>
      </w:r>
      <w:r w:rsidR="00F27972">
        <w:t xml:space="preserve">Below is a look the patient and practice counts for all three datasets: </w:t>
      </w: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90"/>
        <w:gridCol w:w="1734"/>
        <w:gridCol w:w="1930"/>
        <w:gridCol w:w="1930"/>
      </w:tblGrid>
      <w:tr w:rsidR="00ED5A45" w:rsidRPr="00672146" w:rsidTr="007D2402">
        <w:trPr>
          <w:trHeight w:hRule="exact" w:val="441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D5A45" w:rsidRPr="00672146" w:rsidRDefault="00ED5A45" w:rsidP="007D240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734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D5A45" w:rsidRPr="00672146" w:rsidRDefault="00ED5A45" w:rsidP="007D2402">
            <w:pPr>
              <w:pStyle w:val="TableParagraph"/>
              <w:spacing w:before="136"/>
              <w:ind w:left="429"/>
              <w:rPr>
                <w:rFonts w:ascii="Times New Roman" w:eastAsia="Arial" w:hAnsi="Times New Roman" w:cs="Times New Roman"/>
                <w:sz w:val="19"/>
                <w:szCs w:val="19"/>
              </w:rPr>
            </w:pPr>
            <w:r w:rsidRPr="00672146">
              <w:rPr>
                <w:rFonts w:ascii="Times New Roman" w:hAnsi="Times New Roman" w:cs="Times New Roman"/>
                <w:b/>
                <w:color w:val="FFFFFF"/>
                <w:sz w:val="19"/>
              </w:rPr>
              <w:t>GERMANY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D5A45" w:rsidRPr="00672146" w:rsidRDefault="00ED5A45" w:rsidP="007D2402">
            <w:pPr>
              <w:pStyle w:val="TableParagraph"/>
              <w:spacing w:before="136"/>
              <w:ind w:left="633"/>
              <w:rPr>
                <w:rFonts w:ascii="Times New Roman" w:eastAsia="Arial" w:hAnsi="Times New Roman" w:cs="Times New Roman"/>
                <w:sz w:val="19"/>
                <w:szCs w:val="19"/>
              </w:rPr>
            </w:pPr>
            <w:r w:rsidRPr="00672146">
              <w:rPr>
                <w:rFonts w:ascii="Times New Roman" w:hAnsi="Times New Roman" w:cs="Times New Roman"/>
                <w:b/>
                <w:color w:val="FFFFFF"/>
                <w:sz w:val="19"/>
              </w:rPr>
              <w:t>FRANCE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:rsidR="00ED5A45" w:rsidRPr="00672146" w:rsidRDefault="00ED5A45" w:rsidP="007D2402">
            <w:pPr>
              <w:pStyle w:val="TableParagraph"/>
              <w:spacing w:before="136"/>
              <w:ind w:left="8"/>
              <w:jc w:val="center"/>
              <w:rPr>
                <w:rFonts w:ascii="Times New Roman" w:hAnsi="Times New Roman" w:cs="Times New Roman"/>
                <w:b/>
                <w:color w:val="FFFFFF"/>
                <w:sz w:val="19"/>
              </w:rPr>
            </w:pPr>
            <w:r w:rsidRPr="00672146">
              <w:rPr>
                <w:rFonts w:ascii="Times New Roman" w:hAnsi="Times New Roman" w:cs="Times New Roman"/>
                <w:b/>
                <w:color w:val="FFFFFF"/>
                <w:sz w:val="19"/>
              </w:rPr>
              <w:t>AUSTRALIA</w:t>
            </w:r>
          </w:p>
        </w:tc>
      </w:tr>
      <w:tr w:rsidR="00ED5A45" w:rsidRPr="00672146" w:rsidTr="007D2402">
        <w:trPr>
          <w:trHeight w:hRule="exact" w:val="457"/>
        </w:trPr>
        <w:tc>
          <w:tcPr>
            <w:tcW w:w="1890" w:type="dxa"/>
            <w:tcBorders>
              <w:top w:val="nil"/>
              <w:left w:val="single" w:sz="4" w:space="0" w:color="303030"/>
              <w:bottom w:val="single" w:sz="4" w:space="0" w:color="303030"/>
              <w:right w:val="single" w:sz="4" w:space="0" w:color="303030"/>
            </w:tcBorders>
          </w:tcPr>
          <w:p w:rsidR="00ED5A45" w:rsidRPr="00672146" w:rsidRDefault="00ED5A45" w:rsidP="007D2402">
            <w:pPr>
              <w:pStyle w:val="TableParagraph"/>
              <w:spacing w:before="141"/>
              <w:ind w:left="11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72146">
              <w:rPr>
                <w:rFonts w:ascii="Times New Roman" w:hAnsi="Times New Roman" w:cs="Times New Roman"/>
                <w:b/>
                <w:sz w:val="20"/>
              </w:rPr>
              <w:t>Patients</w:t>
            </w:r>
          </w:p>
        </w:tc>
        <w:tc>
          <w:tcPr>
            <w:tcW w:w="1734" w:type="dxa"/>
            <w:tcBorders>
              <w:top w:val="nil"/>
              <w:left w:val="single" w:sz="4" w:space="0" w:color="303030"/>
              <w:bottom w:val="single" w:sz="4" w:space="0" w:color="303030"/>
              <w:right w:val="single" w:sz="4" w:space="0" w:color="303030"/>
            </w:tcBorders>
          </w:tcPr>
          <w:p w:rsidR="00ED5A45" w:rsidRPr="00672146" w:rsidRDefault="00ED5A45" w:rsidP="007D2402">
            <w:pPr>
              <w:pStyle w:val="TableParagraph"/>
              <w:spacing w:before="143"/>
              <w:ind w:left="604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72146">
              <w:rPr>
                <w:rFonts w:ascii="Times New Roman" w:hAnsi="Times New Roman" w:cs="Times New Roman"/>
                <w:sz w:val="20"/>
              </w:rPr>
              <w:t>29.3</w:t>
            </w:r>
            <w:r w:rsidRPr="00672146">
              <w:rPr>
                <w:rFonts w:ascii="Times New Roman" w:hAnsi="Times New Roman" w:cs="Times New Roman"/>
                <w:spacing w:val="-6"/>
                <w:sz w:val="20"/>
              </w:rPr>
              <w:t xml:space="preserve"> </w:t>
            </w:r>
            <w:r w:rsidRPr="00672146">
              <w:rPr>
                <w:rFonts w:ascii="Times New Roman" w:hAnsi="Times New Roman" w:cs="Times New Roman"/>
                <w:sz w:val="20"/>
              </w:rPr>
              <w:t>m</w:t>
            </w:r>
          </w:p>
        </w:tc>
        <w:tc>
          <w:tcPr>
            <w:tcW w:w="1930" w:type="dxa"/>
            <w:tcBorders>
              <w:top w:val="nil"/>
              <w:left w:val="single" w:sz="4" w:space="0" w:color="303030"/>
              <w:bottom w:val="single" w:sz="4" w:space="0" w:color="303030"/>
              <w:right w:val="single" w:sz="4" w:space="0" w:color="303030"/>
            </w:tcBorders>
          </w:tcPr>
          <w:p w:rsidR="00ED5A45" w:rsidRPr="00672146" w:rsidRDefault="00ED5A45" w:rsidP="007D2402">
            <w:pPr>
              <w:pStyle w:val="TableParagraph"/>
              <w:spacing w:before="143"/>
              <w:ind w:left="775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72146">
              <w:rPr>
                <w:rFonts w:ascii="Times New Roman" w:hAnsi="Times New Roman" w:cs="Times New Roman"/>
                <w:sz w:val="20"/>
              </w:rPr>
              <w:t>4.0</w:t>
            </w:r>
            <w:r w:rsidRPr="00672146">
              <w:rPr>
                <w:rFonts w:ascii="Times New Roman" w:hAnsi="Times New Roman" w:cs="Times New Roman"/>
                <w:spacing w:val="-5"/>
                <w:sz w:val="20"/>
              </w:rPr>
              <w:t xml:space="preserve"> </w:t>
            </w:r>
            <w:r w:rsidRPr="00672146">
              <w:rPr>
                <w:rFonts w:ascii="Times New Roman" w:hAnsi="Times New Roman" w:cs="Times New Roman"/>
                <w:sz w:val="20"/>
              </w:rPr>
              <w:t>m</w:t>
            </w:r>
          </w:p>
        </w:tc>
        <w:tc>
          <w:tcPr>
            <w:tcW w:w="1930" w:type="dxa"/>
            <w:tcBorders>
              <w:top w:val="nil"/>
              <w:left w:val="single" w:sz="4" w:space="0" w:color="303030"/>
              <w:bottom w:val="single" w:sz="4" w:space="0" w:color="303030"/>
              <w:right w:val="single" w:sz="4" w:space="0" w:color="303030"/>
            </w:tcBorders>
          </w:tcPr>
          <w:p w:rsidR="00ED5A45" w:rsidRPr="00672146" w:rsidRDefault="00ED5A45" w:rsidP="007D2402">
            <w:pPr>
              <w:pStyle w:val="TableParagraph"/>
              <w:spacing w:before="143"/>
              <w:ind w:left="8"/>
              <w:jc w:val="center"/>
              <w:rPr>
                <w:rFonts w:ascii="Times New Roman" w:hAnsi="Times New Roman" w:cs="Times New Roman"/>
                <w:sz w:val="20"/>
              </w:rPr>
            </w:pPr>
            <w:r w:rsidRPr="00672146">
              <w:rPr>
                <w:rFonts w:ascii="Times New Roman" w:hAnsi="Times New Roman" w:cs="Times New Roman"/>
                <w:sz w:val="20"/>
              </w:rPr>
              <w:t>1.6 m</w:t>
            </w:r>
          </w:p>
        </w:tc>
      </w:tr>
      <w:tr w:rsidR="00ED5A45" w:rsidRPr="00672146" w:rsidTr="007D2402">
        <w:trPr>
          <w:trHeight w:hRule="exact" w:val="450"/>
        </w:trPr>
        <w:tc>
          <w:tcPr>
            <w:tcW w:w="1890" w:type="dxa"/>
            <w:tcBorders>
              <w:top w:val="single" w:sz="4" w:space="0" w:color="303030"/>
              <w:left w:val="single" w:sz="4" w:space="0" w:color="303030"/>
              <w:bottom w:val="single" w:sz="4" w:space="0" w:color="303030"/>
              <w:right w:val="single" w:sz="4" w:space="0" w:color="303030"/>
            </w:tcBorders>
          </w:tcPr>
          <w:p w:rsidR="00ED5A45" w:rsidRPr="00672146" w:rsidRDefault="00ED5A45" w:rsidP="007D2402">
            <w:pPr>
              <w:pStyle w:val="TableParagraph"/>
              <w:spacing w:before="129"/>
              <w:ind w:left="11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72146">
              <w:rPr>
                <w:rFonts w:ascii="Times New Roman" w:hAnsi="Times New Roman" w:cs="Times New Roman"/>
                <w:b/>
                <w:sz w:val="20"/>
              </w:rPr>
              <w:t>Practices*</w:t>
            </w:r>
          </w:p>
        </w:tc>
        <w:tc>
          <w:tcPr>
            <w:tcW w:w="1734" w:type="dxa"/>
            <w:tcBorders>
              <w:top w:val="single" w:sz="4" w:space="0" w:color="303030"/>
              <w:left w:val="single" w:sz="4" w:space="0" w:color="303030"/>
              <w:bottom w:val="single" w:sz="4" w:space="0" w:color="303030"/>
              <w:right w:val="single" w:sz="4" w:space="0" w:color="303030"/>
            </w:tcBorders>
          </w:tcPr>
          <w:p w:rsidR="00ED5A45" w:rsidRPr="00672146" w:rsidRDefault="00ED5A45" w:rsidP="007D2402">
            <w:pPr>
              <w:pStyle w:val="TableParagraph"/>
              <w:spacing w:before="131"/>
              <w:ind w:right="206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72146">
              <w:rPr>
                <w:rFonts w:ascii="Times New Roman" w:hAnsi="Times New Roman" w:cs="Times New Roman"/>
                <w:sz w:val="20"/>
              </w:rPr>
              <w:t>2517</w:t>
            </w:r>
          </w:p>
        </w:tc>
        <w:tc>
          <w:tcPr>
            <w:tcW w:w="1930" w:type="dxa"/>
            <w:tcBorders>
              <w:top w:val="single" w:sz="4" w:space="0" w:color="303030"/>
              <w:left w:val="single" w:sz="4" w:space="0" w:color="303030"/>
              <w:bottom w:val="single" w:sz="4" w:space="0" w:color="303030"/>
              <w:right w:val="single" w:sz="4" w:space="0" w:color="303030"/>
            </w:tcBorders>
          </w:tcPr>
          <w:p w:rsidR="00ED5A45" w:rsidRPr="00672146" w:rsidRDefault="00ED5A45" w:rsidP="007D2402">
            <w:pPr>
              <w:pStyle w:val="TableParagraph"/>
              <w:spacing w:before="131"/>
              <w:ind w:right="206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72146">
              <w:rPr>
                <w:rFonts w:ascii="Times New Roman" w:hAnsi="Times New Roman" w:cs="Times New Roman"/>
                <w:sz w:val="20"/>
              </w:rPr>
              <w:t>1118</w:t>
            </w:r>
          </w:p>
        </w:tc>
        <w:tc>
          <w:tcPr>
            <w:tcW w:w="1930" w:type="dxa"/>
            <w:tcBorders>
              <w:top w:val="single" w:sz="4" w:space="0" w:color="303030"/>
              <w:left w:val="single" w:sz="4" w:space="0" w:color="303030"/>
              <w:bottom w:val="single" w:sz="4" w:space="0" w:color="303030"/>
              <w:right w:val="single" w:sz="4" w:space="0" w:color="303030"/>
            </w:tcBorders>
          </w:tcPr>
          <w:p w:rsidR="00ED5A45" w:rsidRPr="00672146" w:rsidRDefault="00ED5A45" w:rsidP="007D2402">
            <w:pPr>
              <w:pStyle w:val="TableParagraph"/>
              <w:spacing w:before="131"/>
              <w:ind w:left="8" w:right="206"/>
              <w:jc w:val="center"/>
              <w:rPr>
                <w:rFonts w:ascii="Times New Roman" w:hAnsi="Times New Roman" w:cs="Times New Roman"/>
                <w:sz w:val="20"/>
                <w:szCs w:val="16"/>
              </w:rPr>
            </w:pPr>
            <w:r w:rsidRPr="00672146">
              <w:rPr>
                <w:rFonts w:ascii="Times New Roman" w:hAnsi="Times New Roman" w:cs="Times New Roman"/>
                <w:sz w:val="20"/>
              </w:rPr>
              <w:t>700 or 900</w:t>
            </w:r>
          </w:p>
        </w:tc>
      </w:tr>
      <w:tr w:rsidR="00ED5A45" w:rsidRPr="00672146" w:rsidTr="007D2402">
        <w:trPr>
          <w:trHeight w:hRule="exact" w:val="558"/>
        </w:trPr>
        <w:tc>
          <w:tcPr>
            <w:tcW w:w="1890" w:type="dxa"/>
            <w:tcBorders>
              <w:top w:val="single" w:sz="4" w:space="0" w:color="303030"/>
              <w:left w:val="single" w:sz="4" w:space="0" w:color="303030"/>
              <w:bottom w:val="single" w:sz="4" w:space="0" w:color="303030"/>
              <w:right w:val="single" w:sz="4" w:space="0" w:color="303030"/>
            </w:tcBorders>
          </w:tcPr>
          <w:p w:rsidR="00ED5A45" w:rsidRPr="00672146" w:rsidRDefault="00ED5A45" w:rsidP="007D2402">
            <w:pPr>
              <w:pStyle w:val="TableParagraph"/>
              <w:spacing w:before="3"/>
              <w:rPr>
                <w:rFonts w:ascii="Times New Roman" w:eastAsia="Georgia" w:hAnsi="Times New Roman" w:cs="Times New Roman"/>
                <w:sz w:val="16"/>
                <w:szCs w:val="16"/>
              </w:rPr>
            </w:pPr>
          </w:p>
          <w:p w:rsidR="00ED5A45" w:rsidRPr="00672146" w:rsidRDefault="00ED5A45" w:rsidP="007D2402">
            <w:pPr>
              <w:pStyle w:val="TableParagraph"/>
              <w:ind w:left="110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72146">
              <w:rPr>
                <w:rFonts w:ascii="Times New Roman" w:hAnsi="Times New Roman" w:cs="Times New Roman"/>
                <w:b/>
                <w:sz w:val="20"/>
              </w:rPr>
              <w:t>Available</w:t>
            </w:r>
            <w:r w:rsidRPr="00672146">
              <w:rPr>
                <w:rFonts w:ascii="Times New Roman" w:hAnsi="Times New Roman" w:cs="Times New Roman"/>
                <w:b/>
                <w:spacing w:val="-11"/>
                <w:sz w:val="20"/>
              </w:rPr>
              <w:t xml:space="preserve"> </w:t>
            </w:r>
            <w:r w:rsidRPr="00672146">
              <w:rPr>
                <w:rFonts w:ascii="Times New Roman" w:hAnsi="Times New Roman" w:cs="Times New Roman"/>
                <w:b/>
                <w:sz w:val="20"/>
              </w:rPr>
              <w:t>since</w:t>
            </w:r>
          </w:p>
        </w:tc>
        <w:tc>
          <w:tcPr>
            <w:tcW w:w="1734" w:type="dxa"/>
            <w:tcBorders>
              <w:top w:val="single" w:sz="4" w:space="0" w:color="303030"/>
              <w:left w:val="single" w:sz="4" w:space="0" w:color="303030"/>
              <w:bottom w:val="single" w:sz="4" w:space="0" w:color="303030"/>
              <w:right w:val="single" w:sz="4" w:space="0" w:color="303030"/>
            </w:tcBorders>
          </w:tcPr>
          <w:p w:rsidR="00ED5A45" w:rsidRPr="00672146" w:rsidRDefault="00ED5A45" w:rsidP="007D2402">
            <w:pPr>
              <w:pStyle w:val="TableParagraph"/>
              <w:spacing w:before="69" w:line="242" w:lineRule="auto"/>
              <w:ind w:left="470" w:right="404" w:hanging="272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72146">
              <w:rPr>
                <w:rFonts w:ascii="Times New Roman" w:hAnsi="Times New Roman" w:cs="Times New Roman"/>
                <w:sz w:val="20"/>
              </w:rPr>
              <w:t xml:space="preserve">2009 </w:t>
            </w:r>
          </w:p>
        </w:tc>
        <w:tc>
          <w:tcPr>
            <w:tcW w:w="1930" w:type="dxa"/>
            <w:tcBorders>
              <w:top w:val="single" w:sz="4" w:space="0" w:color="303030"/>
              <w:left w:val="single" w:sz="4" w:space="0" w:color="303030"/>
              <w:bottom w:val="single" w:sz="4" w:space="0" w:color="303030"/>
              <w:right w:val="single" w:sz="4" w:space="0" w:color="303030"/>
            </w:tcBorders>
          </w:tcPr>
          <w:p w:rsidR="00ED5A45" w:rsidRPr="00672146" w:rsidRDefault="00ED5A45" w:rsidP="007D2402">
            <w:pPr>
              <w:pStyle w:val="TableParagraph"/>
              <w:spacing w:before="69" w:line="242" w:lineRule="auto"/>
              <w:ind w:left="669" w:right="436" w:hanging="440"/>
              <w:jc w:val="center"/>
              <w:rPr>
                <w:rFonts w:ascii="Times New Roman" w:eastAsia="Arial" w:hAnsi="Times New Roman" w:cs="Times New Roman"/>
                <w:sz w:val="20"/>
                <w:szCs w:val="20"/>
              </w:rPr>
            </w:pPr>
            <w:r w:rsidRPr="00672146">
              <w:rPr>
                <w:rFonts w:ascii="Times New Roman" w:hAnsi="Times New Roman" w:cs="Times New Roman"/>
                <w:sz w:val="20"/>
              </w:rPr>
              <w:t>2009</w:t>
            </w:r>
          </w:p>
        </w:tc>
        <w:tc>
          <w:tcPr>
            <w:tcW w:w="1930" w:type="dxa"/>
            <w:tcBorders>
              <w:top w:val="single" w:sz="4" w:space="0" w:color="303030"/>
              <w:left w:val="single" w:sz="4" w:space="0" w:color="303030"/>
              <w:bottom w:val="single" w:sz="4" w:space="0" w:color="303030"/>
              <w:right w:val="single" w:sz="4" w:space="0" w:color="303030"/>
            </w:tcBorders>
          </w:tcPr>
          <w:p w:rsidR="00ED5A45" w:rsidRPr="00672146" w:rsidRDefault="00ED5A45" w:rsidP="007D2402">
            <w:pPr>
              <w:pStyle w:val="TableParagraph"/>
              <w:spacing w:before="69" w:line="242" w:lineRule="auto"/>
              <w:ind w:left="669" w:right="436" w:hanging="440"/>
              <w:jc w:val="center"/>
              <w:rPr>
                <w:rFonts w:ascii="Times New Roman" w:hAnsi="Times New Roman" w:cs="Times New Roman"/>
                <w:sz w:val="20"/>
              </w:rPr>
            </w:pPr>
            <w:r w:rsidRPr="00672146">
              <w:rPr>
                <w:rFonts w:ascii="Times New Roman" w:hAnsi="Times New Roman" w:cs="Times New Roman"/>
                <w:sz w:val="20"/>
              </w:rPr>
              <w:t>2009</w:t>
            </w:r>
          </w:p>
        </w:tc>
      </w:tr>
    </w:tbl>
    <w:p w:rsidR="00ED5A45" w:rsidRPr="00672146" w:rsidRDefault="00ED5A45" w:rsidP="00ED5A45">
      <w:pPr>
        <w:pStyle w:val="BodyText"/>
        <w:spacing w:line="224" w:lineRule="exact"/>
        <w:ind w:left="120" w:right="3129"/>
        <w:rPr>
          <w:rFonts w:ascii="Times New Roman" w:eastAsia="Georgia" w:hAnsi="Times New Roman" w:cs="Times New Roman"/>
        </w:rPr>
      </w:pPr>
      <w:r w:rsidRPr="00672146">
        <w:rPr>
          <w:rFonts w:ascii="Times New Roman" w:hAnsi="Times New Roman" w:cs="Times New Roman"/>
        </w:rPr>
        <w:t>Data Source: Disease Analyzer</w:t>
      </w:r>
      <w:r w:rsidRPr="00672146">
        <w:rPr>
          <w:rFonts w:ascii="Times New Roman" w:hAnsi="Times New Roman" w:cs="Times New Roman"/>
          <w:spacing w:val="-19"/>
        </w:rPr>
        <w:t xml:space="preserve"> </w:t>
      </w:r>
      <w:r w:rsidRPr="00672146">
        <w:rPr>
          <w:rFonts w:ascii="Times New Roman" w:hAnsi="Times New Roman" w:cs="Times New Roman"/>
        </w:rPr>
        <w:t>2016</w:t>
      </w:r>
    </w:p>
    <w:p w:rsidR="00ED5A45" w:rsidRPr="00672146" w:rsidRDefault="00ED5A45" w:rsidP="00ED5A45">
      <w:pPr>
        <w:pStyle w:val="BodyText"/>
        <w:spacing w:before="46"/>
        <w:ind w:left="120" w:right="3129"/>
        <w:rPr>
          <w:rFonts w:ascii="Times New Roman" w:eastAsia="Georgia" w:hAnsi="Times New Roman" w:cs="Times New Roman"/>
        </w:rPr>
      </w:pPr>
      <w:r w:rsidRPr="00672146">
        <w:rPr>
          <w:rFonts w:ascii="Times New Roman" w:hAnsi="Times New Roman" w:cs="Times New Roman"/>
        </w:rPr>
        <w:t>*Office based GPs and specialists in Germany and Canada; GPs only in</w:t>
      </w:r>
      <w:r w:rsidRPr="00672146">
        <w:rPr>
          <w:rFonts w:ascii="Times New Roman" w:hAnsi="Times New Roman" w:cs="Times New Roman"/>
          <w:spacing w:val="-31"/>
        </w:rPr>
        <w:t xml:space="preserve"> </w:t>
      </w:r>
      <w:r w:rsidRPr="00672146">
        <w:rPr>
          <w:rFonts w:ascii="Times New Roman" w:hAnsi="Times New Roman" w:cs="Times New Roman"/>
        </w:rPr>
        <w:t>France and Australia</w:t>
      </w:r>
    </w:p>
    <w:p w:rsidR="00ED5A45" w:rsidRDefault="00ED5A45" w:rsidP="00791C69"/>
    <w:p w:rsidR="00F27972" w:rsidRDefault="00F27972" w:rsidP="00791C69">
      <w:r>
        <w:t xml:space="preserve">The data is recorded from EMR software similar to Germany and France. LPD stands for Longitudinal Patient Data, and means a patient can be traced back in history longitudinally with the data provided by the doctor. </w:t>
      </w:r>
    </w:p>
    <w:p w:rsidR="00F27972" w:rsidRDefault="00F27972" w:rsidP="00791C69"/>
    <w:p w:rsidR="003D5BDA" w:rsidRDefault="003D5BDA" w:rsidP="003D5BDA">
      <w:pPr>
        <w:pStyle w:val="Heading2"/>
      </w:pPr>
      <w:r>
        <w:t>Person</w:t>
      </w:r>
    </w:p>
    <w:p w:rsidR="00F27972" w:rsidRPr="00F27972" w:rsidRDefault="00F27972" w:rsidP="00F27972">
      <w:r>
        <w:t xml:space="preserve">All patients recorded have a YOB. However, there are patients with YOB less than year of 1900. Also, month of birth was provided by data. </w:t>
      </w:r>
    </w:p>
    <w:p w:rsidR="003D5BDA" w:rsidRDefault="003D5BDA" w:rsidP="003D5BDA">
      <w:pPr>
        <w:pStyle w:val="Heading2"/>
      </w:pPr>
      <w:r>
        <w:t>Visit</w:t>
      </w:r>
    </w:p>
    <w:p w:rsidR="003D5BDA" w:rsidRPr="00B62C5D" w:rsidRDefault="003D5BDA" w:rsidP="003D5BDA">
      <w:r>
        <w:t xml:space="preserve">All visits are office visits. Visits are being calculated by the event dates from CDM tables. </w:t>
      </w:r>
    </w:p>
    <w:p w:rsidR="003D5BDA" w:rsidRDefault="003D5BDA" w:rsidP="003D5BDA">
      <w:pPr>
        <w:pStyle w:val="Heading2"/>
      </w:pPr>
      <w:r>
        <w:t>Observation Period</w:t>
      </w:r>
    </w:p>
    <w:p w:rsidR="003D5BDA" w:rsidRDefault="003D5BDA" w:rsidP="003D5BDA">
      <w:r>
        <w:t xml:space="preserve">The observation period is defined as the first and last encounter a patient has in the CDM. For this, it is being calculated from event tables in CDM. </w:t>
      </w:r>
    </w:p>
    <w:p w:rsidR="003D5BDA" w:rsidRDefault="003D5BDA" w:rsidP="003D5BDA">
      <w:pPr>
        <w:pStyle w:val="Heading2"/>
      </w:pPr>
      <w:r>
        <w:t>Location</w:t>
      </w:r>
    </w:p>
    <w:p w:rsidR="003F4821" w:rsidRPr="003F4821" w:rsidRDefault="003F4821" w:rsidP="003F4821">
      <w:r>
        <w:t xml:space="preserve">Distinct practice post codes are recorded. </w:t>
      </w:r>
    </w:p>
    <w:p w:rsidR="003D5BDA" w:rsidRDefault="003D5BDA" w:rsidP="003D5BDA">
      <w:pPr>
        <w:pStyle w:val="Heading2"/>
      </w:pPr>
      <w:r>
        <w:t>Care Site</w:t>
      </w:r>
    </w:p>
    <w:p w:rsidR="003F4821" w:rsidRPr="003F4821" w:rsidRDefault="003F4821" w:rsidP="003F4821">
      <w:r>
        <w:t xml:space="preserve">All place of service within care site is office. The location ids from location table are linked to care site table. </w:t>
      </w:r>
    </w:p>
    <w:p w:rsidR="003D5BDA" w:rsidRDefault="003D5BDA" w:rsidP="003D5BDA">
      <w:pPr>
        <w:pStyle w:val="Heading2"/>
      </w:pPr>
      <w:r>
        <w:t>Condition</w:t>
      </w:r>
    </w:p>
    <w:p w:rsidR="00F27972" w:rsidRPr="00F27972" w:rsidRDefault="00F27972" w:rsidP="00F27972">
      <w:r>
        <w:t xml:space="preserve">All diagnosis codes which are ICD10 are being recorded within condition. Majority of these records are in the contact table. Also, there are some records in prescription table which have a domain of condition, these records are added to condition occurrence. Allergies are recorded in source data, and majority of them are populated within conditions. </w:t>
      </w:r>
    </w:p>
    <w:p w:rsidR="003D5BDA" w:rsidRDefault="003D5BDA" w:rsidP="003D5BDA">
      <w:pPr>
        <w:pStyle w:val="Heading2"/>
      </w:pPr>
      <w:r>
        <w:t>Death</w:t>
      </w:r>
    </w:p>
    <w:p w:rsidR="00F27972" w:rsidRPr="00F27972" w:rsidRDefault="00F27972" w:rsidP="00F27972">
      <w:r>
        <w:t xml:space="preserve">Death flag is given in source data, all records are being added for patients with this death flag. </w:t>
      </w:r>
    </w:p>
    <w:p w:rsidR="003D5BDA" w:rsidRDefault="003D5BDA" w:rsidP="003D5BDA">
      <w:pPr>
        <w:pStyle w:val="Heading2"/>
      </w:pPr>
      <w:r>
        <w:t>Procedure</w:t>
      </w:r>
    </w:p>
    <w:p w:rsidR="00F27972" w:rsidRPr="00F27972" w:rsidRDefault="00F27972" w:rsidP="00F27972">
      <w:r>
        <w:t xml:space="preserve">Procedure data is being recorded from contact table which would tell us if a diagnosis code has a domain of procedure. Also, procedures related to allergies and/or prescriptions are being populated here if domain = procedures. </w:t>
      </w:r>
    </w:p>
    <w:p w:rsidR="003D5BDA" w:rsidRDefault="003D5BDA" w:rsidP="003D5BDA">
      <w:pPr>
        <w:pStyle w:val="Heading2"/>
      </w:pPr>
      <w:r>
        <w:t>Measurement</w:t>
      </w:r>
    </w:p>
    <w:p w:rsidR="00F27972" w:rsidRPr="00F27972" w:rsidRDefault="00F27972" w:rsidP="00F27972">
      <w:r>
        <w:t xml:space="preserve">Contains various measurement and vitals taken by the physician. This can be patient reported as well, but there is no way to find this information out. </w:t>
      </w:r>
    </w:p>
    <w:p w:rsidR="003D5BDA" w:rsidRDefault="003D5BDA" w:rsidP="003D5BDA">
      <w:pPr>
        <w:pStyle w:val="Heading2"/>
      </w:pPr>
      <w:r>
        <w:t>Observation</w:t>
      </w:r>
    </w:p>
    <w:p w:rsidR="00F27972" w:rsidRPr="00F27972" w:rsidRDefault="00F27972" w:rsidP="00F27972">
      <w:r>
        <w:t>The observations contain any records with a domain of observations or records that are unmapped.</w:t>
      </w:r>
    </w:p>
    <w:p w:rsidR="003D5BDA" w:rsidRDefault="003D5BDA" w:rsidP="003D5BDA">
      <w:pPr>
        <w:pStyle w:val="Heading2"/>
      </w:pPr>
      <w:r>
        <w:t>Provider</w:t>
      </w:r>
    </w:p>
    <w:p w:rsidR="003D5BDA" w:rsidRDefault="00F27972" w:rsidP="003D5BDA">
      <w:r>
        <w:t>All providers are GPs. The</w:t>
      </w:r>
      <w:r w:rsidR="00BA66A9">
        <w:t>re are no provider specialties, but there are nurse p</w:t>
      </w:r>
      <w:r w:rsidR="00BA66A9">
        <w:rPr>
          <w:sz w:val="20"/>
          <w:szCs w:val="20"/>
        </w:rPr>
        <w:t>ractitioner</w:t>
      </w:r>
      <w:r w:rsidR="00BA66A9">
        <w:t xml:space="preserve">, these have been added to specialty field. </w:t>
      </w:r>
      <w:bookmarkStart w:id="0" w:name="_GoBack"/>
      <w:bookmarkEnd w:id="0"/>
    </w:p>
    <w:p w:rsidR="003D5BDA" w:rsidRDefault="003D5BDA" w:rsidP="003D5BDA">
      <w:pPr>
        <w:pStyle w:val="Heading2"/>
      </w:pPr>
      <w:r>
        <w:lastRenderedPageBreak/>
        <w:t>Drug</w:t>
      </w:r>
    </w:p>
    <w:p w:rsidR="00F27972" w:rsidRPr="00F27972" w:rsidRDefault="00F27972" w:rsidP="00F27972">
      <w:r>
        <w:t xml:space="preserve">All prescription and immunization information is being retained within drug exposure. </w:t>
      </w:r>
    </w:p>
    <w:p w:rsidR="003D5BDA" w:rsidRDefault="003D5BDA" w:rsidP="003D5BDA">
      <w:pPr>
        <w:pStyle w:val="Heading2"/>
      </w:pPr>
      <w:r>
        <w:t>Cohort</w:t>
      </w:r>
    </w:p>
    <w:p w:rsidR="003D5BDA" w:rsidRDefault="003D5BDA" w:rsidP="003D5BDA">
      <w:r>
        <w:t>-</w:t>
      </w:r>
    </w:p>
    <w:p w:rsidR="003D5BDA" w:rsidRDefault="003D5BDA" w:rsidP="003D5BD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D54DF" w:rsidRDefault="00ED54D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sectPr w:rsidR="00ED54D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D0EA6" w:rsidRDefault="00BD0EA6" w:rsidP="005206BA">
      <w:pPr>
        <w:spacing w:after="0" w:line="240" w:lineRule="auto"/>
      </w:pPr>
      <w:r>
        <w:separator/>
      </w:r>
    </w:p>
  </w:endnote>
  <w:endnote w:type="continuationSeparator" w:id="0">
    <w:p w:rsidR="00BD0EA6" w:rsidRDefault="00BD0EA6" w:rsidP="005206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06BA" w:rsidRDefault="005206BA">
    <w:pPr>
      <w:pStyle w:val="Footer"/>
    </w:pPr>
    <w:r>
      <w:tab/>
    </w:r>
    <w:r>
      <w:tab/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BA66A9">
      <w:rPr>
        <w:b/>
        <w:noProof/>
      </w:rPr>
      <w:t>8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BA66A9">
      <w:rPr>
        <w:b/>
        <w:noProof/>
      </w:rPr>
      <w:t>8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D0EA6" w:rsidRDefault="00BD0EA6" w:rsidP="005206BA">
      <w:pPr>
        <w:spacing w:after="0" w:line="240" w:lineRule="auto"/>
      </w:pPr>
      <w:r>
        <w:separator/>
      </w:r>
    </w:p>
  </w:footnote>
  <w:footnote w:type="continuationSeparator" w:id="0">
    <w:p w:rsidR="00BD0EA6" w:rsidRDefault="00BD0EA6" w:rsidP="005206B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3F1"/>
    <w:rsid w:val="0033386A"/>
    <w:rsid w:val="003D5BDA"/>
    <w:rsid w:val="003F4821"/>
    <w:rsid w:val="004A29B3"/>
    <w:rsid w:val="004B03F1"/>
    <w:rsid w:val="004C1BB2"/>
    <w:rsid w:val="005206BA"/>
    <w:rsid w:val="00791C69"/>
    <w:rsid w:val="007D0F39"/>
    <w:rsid w:val="008710E6"/>
    <w:rsid w:val="008928B1"/>
    <w:rsid w:val="008E560D"/>
    <w:rsid w:val="009011E2"/>
    <w:rsid w:val="00AE4CBD"/>
    <w:rsid w:val="00B210FB"/>
    <w:rsid w:val="00B44D88"/>
    <w:rsid w:val="00BA66A9"/>
    <w:rsid w:val="00BD0EA6"/>
    <w:rsid w:val="00C3462B"/>
    <w:rsid w:val="00CB0E5A"/>
    <w:rsid w:val="00D16E22"/>
    <w:rsid w:val="00DD0BE4"/>
    <w:rsid w:val="00E96740"/>
    <w:rsid w:val="00ED54DF"/>
    <w:rsid w:val="00ED5A45"/>
    <w:rsid w:val="00ED7250"/>
    <w:rsid w:val="00EE481B"/>
    <w:rsid w:val="00F27972"/>
    <w:rsid w:val="00F4325E"/>
    <w:rsid w:val="00FA4FFA"/>
    <w:rsid w:val="00FF0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D184D9-14B2-4055-8985-2C439D5F0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06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06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206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06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206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206BA"/>
    <w:pPr>
      <w:ind w:left="720"/>
      <w:contextualSpacing/>
    </w:pPr>
    <w:rPr>
      <w:rFonts w:eastAsiaTheme="minorEastAsia"/>
      <w:lang w:eastAsia="zh-CN"/>
    </w:rPr>
  </w:style>
  <w:style w:type="character" w:customStyle="1" w:styleId="apple-converted-space">
    <w:name w:val="apple-converted-space"/>
    <w:basedOn w:val="DefaultParagraphFont"/>
    <w:rsid w:val="005206BA"/>
  </w:style>
  <w:style w:type="character" w:customStyle="1" w:styleId="Heading2Char">
    <w:name w:val="Heading 2 Char"/>
    <w:basedOn w:val="DefaultParagraphFont"/>
    <w:link w:val="Heading2"/>
    <w:uiPriority w:val="9"/>
    <w:rsid w:val="005206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52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6BA"/>
  </w:style>
  <w:style w:type="paragraph" w:styleId="Footer">
    <w:name w:val="footer"/>
    <w:basedOn w:val="Normal"/>
    <w:link w:val="FooterChar"/>
    <w:uiPriority w:val="99"/>
    <w:unhideWhenUsed/>
    <w:rsid w:val="005206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6BA"/>
  </w:style>
  <w:style w:type="character" w:styleId="CommentReference">
    <w:name w:val="annotation reference"/>
    <w:basedOn w:val="DefaultParagraphFont"/>
    <w:uiPriority w:val="99"/>
    <w:semiHidden/>
    <w:unhideWhenUsed/>
    <w:rsid w:val="00AE4CB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E4CB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E4CB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E4CB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E4CB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E4C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4CBD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9674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F0D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ED5A45"/>
    <w:pPr>
      <w:widowControl w:val="0"/>
      <w:spacing w:after="0" w:line="240" w:lineRule="auto"/>
    </w:pPr>
  </w:style>
  <w:style w:type="paragraph" w:styleId="BodyText">
    <w:name w:val="Body Text"/>
    <w:basedOn w:val="Normal"/>
    <w:link w:val="BodyTextChar"/>
    <w:uiPriority w:val="1"/>
    <w:qFormat/>
    <w:rsid w:val="00ED5A45"/>
    <w:pPr>
      <w:widowControl w:val="0"/>
      <w:spacing w:after="0" w:line="240" w:lineRule="auto"/>
      <w:ind w:left="479"/>
    </w:pPr>
    <w:rPr>
      <w:rFonts w:ascii="Arial Narrow" w:eastAsia="Arial Narrow" w:hAnsi="Arial Narrow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ED5A45"/>
    <w:rPr>
      <w:rFonts w:ascii="Arial Narrow" w:eastAsia="Arial Narrow" w:hAnsi="Arial Narro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8</Pages>
  <Words>1188</Words>
  <Characters>6775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7948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Voss, Erica</dc:creator>
  <cp:keywords/>
  <dc:description/>
  <cp:lastModifiedBy>Urvi SHAH</cp:lastModifiedBy>
  <cp:revision>9</cp:revision>
  <dcterms:created xsi:type="dcterms:W3CDTF">2016-12-06T20:13:00Z</dcterms:created>
  <dcterms:modified xsi:type="dcterms:W3CDTF">2016-12-06T21:41:00Z</dcterms:modified>
</cp:coreProperties>
</file>