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353D" w14:textId="5AFBC45F" w:rsidR="00553843" w:rsidRPr="004C3936" w:rsidRDefault="00553843" w:rsidP="004C3936"/>
    <w:p>
      <w:pPr>
        <w:pStyle w:val="Title"/>
      </w:pPr>
      <w:r>
        <w:t xml:space="preserve">Clinical description for user_of_warfarin</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Created on 2026-04-13</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Description generated by using gemini-2.5-pro (via PhenotypeR::getClinicalDescription())</w:t>
      </w:r>
    </w:p>
    <w:p>
      <w:pPr>
        <w:pStyle w:val="Normal"/>
      </w:pPr>
      <w:r>
        <w:t xml:space="preserve"/>
      </w:r>
    </w:p>
    <w:p>
      <w:pPr>
        <w:pStyle w:val="Heading1"/>
      </w:pPr>
      <w:r>
        <w:t xml:space="preserve">Introduction/ synonyms</w:t>
      </w:r>
    </w:p>
    <w:p>
      <w:pPr>
        <w:pStyle w:val="Normal"/>
      </w:pPr>
      <w:r>
        <w:t xml:space="preserve">A user of warfarin is a person prescribed this medication, which is an oral anticoagulant that functions as a vitamin K antagonist. It is prescribed to prevent the formation and extension of blood clots. Warfarin is also known by various brand names and is a type of coumarin anticoagulant.</w:t>
      </w:r>
    </w:p>
    <w:p>
      <w:pPr>
        <w:pStyle w:val="Heading1"/>
      </w:pPr>
      <w:r>
        <w:t xml:space="preserve">Clinical presentation/ symptoms</w:t>
      </w:r>
    </w:p>
    <w:p>
      <w:pPr>
        <w:pStyle w:val="Normal"/>
      </w:pPr>
      <w:r>
        <w:t xml:space="preserve">Patients do not present with symptoms of using warfarin, but rather with the signs and symptoms of the underlying condition that necessitates anticoagulation. Common indications include atrial fibrillation, which may present with palpitations, dizziness, or dyspnoea; venous thromboembolism, such as deep vein thrombosis presenting with unilateral leg swelling and pain, or pulmonary embolism presenting with acute chest pain and shortness of breath; and the presence of mechanical prosthetic heart valves, which require long-term thrombosis prevention.</w:t>
      </w:r>
    </w:p>
    <w:p>
      <w:pPr>
        <w:pStyle w:val="Heading1"/>
      </w:pPr>
      <w:r>
        <w:t xml:space="preserve">Epidemiology</w:t>
      </w:r>
    </w:p>
    <w:p>
      <w:pPr>
        <w:pStyle w:val="Normal"/>
      </w:pPr>
      <w:r>
        <w:t xml:space="preserve">The prevalence of warfarin use increases significantly with age, primarily because the incidence of its main indications, particularly atrial fibrillation, rises in older populations. Risk factors for requiring warfarin are those of the underlying thromboembolic conditions, including non-modifiable factors like advancing age and genetic predisposition to clotting, and modifiable factors such as hypertension, diabetes mellitus, obesity, smoking, and immobility. Common comorbidities include other cardiovascular diseases such as ischaemic heart disease, heart failure, peripheral arterial disease, and previous stroke or transient ischaemic attack.</w:t>
      </w:r>
    </w:p>
    <w:p>
      <w:pPr>
        <w:pStyle w:val="Heading1"/>
      </w:pPr>
      <w:r>
        <w:t xml:space="preserve">Assessment/ diagnosis</w:t>
      </w:r>
    </w:p>
    <w:p>
      <w:pPr>
        <w:pStyle w:val="Normal"/>
      </w:pPr>
      <w:r>
        <w:t xml:space="preserve">The decision to initiate warfarin is based on the diagnosis of a condition carrying a high risk of thromboembolism. This involves clinical assessment and diagnostic tests such as an electrocardiogram (ECG) for atrial fibrillation or imaging like compression ultrasonography for deep vein thrombosis. Before starting treatment, clinicians assess the patient's individual risk of thrombosis against their risk of bleeding, often using validated scoring systems. Once warfarin is initiated, diagnosis and assessment are replaced by ongoing monitoring of its anticoagulant effect using the International Normalised Ratio (INR) blood test to guide dose adjustments.</w:t>
      </w:r>
    </w:p>
    <w:p>
      <w:pPr>
        <w:pStyle w:val="Heading1"/>
      </w:pPr>
      <w:r>
        <w:t xml:space="preserve">Therapeutic plan/ treatment</w:t>
      </w:r>
    </w:p>
    <w:p>
      <w:pPr>
        <w:pStyle w:val="Normal"/>
      </w:pPr>
      <w:r>
        <w:t xml:space="preserve">Warfarin itself is the therapeutic agent. Treatment is initiated with a starting dose, which may be a loading dose, and is often overlapped with a parenteral anticoagulant like heparin for the first few days in acute settings, a practice known as bridging. The long-term plan involves regular INR monitoring with subsequent dose adjustments to maintain the patient's INR within a specific target range, typically 2.0 to 3.0 for most indications. For many indications, particularly non-valvular atrial fibrillation and venous thromboembolism, Direct Oral Anticoagulants (DOACs) are now often preferred over warfarin as they do not require routine coagulation monitoring. Warfarin remains the treatment of choice for patients with mechanical heart valves and in some cases of severe chronic kidney disease.</w:t>
      </w:r>
    </w:p>
    <w:p>
      <w:pPr>
        <w:pStyle w:val="Heading1"/>
      </w:pPr>
      <w:r>
        <w:t xml:space="preserve">Complications and prognosis</w:t>
      </w:r>
    </w:p>
    <w:p>
      <w:pPr>
        <w:pStyle w:val="Normal"/>
      </w:pPr>
      <w:r>
        <w:t xml:space="preserve">The most significant complication of warfarin therapy is bleeding, which can range from minor events like bruising to severe, life-threatening haemorrhages such as intracranial or major gastrointestinal bleeding. An excessively high INR indicates an increased risk of bleeding. A rare complication is warfarin-induced skin necrosis. The prognosis for a user of warfarin is largely determined by the underlying indication for anticoagulation and the quality of anticoagulant control, measured as time in the therapeutic range. Effective anticoagulation substantially reduces the risk of stroke in atrial fibrillation and recurrent venous thromboembolism, thereby improving long-term outcomes.</w:t>
      </w:r>
    </w:p>
    <w:p>
      <w:pPr>
        <w:pStyle w:val="Heading1"/>
      </w:pPr>
      <w:r>
        <w:t xml:space="preserve">Disqualifiers/ differential diagnoses</w:t>
      </w:r>
    </w:p>
    <w:p>
      <w:pPr>
        <w:pStyle w:val="Normal"/>
      </w:pPr>
      <w:r>
        <w:t xml:space="preserve">Contraindications to warfarin use, which act as disqualifiers, include active major bleeding, conditions with a very high risk of bleeding such as severe uncontrolled hypertension or recent major surgery, and a known hypersensitivity to the drug. Patient-related factors such as an inability to adhere to regular monitoring or a high risk of falls may also disqualify a person from treatment. The main therapeutic alternative considered at the point of initiation is a DOAC. The choice between warfarin and a DOAC is made based on the specific clinical indication, renal function, potential drug interactions, and patient preference.</w:t>
      </w:r>
    </w:p>
    <w:sectPr w:rsidR="00553843" w:rsidRPr="004C393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81C"/>
    <w:multiLevelType w:val="hybridMultilevel"/>
    <w:tmpl w:val="FD7E8E22"/>
    <w:lvl w:ilvl="0" w:tplc="5726E786">
      <w:start w:val="1"/>
      <w:numFmt w:val="bullet"/>
      <w:lvlText w:val="-"/>
      <w:lvlJc w:val="left"/>
      <w:pPr>
        <w:ind w:left="720" w:hanging="360"/>
      </w:pPr>
      <w:rPr>
        <w:rFonts w:ascii="Calibri" w:hAnsi="Calibri" w:hint="default"/>
      </w:rPr>
    </w:lvl>
    <w:lvl w:ilvl="1" w:tplc="A9C8E320">
      <w:start w:val="1"/>
      <w:numFmt w:val="bullet"/>
      <w:lvlText w:val="o"/>
      <w:lvlJc w:val="left"/>
      <w:pPr>
        <w:ind w:left="1440" w:hanging="360"/>
      </w:pPr>
      <w:rPr>
        <w:rFonts w:ascii="Courier New" w:hAnsi="Courier New" w:hint="default"/>
      </w:rPr>
    </w:lvl>
    <w:lvl w:ilvl="2" w:tplc="EBBC2BFA">
      <w:start w:val="1"/>
      <w:numFmt w:val="bullet"/>
      <w:lvlText w:val=""/>
      <w:lvlJc w:val="left"/>
      <w:pPr>
        <w:ind w:left="2160" w:hanging="360"/>
      </w:pPr>
      <w:rPr>
        <w:rFonts w:ascii="Wingdings" w:hAnsi="Wingdings" w:hint="default"/>
      </w:rPr>
    </w:lvl>
    <w:lvl w:ilvl="3" w:tplc="5C48A342">
      <w:start w:val="1"/>
      <w:numFmt w:val="bullet"/>
      <w:lvlText w:val=""/>
      <w:lvlJc w:val="left"/>
      <w:pPr>
        <w:ind w:left="2880" w:hanging="360"/>
      </w:pPr>
      <w:rPr>
        <w:rFonts w:ascii="Symbol" w:hAnsi="Symbol" w:hint="default"/>
      </w:rPr>
    </w:lvl>
    <w:lvl w:ilvl="4" w:tplc="A8A2E5B4">
      <w:start w:val="1"/>
      <w:numFmt w:val="bullet"/>
      <w:lvlText w:val="o"/>
      <w:lvlJc w:val="left"/>
      <w:pPr>
        <w:ind w:left="3600" w:hanging="360"/>
      </w:pPr>
      <w:rPr>
        <w:rFonts w:ascii="Courier New" w:hAnsi="Courier New" w:hint="default"/>
      </w:rPr>
    </w:lvl>
    <w:lvl w:ilvl="5" w:tplc="A9E4417E">
      <w:start w:val="1"/>
      <w:numFmt w:val="bullet"/>
      <w:lvlText w:val=""/>
      <w:lvlJc w:val="left"/>
      <w:pPr>
        <w:ind w:left="4320" w:hanging="360"/>
      </w:pPr>
      <w:rPr>
        <w:rFonts w:ascii="Wingdings" w:hAnsi="Wingdings" w:hint="default"/>
      </w:rPr>
    </w:lvl>
    <w:lvl w:ilvl="6" w:tplc="E37A5336">
      <w:start w:val="1"/>
      <w:numFmt w:val="bullet"/>
      <w:lvlText w:val=""/>
      <w:lvlJc w:val="left"/>
      <w:pPr>
        <w:ind w:left="5040" w:hanging="360"/>
      </w:pPr>
      <w:rPr>
        <w:rFonts w:ascii="Symbol" w:hAnsi="Symbol" w:hint="default"/>
      </w:rPr>
    </w:lvl>
    <w:lvl w:ilvl="7" w:tplc="A022ACCC">
      <w:start w:val="1"/>
      <w:numFmt w:val="bullet"/>
      <w:lvlText w:val="o"/>
      <w:lvlJc w:val="left"/>
      <w:pPr>
        <w:ind w:left="5760" w:hanging="360"/>
      </w:pPr>
      <w:rPr>
        <w:rFonts w:ascii="Courier New" w:hAnsi="Courier New" w:hint="default"/>
      </w:rPr>
    </w:lvl>
    <w:lvl w:ilvl="8" w:tplc="98EE6FF8">
      <w:start w:val="1"/>
      <w:numFmt w:val="bullet"/>
      <w:lvlText w:val=""/>
      <w:lvlJc w:val="left"/>
      <w:pPr>
        <w:ind w:left="6480" w:hanging="360"/>
      </w:pPr>
      <w:rPr>
        <w:rFonts w:ascii="Wingdings" w:hAnsi="Wingdings" w:hint="default"/>
      </w:rPr>
    </w:lvl>
  </w:abstractNum>
  <w:abstractNum w:abstractNumId="1" w15:restartNumberingAfterBreak="0">
    <w:nsid w:val="30282735"/>
    <w:multiLevelType w:val="multilevel"/>
    <w:tmpl w:val="BFB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B1BE6"/>
    <w:multiLevelType w:val="multilevel"/>
    <w:tmpl w:val="F3E0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531416">
    <w:abstractNumId w:val="1"/>
  </w:num>
  <w:num w:numId="2" w16cid:durableId="689529679">
    <w:abstractNumId w:val="2"/>
  </w:num>
  <w:num w:numId="3" w16cid:durableId="894926017">
    <w:abstractNumId w:val="0"/>
  </w:num>
</w:numbering>
</file>

<file path=word/settings.xml><?xml version="1.0" encoding="utf-8"?>
<w:settings xmlns:w="http://schemas.openxmlformats.org/wordprocessingml/2006/main">
  <w:zoom w:percent="14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F3752"/>
    <w:pPr>
      <w:outlineLvl w:val="0"/>
    </w:pPr>
    <w:rPr>
      <w:b/>
      <w:sz w:val="24"/>
      <w:u w:val="single"/>
    </w:rPr>
  </w:style>
  <w:style w:type="paragraph" w:styleId="Heading2">
    <w:name w:val="heading 2"/>
    <w:basedOn w:val="Title"/>
    <w:link w:val="Heading2Char"/>
    <w:uiPriority w:val="9"/>
    <w:qFormat/>
    <w:rsid w:val="004C3936"/>
    <w:pPr>
      <w:jc w:val="left"/>
      <w:outlineLvl w:val="1"/>
    </w:pPr>
    <w:rPr>
      <w:sz w:val="22"/>
      <w:u w:val="none"/>
    </w:rPr>
  </w:style>
  <w:style w:type="paragraph" w:styleId="Heading3">
    <w:name w:val="heading 3"/>
    <w:basedOn w:val="Heading2"/>
    <w:link w:val="Heading3Char"/>
    <w:uiPriority w:val="9"/>
    <w:qFormat/>
    <w:rsid w:val="005D487C"/>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936"/>
    <w:rPr>
      <w:b/>
    </w:rPr>
  </w:style>
  <w:style w:type="character" w:customStyle="1" w:styleId="Heading3Char">
    <w:name w:val="Heading 3 Char"/>
    <w:basedOn w:val="DefaultParagraphFont"/>
    <w:link w:val="Heading3"/>
    <w:uiPriority w:val="9"/>
    <w:rsid w:val="005D487C"/>
  </w:style>
  <w:style w:type="paragraph" w:styleId="NormalWeb">
    <w:name w:val="Normal (Web)"/>
    <w:basedOn w:val="Normal"/>
    <w:uiPriority w:val="99"/>
    <w:semiHidden/>
    <w:unhideWhenUsed/>
    <w:rsid w:val="007E1F2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5F3752"/>
    <w:rPr>
      <w:b/>
      <w:sz w:val="24"/>
      <w:u w:val="single"/>
    </w:rPr>
  </w:style>
  <w:style w:type="paragraph" w:styleId="Revision">
    <w:name w:val="Revision"/>
    <w:hidden/>
    <w:uiPriority w:val="99"/>
    <w:semiHidden/>
    <w:rsid w:val="00103A2F"/>
    <w:pPr>
      <w:spacing w:after="0" w:line="240" w:lineRule="auto"/>
    </w:pPr>
  </w:style>
  <w:style w:type="character" w:styleId="Hyperlink">
    <w:name w:val="Hyperlink"/>
    <w:basedOn w:val="DefaultParagraphFont"/>
    <w:uiPriority w:val="99"/>
    <w:unhideWhenUsed/>
    <w:rsid w:val="002B63C3"/>
    <w:rPr>
      <w:color w:val="0563C1" w:themeColor="hyperlink"/>
      <w:u w:val="single"/>
    </w:rPr>
  </w:style>
  <w:style w:type="character" w:styleId="UnresolvedMention">
    <w:name w:val="Unresolved Mention"/>
    <w:basedOn w:val="DefaultParagraphFont"/>
    <w:uiPriority w:val="99"/>
    <w:semiHidden/>
    <w:unhideWhenUsed/>
    <w:rsid w:val="002B63C3"/>
    <w:rPr>
      <w:color w:val="605E5C"/>
      <w:shd w:val="clear" w:color="auto" w:fill="E1DFDD"/>
    </w:rPr>
  </w:style>
  <w:style w:type="paragraph" w:styleId="Title">
    <w:name w:val="Title"/>
    <w:basedOn w:val="Heading1"/>
    <w:next w:val="Normal"/>
    <w:link w:val="TitleChar"/>
    <w:autoRedefine/>
    <w:uiPriority w:val="10"/>
    <w:qFormat/>
    <w:rsid w:val="004C3936"/>
    <w:pPr>
      <w:spacing w:line="360" w:lineRule="auto"/>
      <w:jc w:val="center"/>
    </w:pPr>
    <w:rPr>
      <w:sz w:val="28"/>
    </w:rPr>
  </w:style>
  <w:style w:type="character" w:customStyle="1" w:styleId="TitleChar">
    <w:name w:val="Title Char"/>
    <w:basedOn w:val="DefaultParagraphFont"/>
    <w:link w:val="Title"/>
    <w:uiPriority w:val="10"/>
    <w:rsid w:val="004C3936"/>
    <w:rPr>
      <w:b/>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3" Type="http://schemas.openxmlformats.org/officeDocument/2006/relationships/customXml" Target="../customXml/item3.xml"/>
<Relationship Id="rId7" Type="http://schemas.openxmlformats.org/officeDocument/2006/relationships/settings" Target="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5" Type="http://schemas.openxmlformats.org/officeDocument/2006/relationships/numbering" Target="numbering.xml"/>
<Relationship Id="rId10"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ath_Settings xmlns="3aedf1c0-925e-4524-a733-b26409c497aa" xsi:nil="true"/>
    <Members xmlns="3aedf1c0-925e-4524-a733-b26409c497aa">
      <UserInfo>
        <DisplayName/>
        <AccountId xsi:nil="true"/>
        <AccountType/>
      </UserInfo>
    </Members>
    <Self_Registration_Enabled xmlns="3aedf1c0-925e-4524-a733-b26409c497aa" xsi:nil="true"/>
    <LMS_Mappings xmlns="3aedf1c0-925e-4524-a733-b26409c497aa" xsi:nil="true"/>
    <TaxCatchAll xmlns="b3804bb9-11fa-4e2e-86f5-8d7bf731dfbd" xsi:nil="true"/>
    <FolderType xmlns="3aedf1c0-925e-4524-a733-b26409c497aa" xsi:nil="true"/>
    <AppVersion xmlns="3aedf1c0-925e-4524-a733-b26409c497aa" xsi:nil="true"/>
    <IsNotebookLocked xmlns="3aedf1c0-925e-4524-a733-b26409c497aa" xsi:nil="true"/>
    <DefaultSectionNames xmlns="3aedf1c0-925e-4524-a733-b26409c497aa" xsi:nil="true"/>
    <Templates xmlns="3aedf1c0-925e-4524-a733-b26409c497aa" xsi:nil="true"/>
    <Has_Leaders_Only_SectionGroup xmlns="3aedf1c0-925e-4524-a733-b26409c497aa" xsi:nil="true"/>
    <NotebookType xmlns="3aedf1c0-925e-4524-a733-b26409c497aa" xsi:nil="true"/>
    <lcf76f155ced4ddcb4097134ff3c332f xmlns="3aedf1c0-925e-4524-a733-b26409c497aa">
      <Terms xmlns="http://schemas.microsoft.com/office/infopath/2007/PartnerControls"/>
    </lcf76f155ced4ddcb4097134ff3c332f>
    <Is_Collaboration_Space_Locked xmlns="3aedf1c0-925e-4524-a733-b26409c497aa" xsi:nil="true"/>
    <Member_Groups xmlns="3aedf1c0-925e-4524-a733-b26409c497aa">
      <UserInfo>
        <DisplayName/>
        <AccountId xsi:nil="true"/>
        <AccountType/>
      </UserInfo>
    </Member_Groups>
    <Owner xmlns="3aedf1c0-925e-4524-a733-b26409c497aa">
      <UserInfo>
        <DisplayName/>
        <AccountId xsi:nil="true"/>
        <AccountType/>
      </UserInfo>
    </Owner>
    <Distribution_Groups xmlns="3aedf1c0-925e-4524-a733-b26409c497aa" xsi:nil="true"/>
    <PersontoInquire xmlns="3aedf1c0-925e-4524-a733-b26409c497aa">
      <UserInfo>
        <DisplayName/>
        <AccountId xsi:nil="true"/>
        <AccountType/>
      </UserInfo>
    </PersontoInquire>
    <CultureName xmlns="3aedf1c0-925e-4524-a733-b26409c497aa" xsi:nil="true"/>
    <Leaders xmlns="3aedf1c0-925e-4524-a733-b26409c497aa">
      <UserInfo>
        <DisplayName/>
        <AccountId xsi:nil="true"/>
        <AccountType/>
      </UserInfo>
    </Leaders>
    <TeamsChannelId xmlns="3aedf1c0-925e-4524-a733-b26409c497aa" xsi:nil="true"/>
    <Invited_Leaders xmlns="3aedf1c0-925e-4524-a733-b26409c497aa" xsi:nil="true"/>
    <Invited_Members xmlns="3aedf1c0-925e-4524-a733-b26409c497a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53B207407E20E42891CE4C8204B656A" ma:contentTypeVersion="40" ma:contentTypeDescription="Create a new document." ma:contentTypeScope="" ma:versionID="abb8471426c16e47caf96aed0162e2fc">
  <xsd:schema xmlns:xsd="http://www.w3.org/2001/XMLSchema" xmlns:xs="http://www.w3.org/2001/XMLSchema" xmlns:p="http://schemas.microsoft.com/office/2006/metadata/properties" xmlns:ns2="3aedf1c0-925e-4524-a733-b26409c497aa" xmlns:ns3="b3804bb9-11fa-4e2e-86f5-8d7bf731dfbd" targetNamespace="http://schemas.microsoft.com/office/2006/metadata/properties" ma:root="true" ma:fieldsID="39a5074b0b31b2ea1bf0f46b12f892f8" ns2:_="" ns3:_="">
    <xsd:import namespace="3aedf1c0-925e-4524-a733-b26409c497aa"/>
    <xsd:import namespace="b3804bb9-11fa-4e2e-86f5-8d7bf731dfbd"/>
    <xsd:element name="properties">
      <xsd:complexType>
        <xsd:sequence>
          <xsd:element name="documentManagement">
            <xsd:complexType>
              <xsd:all>
                <xsd:element ref="ns2:MediaServiceMetadata" minOccurs="0"/>
                <xsd:element ref="ns2:MediaServiceFastMetadata"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LengthInSeconds" minOccurs="0"/>
                <xsd:element ref="ns2:PersontoInquir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df1c0-925e-4524-a733-b26409c49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Leaders" ma:index="19"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0"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1"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Leaders" ma:index="24" nillable="true" ma:displayName="Invited Leaders" ma:internalName="Invited_Leaders">
      <xsd:simpleType>
        <xsd:restriction base="dms:Note">
          <xsd:maxLength value="255"/>
        </xsd:restriction>
      </xsd:simpleType>
    </xsd:element>
    <xsd:element name="Invited_Members" ma:index="25" nillable="true" ma:displayName="Invited Members" ma:internalName="Invited_Member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Leaders_Only_SectionGroup" ma:index="27" nillable="true" ma:displayName="Has Leaders Only SectionGroup" ma:internalName="Has_Leaders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Location" ma:index="42" nillable="true" ma:displayName="Location" ma:indexed="true" ma:internalName="MediaServiceLocation" ma:readOnly="true">
      <xsd:simpleType>
        <xsd:restriction base="dms:Text"/>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LengthInSeconds" ma:index="45" nillable="true" ma:displayName="MediaLengthInSeconds" ma:hidden="true" ma:internalName="MediaLengthInSeconds" ma:readOnly="true">
      <xsd:simpleType>
        <xsd:restriction base="dms:Unknown"/>
      </xsd:simpleType>
    </xsd:element>
    <xsd:element name="PersontoInquire" ma:index="46" nillable="true" ma:displayName="Person to Inquire " ma:description="who you want to inquire about the content of this folder" ma:format="Dropdown" ma:list="UserInfo" ma:SharePointGroup="0" ma:internalName="PersontoInquir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4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804bb9-11fa-4e2e-86f5-8d7bf731dfbd"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element name="TaxCatchAll" ma:index="41" nillable="true" ma:displayName="Taxonomy Catch All Column" ma:hidden="true" ma:list="{d3179969-695a-4828-9f67-e75445c6ec31}" ma:internalName="TaxCatchAll" ma:showField="CatchAllData" ma:web="b3804bb9-11fa-4e2e-86f5-8d7bf731d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1F5E1F-0057-452C-83F1-21734FEE5FC3}">
  <ds:schemaRefs>
    <ds:schemaRef ds:uri="http://schemas.microsoft.com/sharepoint/v3/contenttype/forms"/>
  </ds:schemaRefs>
</ds:datastoreItem>
</file>

<file path=customXml/itemProps2.xml><?xml version="1.0" encoding="utf-8"?>
<ds:datastoreItem xmlns:ds="http://schemas.openxmlformats.org/officeDocument/2006/customXml" ds:itemID="{076EC2B4-D46E-8942-BB71-AFDD516E1773}">
  <ds:schemaRefs>
    <ds:schemaRef ds:uri="http://schemas.openxmlformats.org/officeDocument/2006/bibliography"/>
  </ds:schemaRefs>
</ds:datastoreItem>
</file>

<file path=customXml/itemProps3.xml><?xml version="1.0" encoding="utf-8"?>
<ds:datastoreItem xmlns:ds="http://schemas.openxmlformats.org/officeDocument/2006/customXml" ds:itemID="{2750510D-F6E9-4EC4-9055-2016929B5183}">
  <ds:schemaRefs>
    <ds:schemaRef ds:uri="http://schemas.microsoft.com/office/2006/metadata/properties"/>
    <ds:schemaRef ds:uri="http://schemas.microsoft.com/office/infopath/2007/PartnerControls"/>
    <ds:schemaRef ds:uri="3aedf1c0-925e-4524-a733-b26409c497aa"/>
    <ds:schemaRef ds:uri="b3804bb9-11fa-4e2e-86f5-8d7bf731dfbd"/>
  </ds:schemaRefs>
</ds:datastoreItem>
</file>

<file path=customXml/itemProps4.xml><?xml version="1.0" encoding="utf-8"?>
<ds:datastoreItem xmlns:ds="http://schemas.openxmlformats.org/officeDocument/2006/customXml" ds:itemID="{79417CDB-B2D2-4FF3-A560-28E63ED22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df1c0-925e-4524-a733-b26409c497aa"/>
    <ds:schemaRef ds:uri="b3804bb9-11fa-4e2e-86f5-8d7bf731d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Albert Prats Uribe</dc:creator>
  <cp:keywords/>
  <dc:description/>
  <cp:lastModifiedBy>orms0426</cp:lastModifiedBy>
  <cp:revision>9</cp:revision>
  <dcterms:created xsi:type="dcterms:W3CDTF">2026-02-19T17:29:00Z</dcterms:created>
  <dcterms:modified xsi:type="dcterms:W3CDTF">2026-04-13T20:37:08Z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0x010100E53B207407E20E42891CE4C8204B656A</vt:lpwstr>
  </property>
  <property fmtid="{D5CDD505-2E9C-101B-9397-08002B2CF9AE}" pid="3" name="MediaServiceImageTags">
    <vt:lpwstr/>
  </property>
</Properties>
</file>