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353D" w14:textId="5AFBC45F" w:rsidR="00553843" w:rsidRPr="004C3936" w:rsidRDefault="00553843" w:rsidP="004C3936"/>
    <w:p>
      <w:pPr>
        <w:pStyle w:val="Title"/>
      </w:pPr>
      <w:r>
        <w:t xml:space="preserve">Clinical description for measurement_of_prostate_specific_antigen_level</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Created on 2026-04-13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Description generated by using gemini-2.5-pro (via PhenotypeR::getClinicalDescription())</w:t>
      </w:r>
    </w:p>
    <w:p>
      <w:pPr>
        <w:pStyle w:val="Normal"/>
      </w:pPr>
      <w:r>
        <w:t xml:space="preserve"/>
      </w:r>
    </w:p>
    <w:p>
      <w:pPr>
        <w:pStyle w:val="Heading1"/>
      </w:pPr>
      <w:r>
        <w:t xml:space="preserve">Introduction/ synonyms</w:t>
      </w:r>
    </w:p>
    <w:p>
      <w:pPr>
        <w:pStyle w:val="Normal"/>
      </w:pPr>
      <w:r>
        <w:t xml:space="preserve">Prostate-specific antigen, commonly abbreviated as PSA, is a protein produced by cells of the prostate gland, and its level is measured via a blood test. The measurement of prostate-specific antigen level is primarily used for the screening and early detection of prostate cancer, as well as for monitoring disease progression, response to treatment, and recurrence after treatment. Other related terms include total PSA, which measures all PSA in the blood, and free PSA, which measures the proportion not bound to other proteins and can help assess cancer risk.</w:t>
      </w:r>
    </w:p>
    <w:p>
      <w:pPr>
        <w:pStyle w:val="Heading1"/>
      </w:pPr>
      <w:r>
        <w:t xml:space="preserve">Clinical presentation/ symptoms</w:t>
      </w:r>
    </w:p>
    <w:p>
      <w:pPr>
        <w:pStyle w:val="Normal"/>
      </w:pPr>
      <w:r>
        <w:t xml:space="preserve">A measurement of prostate-specific antigen level is not a clinical presentation itself, but is a test prompted by specific clinical scenarios. It may be ordered for asymptomatic individuals as part of a screening programme based on age and risk factors. In symptomatic individuals, the test is often prompted by lower urinary tract symptoms such as increased urinary frequency, nocturia, hesitancy, a weak urinary stream, or a feeling of incomplete bladder emptying. Less commonly, it may be ordered in the context of symptoms suggestive of advanced disease, including unexplained weight loss, bone pain, or haematuria.</w:t>
      </w:r>
    </w:p>
    <w:p>
      <w:pPr>
        <w:pStyle w:val="Heading1"/>
      </w:pPr>
      <w:r>
        <w:t xml:space="preserve">Epidemiology</w:t>
      </w:r>
    </w:p>
    <w:p>
      <w:pPr>
        <w:pStyle w:val="Normal"/>
      </w:pPr>
      <w:r>
        <w:t xml:space="preserve">The measurement of prostate-specific antigen is exclusively performed in males, with the frequency of testing increasing significantly with age, typically starting from 40 or 50 years old. An elevated level is more common in older men. Non-modifiable risk factors for an elevated level attributable to prostate cancer include increasing age, Black ethnicity, and a positive family history of the disease. Modifiable factors that can transiently elevate prostate-specific antigen levels include recent ejaculation, vigorous exercise, and recent urological instrumentation. Common comorbidities in the population undergoing testing include benign prostatic hyperplasia, hypertension, and cardiovascular disease.</w:t>
      </w:r>
    </w:p>
    <w:p>
      <w:pPr>
        <w:pStyle w:val="Heading1"/>
      </w:pPr>
      <w:r>
        <w:t xml:space="preserve">Assessment/ diagnosis</w:t>
      </w:r>
    </w:p>
    <w:p>
      <w:pPr>
        <w:pStyle w:val="Normal"/>
      </w:pPr>
      <w:r>
        <w:t xml:space="preserve">An elevated prostate-specific antigen level is not a diagnosis but an indicator that requires further investigation. The threshold for defining an elevated level varies by age and clinical guidelines, but is often cited as greater than 4.0 nanograms per millilitre (ng/mL). Assessment involves a comprehensive medical history and a digital rectal examination to check for prostate abnormalities. Further steps may include a repeat test, calculation of the free-to-total PSA ratio, PSA density, or PSA velocity, and newer biomarkers. The definitive diagnosis of prostate cancer, which is the primary concern, is made through a transrectal or transperineal ultrasound-guided prostate biopsy.</w:t>
      </w:r>
    </w:p>
    <w:p>
      <w:pPr>
        <w:pStyle w:val="Heading1"/>
      </w:pPr>
      <w:r>
        <w:t xml:space="preserve">Therapeutic plan/ treatment</w:t>
      </w:r>
    </w:p>
    <w:p>
      <w:pPr>
        <w:pStyle w:val="Normal"/>
      </w:pPr>
      <w:r>
        <w:t xml:space="preserve">Treatment is directed at the underlying cause of an elevated prostate-specific antigen level, not the level itself. If prostatitis is diagnosed, a course of antibiotics is typically prescribed. For benign prostatic hyperplasia causing symptoms, initial treatment may involve alpha-blockers like tamsulosin or 5-alpha-reductase inhibitors such as finasteride. If prostate cancer is confirmed, the therapeutic plan depends on the cancer's stage, grade, and the patient's overall health and preferences, with options including active surveillance, radical prostatectomy, radiotherapy, or androgen deprivation therapy. Following treatment for cancer, serial prostate-specific antigen measurements are used to monitor for recurrence.</w:t>
      </w:r>
    </w:p>
    <w:p>
      <w:pPr>
        <w:pStyle w:val="Heading1"/>
      </w:pPr>
      <w:r>
        <w:t xml:space="preserve">Complications and prognosis</w:t>
      </w:r>
    </w:p>
    <w:p>
      <w:pPr>
        <w:pStyle w:val="Normal"/>
      </w:pPr>
      <w:r>
        <w:t xml:space="preserve">Complications are not associated with the blood test itself but with the subsequent diagnostic and treatment pathways. Overdiagnosis, the detection of low-risk cancers that would not have caused harm, can lead to overtreatment and its associated complications, including erectile dysfunction, urinary incontinence, and bowel dysfunction. A prostate biopsy carries risks of bleeding, pain, and infection. In the context of diagnosed prostate cancer, the prostate-specific antigen level is a key prognostic indicator; a higher level at diagnosis or a rapidly rising level is associated with a poorer prognosis. A sustained low or undetectable level after treatment suggests a favourable prognosis.</w:t>
      </w:r>
    </w:p>
    <w:p>
      <w:pPr>
        <w:pStyle w:val="Heading1"/>
      </w:pPr>
      <w:r>
        <w:t xml:space="preserve">Disqualifiers/ differential diagnoses</w:t>
      </w:r>
    </w:p>
    <w:p>
      <w:pPr>
        <w:pStyle w:val="Normal"/>
      </w:pPr>
      <w:r>
        <w:t xml:space="preserve">Several conditions other than prostate cancer can cause an elevated prostate-specific antigen level and must be considered as differential diagnoses. These disqualifying or confounding factors include benign prostatic hyperplasia, which is a common non-cancerous enlargement of the prostate, and prostatitis, which is inflammation or infection of the prostate. Other potential causes include urinary tract infection, recent ejaculation, and recent prostate manipulation from procedures such as a digital rectal examination, cystoscopy, or bladder catheterisation. These possibilities are usually considered at the time of the initial elevated result, often leading to a repeat test after a period to allow the level to normalise before considering more invasive procedures.</w:t>
      </w:r>
    </w:p>
    <w:sectPr w:rsidR="00553843" w:rsidRPr="004C39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1C"/>
    <w:multiLevelType w:val="hybridMultilevel"/>
    <w:tmpl w:val="FD7E8E22"/>
    <w:lvl w:ilvl="0" w:tplc="5726E786">
      <w:start w:val="1"/>
      <w:numFmt w:val="bullet"/>
      <w:lvlText w:val="-"/>
      <w:lvlJc w:val="left"/>
      <w:pPr>
        <w:ind w:left="720" w:hanging="360"/>
      </w:pPr>
      <w:rPr>
        <w:rFonts w:ascii="Calibri" w:hAnsi="Calibri" w:hint="default"/>
      </w:rPr>
    </w:lvl>
    <w:lvl w:ilvl="1" w:tplc="A9C8E320">
      <w:start w:val="1"/>
      <w:numFmt w:val="bullet"/>
      <w:lvlText w:val="o"/>
      <w:lvlJc w:val="left"/>
      <w:pPr>
        <w:ind w:left="1440" w:hanging="360"/>
      </w:pPr>
      <w:rPr>
        <w:rFonts w:ascii="Courier New" w:hAnsi="Courier New" w:hint="default"/>
      </w:rPr>
    </w:lvl>
    <w:lvl w:ilvl="2" w:tplc="EBBC2BFA">
      <w:start w:val="1"/>
      <w:numFmt w:val="bullet"/>
      <w:lvlText w:val=""/>
      <w:lvlJc w:val="left"/>
      <w:pPr>
        <w:ind w:left="2160" w:hanging="360"/>
      </w:pPr>
      <w:rPr>
        <w:rFonts w:ascii="Wingdings" w:hAnsi="Wingdings" w:hint="default"/>
      </w:rPr>
    </w:lvl>
    <w:lvl w:ilvl="3" w:tplc="5C48A342">
      <w:start w:val="1"/>
      <w:numFmt w:val="bullet"/>
      <w:lvlText w:val=""/>
      <w:lvlJc w:val="left"/>
      <w:pPr>
        <w:ind w:left="2880" w:hanging="360"/>
      </w:pPr>
      <w:rPr>
        <w:rFonts w:ascii="Symbol" w:hAnsi="Symbol" w:hint="default"/>
      </w:rPr>
    </w:lvl>
    <w:lvl w:ilvl="4" w:tplc="A8A2E5B4">
      <w:start w:val="1"/>
      <w:numFmt w:val="bullet"/>
      <w:lvlText w:val="o"/>
      <w:lvlJc w:val="left"/>
      <w:pPr>
        <w:ind w:left="3600" w:hanging="360"/>
      </w:pPr>
      <w:rPr>
        <w:rFonts w:ascii="Courier New" w:hAnsi="Courier New" w:hint="default"/>
      </w:rPr>
    </w:lvl>
    <w:lvl w:ilvl="5" w:tplc="A9E4417E">
      <w:start w:val="1"/>
      <w:numFmt w:val="bullet"/>
      <w:lvlText w:val=""/>
      <w:lvlJc w:val="left"/>
      <w:pPr>
        <w:ind w:left="4320" w:hanging="360"/>
      </w:pPr>
      <w:rPr>
        <w:rFonts w:ascii="Wingdings" w:hAnsi="Wingdings" w:hint="default"/>
      </w:rPr>
    </w:lvl>
    <w:lvl w:ilvl="6" w:tplc="E37A5336">
      <w:start w:val="1"/>
      <w:numFmt w:val="bullet"/>
      <w:lvlText w:val=""/>
      <w:lvlJc w:val="left"/>
      <w:pPr>
        <w:ind w:left="5040" w:hanging="360"/>
      </w:pPr>
      <w:rPr>
        <w:rFonts w:ascii="Symbol" w:hAnsi="Symbol" w:hint="default"/>
      </w:rPr>
    </w:lvl>
    <w:lvl w:ilvl="7" w:tplc="A022ACCC">
      <w:start w:val="1"/>
      <w:numFmt w:val="bullet"/>
      <w:lvlText w:val="o"/>
      <w:lvlJc w:val="left"/>
      <w:pPr>
        <w:ind w:left="5760" w:hanging="360"/>
      </w:pPr>
      <w:rPr>
        <w:rFonts w:ascii="Courier New" w:hAnsi="Courier New" w:hint="default"/>
      </w:rPr>
    </w:lvl>
    <w:lvl w:ilvl="8" w:tplc="98EE6FF8">
      <w:start w:val="1"/>
      <w:numFmt w:val="bullet"/>
      <w:lvlText w:val=""/>
      <w:lvlJc w:val="left"/>
      <w:pPr>
        <w:ind w:left="6480" w:hanging="360"/>
      </w:pPr>
      <w:rPr>
        <w:rFonts w:ascii="Wingdings" w:hAnsi="Wingdings" w:hint="default"/>
      </w:rPr>
    </w:lvl>
  </w:abstractNum>
  <w:abstractNum w:abstractNumId="1" w15:restartNumberingAfterBreak="0">
    <w:nsid w:val="30282735"/>
    <w:multiLevelType w:val="multilevel"/>
    <w:tmpl w:val="BF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BE6"/>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1416">
    <w:abstractNumId w:val="1"/>
  </w:num>
  <w:num w:numId="2" w16cid:durableId="689529679">
    <w:abstractNumId w:val="2"/>
  </w:num>
  <w:num w:numId="3" w16cid:durableId="894926017">
    <w:abstractNumId w:val="0"/>
  </w:num>
</w:numbering>
</file>

<file path=word/settings.xml><?xml version="1.0" encoding="utf-8"?>
<w:settings xmlns:w="http://schemas.openxmlformats.org/wordprocessingml/2006/main">
  <w:zoom w:percent="14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F3752"/>
    <w:pPr>
      <w:outlineLvl w:val="0"/>
    </w:pPr>
    <w:rPr>
      <w:b/>
      <w:sz w:val="24"/>
      <w:u w:val="single"/>
    </w:rPr>
  </w:style>
  <w:style w:type="paragraph" w:styleId="Heading2">
    <w:name w:val="heading 2"/>
    <w:basedOn w:val="Title"/>
    <w:link w:val="Heading2Char"/>
    <w:uiPriority w:val="9"/>
    <w:qFormat/>
    <w:rsid w:val="004C3936"/>
    <w:pPr>
      <w:jc w:val="left"/>
      <w:outlineLvl w:val="1"/>
    </w:pPr>
    <w:rPr>
      <w:sz w:val="22"/>
      <w:u w:val="none"/>
    </w:rPr>
  </w:style>
  <w:style w:type="paragraph" w:styleId="Heading3">
    <w:name w:val="heading 3"/>
    <w:basedOn w:val="Heading2"/>
    <w:link w:val="Heading3Char"/>
    <w:uiPriority w:val="9"/>
    <w:qFormat/>
    <w:rsid w:val="005D487C"/>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936"/>
    <w:rPr>
      <w:b/>
    </w:rPr>
  </w:style>
  <w:style w:type="character" w:customStyle="1" w:styleId="Heading3Char">
    <w:name w:val="Heading 3 Char"/>
    <w:basedOn w:val="DefaultParagraphFont"/>
    <w:link w:val="Heading3"/>
    <w:uiPriority w:val="9"/>
    <w:rsid w:val="005D487C"/>
  </w:style>
  <w:style w:type="paragraph" w:styleId="NormalWeb">
    <w:name w:val="Normal (Web)"/>
    <w:basedOn w:val="Normal"/>
    <w:uiPriority w:val="99"/>
    <w:semiHidden/>
    <w:unhideWhenUsed/>
    <w:rsid w:val="007E1F2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5F3752"/>
    <w:rPr>
      <w:b/>
      <w:sz w:val="24"/>
      <w:u w:val="single"/>
    </w:rPr>
  </w:style>
  <w:style w:type="paragraph" w:styleId="Revision">
    <w:name w:val="Revision"/>
    <w:hidden/>
    <w:uiPriority w:val="99"/>
    <w:semiHidden/>
    <w:rsid w:val="00103A2F"/>
    <w:pPr>
      <w:spacing w:after="0" w:line="240" w:lineRule="auto"/>
    </w:pPr>
  </w:style>
  <w:style w:type="character" w:styleId="Hyperlink">
    <w:name w:val="Hyperlink"/>
    <w:basedOn w:val="DefaultParagraphFont"/>
    <w:uiPriority w:val="99"/>
    <w:unhideWhenUsed/>
    <w:rsid w:val="002B63C3"/>
    <w:rPr>
      <w:color w:val="0563C1" w:themeColor="hyperlink"/>
      <w:u w:val="single"/>
    </w:rPr>
  </w:style>
  <w:style w:type="character" w:styleId="UnresolvedMention">
    <w:name w:val="Unresolved Mention"/>
    <w:basedOn w:val="DefaultParagraphFont"/>
    <w:uiPriority w:val="99"/>
    <w:semiHidden/>
    <w:unhideWhenUsed/>
    <w:rsid w:val="002B63C3"/>
    <w:rPr>
      <w:color w:val="605E5C"/>
      <w:shd w:val="clear" w:color="auto" w:fill="E1DFDD"/>
    </w:rPr>
  </w:style>
  <w:style w:type="paragraph" w:styleId="Title">
    <w:name w:val="Title"/>
    <w:basedOn w:val="Heading1"/>
    <w:next w:val="Normal"/>
    <w:link w:val="TitleChar"/>
    <w:autoRedefine/>
    <w:uiPriority w:val="10"/>
    <w:qFormat/>
    <w:rsid w:val="004C3936"/>
    <w:pPr>
      <w:spacing w:line="360" w:lineRule="auto"/>
      <w:jc w:val="center"/>
    </w:pPr>
    <w:rPr>
      <w:sz w:val="28"/>
    </w:rPr>
  </w:style>
  <w:style w:type="character" w:customStyle="1" w:styleId="TitleChar">
    <w:name w:val="Title Char"/>
    <w:basedOn w:val="DefaultParagraphFont"/>
    <w:link w:val="Title"/>
    <w:uiPriority w:val="10"/>
    <w:rsid w:val="004C3936"/>
    <w:rPr>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abb8471426c16e47caf96aed0162e2fc">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39a5074b0b31b2ea1bf0f46b12f892f8"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F5E1F-0057-452C-83F1-21734FEE5FC3}">
  <ds:schemaRefs>
    <ds:schemaRef ds:uri="http://schemas.microsoft.com/sharepoint/v3/contenttype/forms"/>
  </ds:schemaRefs>
</ds:datastoreItem>
</file>

<file path=customXml/itemProps2.xml><?xml version="1.0" encoding="utf-8"?>
<ds:datastoreItem xmlns:ds="http://schemas.openxmlformats.org/officeDocument/2006/customXml" ds:itemID="{076EC2B4-D46E-8942-BB71-AFDD516E1773}">
  <ds:schemaRefs>
    <ds:schemaRef ds:uri="http://schemas.openxmlformats.org/officeDocument/2006/bibliography"/>
  </ds:schemaRefs>
</ds:datastoreItem>
</file>

<file path=customXml/itemProps3.xml><?xml version="1.0" encoding="utf-8"?>
<ds:datastoreItem xmlns:ds="http://schemas.openxmlformats.org/officeDocument/2006/customXml" ds:itemID="{2750510D-F6E9-4EC4-9055-2016929B5183}">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customXml/itemProps4.xml><?xml version="1.0" encoding="utf-8"?>
<ds:datastoreItem xmlns:ds="http://schemas.openxmlformats.org/officeDocument/2006/customXml" ds:itemID="{79417CDB-B2D2-4FF3-A560-28E63ED2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Albert Prats Uribe</dc:creator>
  <cp:keywords/>
  <dc:description/>
  <cp:lastModifiedBy>orms0426</cp:lastModifiedBy>
  <cp:revision>9</cp:revision>
  <dcterms:created xsi:type="dcterms:W3CDTF">2026-02-19T17:29:00Z</dcterms:created>
  <dcterms:modified xsi:type="dcterms:W3CDTF">2026-04-13T20:38:22Z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