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BB86A" w14:textId="2DEF2355" w:rsidR="00D82111" w:rsidRDefault="00D82111">
      <w:pPr>
        <w:rPr>
          <w:b/>
          <w:bCs/>
        </w:rPr>
      </w:pPr>
      <w:r>
        <w:rPr>
          <w:b/>
          <w:bCs/>
        </w:rPr>
        <w:t>external_exposure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7"/>
        <w:gridCol w:w="3538"/>
        <w:gridCol w:w="2610"/>
        <w:gridCol w:w="2605"/>
      </w:tblGrid>
      <w:tr w:rsidR="00522CF7" w14:paraId="1E65541F" w14:textId="5F88CFE6" w:rsidTr="00FD4CB8">
        <w:trPr>
          <w:tblHeader/>
        </w:trPr>
        <w:tc>
          <w:tcPr>
            <w:tcW w:w="4197" w:type="dxa"/>
          </w:tcPr>
          <w:p w14:paraId="04EB4D5B" w14:textId="14DE414F" w:rsidR="00522CF7" w:rsidRPr="00607A9A" w:rsidRDefault="00522CF7">
            <w:pPr>
              <w:rPr>
                <w:b/>
                <w:bCs/>
              </w:rPr>
            </w:pPr>
            <w:r w:rsidRPr="00607A9A">
              <w:rPr>
                <w:b/>
                <w:bCs/>
              </w:rPr>
              <w:t>CDM Field</w:t>
            </w:r>
          </w:p>
        </w:tc>
        <w:tc>
          <w:tcPr>
            <w:tcW w:w="3538" w:type="dxa"/>
          </w:tcPr>
          <w:p w14:paraId="52035959" w14:textId="2B29DD7F" w:rsidR="00522CF7" w:rsidRPr="00607A9A" w:rsidRDefault="00522CF7">
            <w:pPr>
              <w:rPr>
                <w:b/>
                <w:bCs/>
              </w:rPr>
            </w:pPr>
            <w:r w:rsidRPr="00607A9A">
              <w:rPr>
                <w:b/>
                <w:bCs/>
              </w:rPr>
              <w:t>User Guide</w:t>
            </w:r>
          </w:p>
        </w:tc>
        <w:tc>
          <w:tcPr>
            <w:tcW w:w="2610" w:type="dxa"/>
          </w:tcPr>
          <w:p w14:paraId="65879B7F" w14:textId="7B7FBE38" w:rsidR="00522CF7" w:rsidRPr="00607A9A" w:rsidRDefault="00522CF7">
            <w:pPr>
              <w:rPr>
                <w:b/>
                <w:bCs/>
              </w:rPr>
            </w:pPr>
            <w:r w:rsidRPr="00607A9A">
              <w:rPr>
                <w:b/>
                <w:bCs/>
              </w:rPr>
              <w:t xml:space="preserve">Example </w:t>
            </w:r>
            <w:r>
              <w:rPr>
                <w:b/>
                <w:bCs/>
              </w:rPr>
              <w:t xml:space="preserve">#1 </w:t>
            </w:r>
            <w:r w:rsidRPr="00607A9A">
              <w:rPr>
                <w:b/>
                <w:bCs/>
              </w:rPr>
              <w:t>Senegal/Cameroon WG Use Case</w:t>
            </w:r>
          </w:p>
        </w:tc>
        <w:tc>
          <w:tcPr>
            <w:tcW w:w="2605" w:type="dxa"/>
          </w:tcPr>
          <w:p w14:paraId="1E9CA5F7" w14:textId="2EC266B0" w:rsidR="00522CF7" w:rsidRPr="00607A9A" w:rsidRDefault="00522CF7">
            <w:pPr>
              <w:rPr>
                <w:b/>
                <w:bCs/>
              </w:rPr>
            </w:pPr>
            <w:r w:rsidRPr="00607A9A">
              <w:rPr>
                <w:b/>
                <w:bCs/>
              </w:rPr>
              <w:t xml:space="preserve">Example </w:t>
            </w:r>
            <w:r>
              <w:rPr>
                <w:b/>
                <w:bCs/>
              </w:rPr>
              <w:t xml:space="preserve">#2 </w:t>
            </w:r>
            <w:r w:rsidRPr="00607A9A">
              <w:rPr>
                <w:b/>
                <w:bCs/>
              </w:rPr>
              <w:t>Senegal/Cameroon WG Use Case</w:t>
            </w:r>
          </w:p>
        </w:tc>
      </w:tr>
      <w:tr w:rsidR="00522CF7" w14:paraId="66957D33" w14:textId="280B6032" w:rsidTr="00FD4CB8">
        <w:tc>
          <w:tcPr>
            <w:tcW w:w="4197" w:type="dxa"/>
          </w:tcPr>
          <w:p w14:paraId="157FFA78" w14:textId="60CA8227" w:rsidR="00522CF7" w:rsidRDefault="00522CF7">
            <w:pPr>
              <w:rPr>
                <w:b/>
                <w:bCs/>
              </w:rPr>
            </w:pPr>
            <w:r>
              <w:t>external_exposure_id</w:t>
            </w:r>
          </w:p>
        </w:tc>
        <w:tc>
          <w:tcPr>
            <w:tcW w:w="3538" w:type="dxa"/>
          </w:tcPr>
          <w:p w14:paraId="69B88364" w14:textId="22695875" w:rsidR="00522CF7" w:rsidRPr="00F07E34" w:rsidRDefault="00522CF7">
            <w:r>
              <w:t>p</w:t>
            </w:r>
            <w:r w:rsidRPr="00F07E34">
              <w:t>rimary key identifier</w:t>
            </w:r>
          </w:p>
        </w:tc>
        <w:tc>
          <w:tcPr>
            <w:tcW w:w="2610" w:type="dxa"/>
          </w:tcPr>
          <w:p w14:paraId="5B0A4F2C" w14:textId="77777777" w:rsidR="00522CF7" w:rsidRDefault="00522CF7"/>
        </w:tc>
        <w:tc>
          <w:tcPr>
            <w:tcW w:w="2605" w:type="dxa"/>
          </w:tcPr>
          <w:p w14:paraId="5776147C" w14:textId="77777777" w:rsidR="00522CF7" w:rsidRDefault="00522CF7"/>
        </w:tc>
      </w:tr>
      <w:tr w:rsidR="00522CF7" w:rsidRPr="00860A33" w14:paraId="0180062A" w14:textId="685E327C" w:rsidTr="00FD4CB8">
        <w:tc>
          <w:tcPr>
            <w:tcW w:w="4197" w:type="dxa"/>
          </w:tcPr>
          <w:p w14:paraId="6E1BBC41" w14:textId="611A4C24" w:rsidR="00522CF7" w:rsidRPr="00860A33" w:rsidRDefault="00522CF7">
            <w:r w:rsidRPr="00860A33">
              <w:t>external_exposure_era_id</w:t>
            </w:r>
          </w:p>
        </w:tc>
        <w:tc>
          <w:tcPr>
            <w:tcW w:w="3538" w:type="dxa"/>
          </w:tcPr>
          <w:p w14:paraId="3911F8BC" w14:textId="238427F0" w:rsidR="00522CF7" w:rsidRPr="00860A33" w:rsidRDefault="00522CF7">
            <w:pPr>
              <w:rPr>
                <w:i/>
                <w:iCs/>
              </w:rPr>
            </w:pPr>
            <w:r w:rsidRPr="00860A33">
              <w:t>foreign key to the era in which the external_exposure participates</w:t>
            </w:r>
            <w:r w:rsidR="00EE7FB5">
              <w:rPr>
                <w:rStyle w:val="FootnoteReference"/>
              </w:rPr>
              <w:footnoteReference w:id="1"/>
            </w:r>
          </w:p>
        </w:tc>
        <w:tc>
          <w:tcPr>
            <w:tcW w:w="2610" w:type="dxa"/>
          </w:tcPr>
          <w:p w14:paraId="6058B730" w14:textId="77777777" w:rsidR="00522CF7" w:rsidRPr="00860A33" w:rsidRDefault="00522CF7"/>
        </w:tc>
        <w:tc>
          <w:tcPr>
            <w:tcW w:w="2605" w:type="dxa"/>
          </w:tcPr>
          <w:p w14:paraId="00C39B83" w14:textId="77777777" w:rsidR="00522CF7" w:rsidRPr="00860A33" w:rsidRDefault="00522CF7"/>
        </w:tc>
      </w:tr>
      <w:tr w:rsidR="00522CF7" w:rsidRPr="00D82111" w14:paraId="549E00D5" w14:textId="6B44A847" w:rsidTr="00FD4CB8">
        <w:tc>
          <w:tcPr>
            <w:tcW w:w="4197" w:type="dxa"/>
          </w:tcPr>
          <w:p w14:paraId="0FF1009F" w14:textId="6A597552" w:rsidR="00522CF7" w:rsidRPr="00D82111" w:rsidRDefault="00522CF7">
            <w:r>
              <w:t>p</w:t>
            </w:r>
            <w:r w:rsidRPr="00D82111">
              <w:t>erson_id</w:t>
            </w:r>
          </w:p>
        </w:tc>
        <w:tc>
          <w:tcPr>
            <w:tcW w:w="3538" w:type="dxa"/>
          </w:tcPr>
          <w:p w14:paraId="2BB1873D" w14:textId="241AA514" w:rsidR="00522CF7" w:rsidRPr="00D82111" w:rsidRDefault="00522CF7">
            <w:r>
              <w:t>foreign key to person table</w:t>
            </w:r>
          </w:p>
        </w:tc>
        <w:tc>
          <w:tcPr>
            <w:tcW w:w="2610" w:type="dxa"/>
          </w:tcPr>
          <w:p w14:paraId="1BA1227D" w14:textId="77777777" w:rsidR="00522CF7" w:rsidRDefault="00522CF7"/>
        </w:tc>
        <w:tc>
          <w:tcPr>
            <w:tcW w:w="2605" w:type="dxa"/>
          </w:tcPr>
          <w:p w14:paraId="43F892AB" w14:textId="77777777" w:rsidR="00522CF7" w:rsidRDefault="00522CF7"/>
        </w:tc>
      </w:tr>
      <w:tr w:rsidR="00522CF7" w:rsidRPr="00D82111" w14:paraId="5631027A" w14:textId="005AEBEB" w:rsidTr="00FD4CB8">
        <w:tc>
          <w:tcPr>
            <w:tcW w:w="4197" w:type="dxa"/>
          </w:tcPr>
          <w:p w14:paraId="052484B4" w14:textId="1086A6C4" w:rsidR="00522CF7" w:rsidRDefault="00522CF7">
            <w:r>
              <w:t>external_exposure_concept_id</w:t>
            </w:r>
          </w:p>
        </w:tc>
        <w:tc>
          <w:tcPr>
            <w:tcW w:w="3538" w:type="dxa"/>
          </w:tcPr>
          <w:p w14:paraId="650399D2" w14:textId="5629551E" w:rsidR="00522CF7" w:rsidRPr="00FE2500" w:rsidRDefault="00522CF7">
            <w:r w:rsidRPr="00FE2500">
              <w:t>concept from an OMOP GIS vocabulary representing the external exposure measured property</w:t>
            </w:r>
            <w:r>
              <w:t xml:space="preserve"> like high temperature</w:t>
            </w:r>
          </w:p>
        </w:tc>
        <w:tc>
          <w:tcPr>
            <w:tcW w:w="2610" w:type="dxa"/>
          </w:tcPr>
          <w:p w14:paraId="28F836B2" w14:textId="48DCF664" w:rsidR="00522CF7" w:rsidRPr="00FE2500" w:rsidRDefault="00522CF7">
            <w:r w:rsidRPr="004E689B">
              <w:t>ENVO</w:t>
            </w:r>
            <w:r w:rsidR="00D22F20">
              <w:t>_</w:t>
            </w:r>
            <w:r w:rsidRPr="004E689B">
              <w:t>01000415</w:t>
            </w:r>
            <w:r>
              <w:br/>
            </w:r>
            <w:r w:rsidR="00F42224">
              <w:rPr>
                <w:i/>
                <w:iCs/>
              </w:rPr>
              <w:t>c</w:t>
            </w:r>
            <w:r w:rsidRPr="00CB7F56">
              <w:rPr>
                <w:i/>
                <w:iCs/>
              </w:rPr>
              <w:t xml:space="preserve">oncept_id for </w:t>
            </w:r>
            <w:r w:rsidR="00FD4CB8">
              <w:rPr>
                <w:i/>
                <w:iCs/>
              </w:rPr>
              <w:t>“</w:t>
            </w:r>
            <w:r w:rsidRPr="00CB7F56">
              <w:rPr>
                <w:i/>
                <w:iCs/>
              </w:rPr>
              <w:t>PM2.5</w:t>
            </w:r>
            <w:r w:rsidR="00FD4CB8">
              <w:rPr>
                <w:i/>
                <w:iCs/>
              </w:rPr>
              <w:t>”</w:t>
            </w:r>
            <w:r w:rsidRPr="00CB7F56">
              <w:rPr>
                <w:i/>
                <w:iCs/>
              </w:rPr>
              <w:t xml:space="preserve"> in the ECTO</w:t>
            </w:r>
            <w:r w:rsidR="00EE7FB5">
              <w:rPr>
                <w:rStyle w:val="FootnoteReference"/>
                <w:i/>
                <w:iCs/>
              </w:rPr>
              <w:footnoteReference w:id="2"/>
            </w:r>
            <w:r w:rsidRPr="00CB7F56">
              <w:rPr>
                <w:i/>
                <w:iCs/>
              </w:rPr>
              <w:t xml:space="preserve"> ontology</w:t>
            </w:r>
          </w:p>
        </w:tc>
        <w:tc>
          <w:tcPr>
            <w:tcW w:w="2605" w:type="dxa"/>
          </w:tcPr>
          <w:p w14:paraId="3B1954F0" w14:textId="1A3AC72C" w:rsidR="00522CF7" w:rsidRPr="004E689B" w:rsidRDefault="00E627FB">
            <w:r w:rsidRPr="004E689B">
              <w:t>ENVO</w:t>
            </w:r>
            <w:r w:rsidR="00D22F20">
              <w:t>_</w:t>
            </w:r>
            <w:r w:rsidRPr="004E689B">
              <w:t>01000415</w:t>
            </w:r>
            <w:r>
              <w:br/>
            </w:r>
            <w:r w:rsidRPr="00CB7F56">
              <w:rPr>
                <w:i/>
                <w:iCs/>
              </w:rPr>
              <w:t xml:space="preserve">concept_id for </w:t>
            </w:r>
            <w:r w:rsidR="00FD4CB8">
              <w:rPr>
                <w:i/>
                <w:iCs/>
              </w:rPr>
              <w:t>“</w:t>
            </w:r>
            <w:r w:rsidRPr="00CB7F56">
              <w:rPr>
                <w:i/>
                <w:iCs/>
              </w:rPr>
              <w:t>PM2.5</w:t>
            </w:r>
            <w:r w:rsidR="00FD4CB8">
              <w:rPr>
                <w:i/>
                <w:iCs/>
              </w:rPr>
              <w:t>”</w:t>
            </w:r>
            <w:r w:rsidRPr="00CB7F56">
              <w:rPr>
                <w:i/>
                <w:iCs/>
              </w:rPr>
              <w:t xml:space="preserve"> in the ECTO ontology</w:t>
            </w:r>
          </w:p>
        </w:tc>
      </w:tr>
      <w:tr w:rsidR="00522CF7" w:rsidRPr="00BF44A6" w14:paraId="66F074EF" w14:textId="7ED10374" w:rsidTr="00FD4CB8">
        <w:tc>
          <w:tcPr>
            <w:tcW w:w="4197" w:type="dxa"/>
          </w:tcPr>
          <w:p w14:paraId="3CEB0E4E" w14:textId="4AA5EE2C" w:rsidR="00522CF7" w:rsidRPr="00A7786E" w:rsidRDefault="00522CF7">
            <w:r w:rsidRPr="00A7786E">
              <w:t>statistic_concept_id</w:t>
            </w:r>
          </w:p>
        </w:tc>
        <w:tc>
          <w:tcPr>
            <w:tcW w:w="3538" w:type="dxa"/>
          </w:tcPr>
          <w:p w14:paraId="20909D54" w14:textId="5C46BBFD" w:rsidR="00522CF7" w:rsidRPr="00A7786E" w:rsidRDefault="00522CF7">
            <w:r w:rsidRPr="00A7786E">
              <w:t>concept for a statistic like “mean”, “</w:t>
            </w:r>
            <w:r w:rsidR="004F4932">
              <w:t>count</w:t>
            </w:r>
            <w:r w:rsidRPr="00A7786E">
              <w:t>”, “95</w:t>
            </w:r>
            <w:r w:rsidRPr="00A7786E">
              <w:rPr>
                <w:vertAlign w:val="superscript"/>
              </w:rPr>
              <w:t>th</w:t>
            </w:r>
            <w:r w:rsidRPr="00A7786E">
              <w:t xml:space="preserve"> percentile</w:t>
            </w:r>
            <w:r>
              <w:t>”</w:t>
            </w:r>
            <w:r w:rsidRPr="00A7786E">
              <w:t>, “exceedance probability”</w:t>
            </w:r>
          </w:p>
        </w:tc>
        <w:tc>
          <w:tcPr>
            <w:tcW w:w="2610" w:type="dxa"/>
          </w:tcPr>
          <w:p w14:paraId="06AB0DE2" w14:textId="77C9670D" w:rsidR="00CB7F56" w:rsidRPr="00CB7F56" w:rsidRDefault="00CB7F56" w:rsidP="00CB7F56">
            <w:r w:rsidRPr="00CB7F56">
              <w:t>STATO_0000047</w:t>
            </w:r>
            <w:r>
              <w:br/>
            </w:r>
            <w:r w:rsidRPr="00CB7F56">
              <w:rPr>
                <w:i/>
                <w:iCs/>
              </w:rPr>
              <w:t>concept_i</w:t>
            </w:r>
            <w:r w:rsidR="00F42224">
              <w:rPr>
                <w:i/>
                <w:iCs/>
              </w:rPr>
              <w:t xml:space="preserve">d </w:t>
            </w:r>
            <w:r w:rsidRPr="00CB7F56">
              <w:rPr>
                <w:i/>
                <w:iCs/>
              </w:rPr>
              <w:t>f</w:t>
            </w:r>
            <w:r w:rsidR="00F42224">
              <w:rPr>
                <w:i/>
                <w:iCs/>
              </w:rPr>
              <w:t>or</w:t>
            </w:r>
            <w:r w:rsidRPr="00CB7F56">
              <w:rPr>
                <w:i/>
                <w:iCs/>
              </w:rPr>
              <w:t xml:space="preserve"> a </w:t>
            </w:r>
            <w:r w:rsidR="00FD4CB8">
              <w:rPr>
                <w:i/>
                <w:iCs/>
              </w:rPr>
              <w:t>“</w:t>
            </w:r>
            <w:r w:rsidRPr="00CB7F56">
              <w:rPr>
                <w:i/>
                <w:iCs/>
              </w:rPr>
              <w:t>count</w:t>
            </w:r>
            <w:r w:rsidR="00FD4CB8">
              <w:rPr>
                <w:i/>
                <w:iCs/>
              </w:rPr>
              <w:t>”</w:t>
            </w:r>
            <w:r w:rsidRPr="00CB7F56">
              <w:rPr>
                <w:i/>
                <w:iCs/>
              </w:rPr>
              <w:t xml:space="preserve"> in STATO</w:t>
            </w:r>
          </w:p>
        </w:tc>
        <w:tc>
          <w:tcPr>
            <w:tcW w:w="2605" w:type="dxa"/>
          </w:tcPr>
          <w:p w14:paraId="337E7A05" w14:textId="532F528E" w:rsidR="00522CF7" w:rsidRDefault="00CB7F56">
            <w:r w:rsidRPr="00CB7F56">
              <w:t>STATO_0000573</w:t>
            </w:r>
            <w:r>
              <w:br/>
            </w:r>
            <w:r w:rsidRPr="00CB7F56">
              <w:rPr>
                <w:i/>
                <w:iCs/>
              </w:rPr>
              <w:t xml:space="preserve">concept_id </w:t>
            </w:r>
            <w:r w:rsidR="00F42224">
              <w:rPr>
                <w:i/>
                <w:iCs/>
              </w:rPr>
              <w:t>for</w:t>
            </w:r>
            <w:r w:rsidRPr="00CB7F56">
              <w:rPr>
                <w:i/>
                <w:iCs/>
              </w:rPr>
              <w:t xml:space="preserve"> </w:t>
            </w:r>
            <w:r w:rsidR="005D6444">
              <w:rPr>
                <w:i/>
                <w:iCs/>
              </w:rPr>
              <w:t xml:space="preserve">an </w:t>
            </w:r>
            <w:r w:rsidRPr="00CB7F56">
              <w:rPr>
                <w:i/>
                <w:iCs/>
              </w:rPr>
              <w:t xml:space="preserve"> </w:t>
            </w:r>
            <w:r w:rsidR="00FD4CB8">
              <w:rPr>
                <w:i/>
                <w:iCs/>
              </w:rPr>
              <w:t>“</w:t>
            </w:r>
            <w:r w:rsidRPr="00CB7F56">
              <w:rPr>
                <w:i/>
                <w:iCs/>
              </w:rPr>
              <w:t>arithmetic mean</w:t>
            </w:r>
            <w:r w:rsidR="00FD4CB8">
              <w:rPr>
                <w:i/>
                <w:iCs/>
              </w:rPr>
              <w:t>”</w:t>
            </w:r>
            <w:r w:rsidRPr="00CB7F56">
              <w:rPr>
                <w:i/>
                <w:iCs/>
              </w:rPr>
              <w:t xml:space="preserve"> in STATO</w:t>
            </w:r>
          </w:p>
        </w:tc>
      </w:tr>
      <w:tr w:rsidR="00522CF7" w:rsidRPr="00BF44A6" w14:paraId="538DEC9F" w14:textId="44D983FC" w:rsidTr="00FD4CB8">
        <w:tc>
          <w:tcPr>
            <w:tcW w:w="4197" w:type="dxa"/>
          </w:tcPr>
          <w:p w14:paraId="100F3975" w14:textId="0DA532CC" w:rsidR="00522CF7" w:rsidRPr="001A4A75" w:rsidRDefault="00522CF7">
            <w:r w:rsidRPr="001A4A75">
              <w:t>interval_concept_id</w:t>
            </w:r>
          </w:p>
        </w:tc>
        <w:tc>
          <w:tcPr>
            <w:tcW w:w="3538" w:type="dxa"/>
          </w:tcPr>
          <w:p w14:paraId="331BFB8C" w14:textId="09A0AACA" w:rsidR="00522CF7" w:rsidRPr="001A4A75" w:rsidRDefault="00522CF7">
            <w:r w:rsidRPr="001A4A75">
              <w:t>concept for an interval over which a statistic spans like “</w:t>
            </w:r>
            <w:r w:rsidR="00416448" w:rsidRPr="001A4A75">
              <w:t>24-hour</w:t>
            </w:r>
            <w:r w:rsidRPr="001A4A75">
              <w:t xml:space="preserve"> period”, “month”,  “year”</w:t>
            </w:r>
          </w:p>
        </w:tc>
        <w:tc>
          <w:tcPr>
            <w:tcW w:w="2610" w:type="dxa"/>
          </w:tcPr>
          <w:p w14:paraId="6AF6FEDA" w14:textId="77777777" w:rsidR="00F42224" w:rsidRDefault="00DF6428">
            <w:r>
              <w:t>9448</w:t>
            </w:r>
          </w:p>
          <w:p w14:paraId="1A6059A0" w14:textId="03070192" w:rsidR="00F42224" w:rsidRPr="00F42224" w:rsidRDefault="00F42224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concept_id for </w:t>
            </w:r>
            <w:r w:rsidR="00FD4CB8">
              <w:rPr>
                <w:i/>
                <w:iCs/>
              </w:rPr>
              <w:t>“</w:t>
            </w:r>
            <w:r>
              <w:rPr>
                <w:i/>
                <w:iCs/>
              </w:rPr>
              <w:t>year</w:t>
            </w:r>
            <w:r w:rsidR="00FD4CB8">
              <w:rPr>
                <w:i/>
                <w:iCs/>
              </w:rPr>
              <w:t>”</w:t>
            </w:r>
            <w:r>
              <w:rPr>
                <w:i/>
                <w:iCs/>
              </w:rPr>
              <w:t xml:space="preserve"> in ATHENA</w:t>
            </w:r>
          </w:p>
        </w:tc>
        <w:tc>
          <w:tcPr>
            <w:tcW w:w="2605" w:type="dxa"/>
          </w:tcPr>
          <w:p w14:paraId="3AA749CD" w14:textId="77777777" w:rsidR="00522CF7" w:rsidRDefault="00DF6428" w:rsidP="00DF6428">
            <w:r>
              <w:t>9448</w:t>
            </w:r>
          </w:p>
          <w:p w14:paraId="67A92C24" w14:textId="50E810F1" w:rsidR="00F42224" w:rsidRPr="00F42224" w:rsidRDefault="00F42224" w:rsidP="00DF6428">
            <w:pPr>
              <w:rPr>
                <w:i/>
                <w:iCs/>
              </w:rPr>
            </w:pPr>
            <w:r>
              <w:rPr>
                <w:i/>
                <w:iCs/>
              </w:rPr>
              <w:t>concept_id for</w:t>
            </w:r>
            <w:r w:rsidR="00FD4CB8">
              <w:rPr>
                <w:i/>
                <w:iCs/>
              </w:rPr>
              <w:t>”</w:t>
            </w:r>
            <w:r>
              <w:rPr>
                <w:i/>
                <w:iCs/>
              </w:rPr>
              <w:t xml:space="preserve"> year</w:t>
            </w:r>
            <w:r w:rsidR="00FD4CB8">
              <w:rPr>
                <w:i/>
                <w:iCs/>
              </w:rPr>
              <w:t>”</w:t>
            </w:r>
            <w:r>
              <w:rPr>
                <w:i/>
                <w:iCs/>
              </w:rPr>
              <w:t xml:space="preserve"> in ATHENA</w:t>
            </w:r>
          </w:p>
        </w:tc>
      </w:tr>
      <w:tr w:rsidR="00522CF7" w:rsidRPr="00BF44A6" w14:paraId="1DBBE1E7" w14:textId="47F745A2" w:rsidTr="00462EE7">
        <w:trPr>
          <w:trHeight w:val="1412"/>
        </w:trPr>
        <w:tc>
          <w:tcPr>
            <w:tcW w:w="4197" w:type="dxa"/>
          </w:tcPr>
          <w:p w14:paraId="7C19C564" w14:textId="5D7B6339" w:rsidR="00522CF7" w:rsidRPr="001A4A75" w:rsidRDefault="00522CF7" w:rsidP="00F81237">
            <w:r>
              <w:t>operator_concept_id</w:t>
            </w:r>
          </w:p>
        </w:tc>
        <w:tc>
          <w:tcPr>
            <w:tcW w:w="3538" w:type="dxa"/>
          </w:tcPr>
          <w:p w14:paraId="03B68F55" w14:textId="64BF597A" w:rsidR="00522CF7" w:rsidRPr="001A4A75" w:rsidRDefault="006F5D45" w:rsidP="00F81237">
            <w:r>
              <w:t>o</w:t>
            </w:r>
            <w:r w:rsidRPr="006F5D45">
              <w:t>perators are &lt;, &lt;=, =, &gt;=, &gt; and these concepts belong to the ‘Meas Value Operator’ domain</w:t>
            </w:r>
          </w:p>
        </w:tc>
        <w:tc>
          <w:tcPr>
            <w:tcW w:w="2610" w:type="dxa"/>
          </w:tcPr>
          <w:p w14:paraId="0DA5690D" w14:textId="011B6BF0" w:rsidR="00462EE7" w:rsidRPr="00462EE7" w:rsidRDefault="005D6444" w:rsidP="00F81237">
            <w:pPr>
              <w:rPr>
                <w:i/>
                <w:iCs/>
              </w:rPr>
            </w:pPr>
            <w:r w:rsidRPr="005D6444">
              <w:t>4172704</w:t>
            </w:r>
            <w:r>
              <w:br/>
            </w:r>
            <w:r w:rsidR="00F42224">
              <w:rPr>
                <w:i/>
                <w:iCs/>
              </w:rPr>
              <w:t>concept_id for “&gt;” in ATHENA</w:t>
            </w:r>
          </w:p>
        </w:tc>
        <w:tc>
          <w:tcPr>
            <w:tcW w:w="2605" w:type="dxa"/>
          </w:tcPr>
          <w:p w14:paraId="7437233A" w14:textId="77777777" w:rsidR="00522CF7" w:rsidRDefault="00522CF7" w:rsidP="00F81237"/>
        </w:tc>
      </w:tr>
      <w:tr w:rsidR="003A59F0" w:rsidRPr="00BF44A6" w14:paraId="178E95EE" w14:textId="39D36906" w:rsidTr="009A23EF">
        <w:trPr>
          <w:cantSplit/>
        </w:trPr>
        <w:tc>
          <w:tcPr>
            <w:tcW w:w="4197" w:type="dxa"/>
          </w:tcPr>
          <w:p w14:paraId="23CDDCAD" w14:textId="4700586B" w:rsidR="003A59F0" w:rsidRDefault="003A59F0" w:rsidP="00F81237">
            <w:r>
              <w:lastRenderedPageBreak/>
              <w:t>regulatory_standard_</w:t>
            </w:r>
            <w:r w:rsidR="00432F16">
              <w:t>name</w:t>
            </w:r>
          </w:p>
        </w:tc>
        <w:tc>
          <w:tcPr>
            <w:tcW w:w="3538" w:type="dxa"/>
            <w:vMerge w:val="restart"/>
          </w:tcPr>
          <w:p w14:paraId="2B979EE8" w14:textId="6CA6AED6" w:rsidR="003A59F0" w:rsidRPr="001A4A75" w:rsidRDefault="003A59F0" w:rsidP="00F81237">
            <w:r>
              <w:t>statistics are sometimes determined in relationship to a regulatory standard</w:t>
            </w:r>
          </w:p>
        </w:tc>
        <w:tc>
          <w:tcPr>
            <w:tcW w:w="2610" w:type="dxa"/>
          </w:tcPr>
          <w:p w14:paraId="72B7FDC0" w14:textId="7C3CA4C6" w:rsidR="003A59F0" w:rsidRPr="0091111F" w:rsidRDefault="003A59F0" w:rsidP="00F81237">
            <w:pPr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WHO PM2.5</w:t>
            </w:r>
          </w:p>
        </w:tc>
        <w:tc>
          <w:tcPr>
            <w:tcW w:w="2605" w:type="dxa"/>
          </w:tcPr>
          <w:p w14:paraId="7E70E4CB" w14:textId="77777777" w:rsidR="003A59F0" w:rsidRDefault="003A59F0" w:rsidP="00F81237">
            <w:pPr>
              <w:rPr>
                <w:rFonts w:eastAsia="Calibri" w:cs="Calibri"/>
                <w:color w:val="000000"/>
              </w:rPr>
            </w:pPr>
          </w:p>
        </w:tc>
      </w:tr>
      <w:tr w:rsidR="003A59F0" w:rsidRPr="00BF44A6" w14:paraId="6129E3E5" w14:textId="25E7496D" w:rsidTr="00FD4CB8">
        <w:tc>
          <w:tcPr>
            <w:tcW w:w="4197" w:type="dxa"/>
          </w:tcPr>
          <w:p w14:paraId="60FB6113" w14:textId="4C95E069" w:rsidR="003A59F0" w:rsidRDefault="003A59F0" w:rsidP="00F81237">
            <w:r>
              <w:t>regulatory_standard_verbatim_text</w:t>
            </w:r>
          </w:p>
        </w:tc>
        <w:tc>
          <w:tcPr>
            <w:tcW w:w="3538" w:type="dxa"/>
            <w:vMerge/>
          </w:tcPr>
          <w:p w14:paraId="26C80EB0" w14:textId="21423155" w:rsidR="003A59F0" w:rsidRPr="001A4A75" w:rsidRDefault="003A59F0" w:rsidP="00F81237"/>
        </w:tc>
        <w:tc>
          <w:tcPr>
            <w:tcW w:w="2610" w:type="dxa"/>
          </w:tcPr>
          <w:p w14:paraId="63E84848" w14:textId="78C19337" w:rsidR="003A59F0" w:rsidRPr="0091111F" w:rsidRDefault="003A59F0" w:rsidP="00F81237">
            <w:pPr>
              <w:rPr>
                <w:rFonts w:eastAsia="Calibri" w:cs="Calibri"/>
                <w:color w:val="000000"/>
              </w:rPr>
            </w:pPr>
            <w:r w:rsidRPr="0091111F">
              <w:rPr>
                <w:rFonts w:eastAsia="Calibri" w:cs="Calibri"/>
                <w:color w:val="000000"/>
              </w:rPr>
              <w:t xml:space="preserve">15 </w:t>
            </w:r>
            <w:r>
              <w:t>ug/m3</w:t>
            </w:r>
            <w:r w:rsidRPr="0091111F">
              <w:rPr>
                <w:rFonts w:eastAsia="Calibri" w:cs="Calibri"/>
                <w:color w:val="000000"/>
              </w:rPr>
              <w:t xml:space="preserve"> over a 24-hour period</w:t>
            </w:r>
          </w:p>
        </w:tc>
        <w:tc>
          <w:tcPr>
            <w:tcW w:w="2605" w:type="dxa"/>
          </w:tcPr>
          <w:p w14:paraId="34F8A886" w14:textId="77777777" w:rsidR="003A59F0" w:rsidRPr="0091111F" w:rsidRDefault="003A59F0" w:rsidP="00F81237">
            <w:pPr>
              <w:rPr>
                <w:rFonts w:eastAsia="Calibri" w:cs="Calibri"/>
                <w:color w:val="000000"/>
              </w:rPr>
            </w:pPr>
          </w:p>
        </w:tc>
      </w:tr>
      <w:tr w:rsidR="00E627FB" w:rsidRPr="00D82111" w14:paraId="723F9C13" w14:textId="5C252432" w:rsidTr="00FD4CB8">
        <w:tc>
          <w:tcPr>
            <w:tcW w:w="4197" w:type="dxa"/>
          </w:tcPr>
          <w:p w14:paraId="6B753B76" w14:textId="4397D35D" w:rsidR="00E627FB" w:rsidRPr="001A4A75" w:rsidRDefault="00E627FB" w:rsidP="00E627FB">
            <w:r w:rsidRPr="001A4A75">
              <w:t>external_exposure_start_datetime</w:t>
            </w:r>
          </w:p>
        </w:tc>
        <w:tc>
          <w:tcPr>
            <w:tcW w:w="3538" w:type="dxa"/>
            <w:vMerge w:val="restart"/>
          </w:tcPr>
          <w:p w14:paraId="0B7713CF" w14:textId="7E7DA6C0" w:rsidR="00E627FB" w:rsidRPr="001A4A75" w:rsidRDefault="00E627FB" w:rsidP="00E627FB">
            <w:r w:rsidRPr="001A4A75">
              <w:t>temporal coverage of the statistic</w:t>
            </w:r>
          </w:p>
        </w:tc>
        <w:tc>
          <w:tcPr>
            <w:tcW w:w="2610" w:type="dxa"/>
          </w:tcPr>
          <w:p w14:paraId="27F29A72" w14:textId="0CE79238" w:rsidR="00E627FB" w:rsidRPr="001A4A75" w:rsidRDefault="00E627FB" w:rsidP="00E627FB">
            <w:r>
              <w:t>1/1/2023</w:t>
            </w:r>
          </w:p>
        </w:tc>
        <w:tc>
          <w:tcPr>
            <w:tcW w:w="2605" w:type="dxa"/>
          </w:tcPr>
          <w:p w14:paraId="17EA718D" w14:textId="767B7A7A" w:rsidR="00E627FB" w:rsidRPr="001A4A75" w:rsidRDefault="00E627FB" w:rsidP="00E627FB">
            <w:r>
              <w:t>1/1/2023</w:t>
            </w:r>
          </w:p>
        </w:tc>
      </w:tr>
      <w:tr w:rsidR="00E627FB" w:rsidRPr="00D82111" w14:paraId="0783F029" w14:textId="28B9B292" w:rsidTr="00FD4CB8">
        <w:tc>
          <w:tcPr>
            <w:tcW w:w="4197" w:type="dxa"/>
          </w:tcPr>
          <w:p w14:paraId="6A586D72" w14:textId="5ED9A7FF" w:rsidR="00E627FB" w:rsidRPr="001A4A75" w:rsidRDefault="00E627FB" w:rsidP="00E627FB">
            <w:r w:rsidRPr="001A4A75">
              <w:t>external_exposure_end_datetime</w:t>
            </w:r>
          </w:p>
        </w:tc>
        <w:tc>
          <w:tcPr>
            <w:tcW w:w="3538" w:type="dxa"/>
            <w:vMerge/>
          </w:tcPr>
          <w:p w14:paraId="5D6BB176" w14:textId="1960A24F" w:rsidR="00E627FB" w:rsidRPr="001A4A75" w:rsidRDefault="00E627FB" w:rsidP="00E627FB"/>
        </w:tc>
        <w:tc>
          <w:tcPr>
            <w:tcW w:w="2610" w:type="dxa"/>
          </w:tcPr>
          <w:p w14:paraId="43D720B8" w14:textId="2AD281BA" w:rsidR="00E627FB" w:rsidRPr="001A4A75" w:rsidRDefault="00E627FB" w:rsidP="00E627FB">
            <w:r>
              <w:t>12/31/2023</w:t>
            </w:r>
          </w:p>
        </w:tc>
        <w:tc>
          <w:tcPr>
            <w:tcW w:w="2605" w:type="dxa"/>
          </w:tcPr>
          <w:p w14:paraId="77044E9F" w14:textId="7A169FC4" w:rsidR="00E627FB" w:rsidRPr="001A4A75" w:rsidRDefault="00E627FB" w:rsidP="00E627FB">
            <w:r>
              <w:t>12/31/2023</w:t>
            </w:r>
          </w:p>
        </w:tc>
      </w:tr>
      <w:tr w:rsidR="00E627FB" w:rsidRPr="00D82111" w14:paraId="79A04BDD" w14:textId="3FF00515" w:rsidTr="00FD4CB8">
        <w:trPr>
          <w:cantSplit/>
        </w:trPr>
        <w:tc>
          <w:tcPr>
            <w:tcW w:w="4197" w:type="dxa"/>
          </w:tcPr>
          <w:p w14:paraId="60561670" w14:textId="2121EF9E" w:rsidR="00E627FB" w:rsidRPr="001A4A75" w:rsidRDefault="00E627FB" w:rsidP="00E627FB">
            <w:r w:rsidRPr="001A4A75">
              <w:t>external_exposure_type_concept_id</w:t>
            </w:r>
          </w:p>
        </w:tc>
        <w:tc>
          <w:tcPr>
            <w:tcW w:w="3538" w:type="dxa"/>
          </w:tcPr>
          <w:p w14:paraId="61A7B38E" w14:textId="25CE27AB" w:rsidR="00E627FB" w:rsidRPr="001A4A75" w:rsidRDefault="00E627FB" w:rsidP="00E627FB">
            <w:r w:rsidRPr="001A4A75">
              <w:t>concept from an OMOP GIS vocabulary representing a place-based instrument (aka sensor) type including “satellite”, “weather station”, “in-home device”, “social vulnerability index”, “UN SDG (sustainable development goal) indicator”, PhenX environmental health CDE, etc.</w:t>
            </w:r>
          </w:p>
        </w:tc>
        <w:tc>
          <w:tcPr>
            <w:tcW w:w="2610" w:type="dxa"/>
          </w:tcPr>
          <w:p w14:paraId="6F2CE9D4" w14:textId="77777777" w:rsidR="00E627FB" w:rsidRPr="001A4A75" w:rsidRDefault="00E627FB" w:rsidP="00E627FB"/>
        </w:tc>
        <w:tc>
          <w:tcPr>
            <w:tcW w:w="2605" w:type="dxa"/>
          </w:tcPr>
          <w:p w14:paraId="75FFCFB7" w14:textId="77777777" w:rsidR="00E627FB" w:rsidRPr="001A4A75" w:rsidRDefault="00E627FB" w:rsidP="00E627FB"/>
        </w:tc>
      </w:tr>
      <w:tr w:rsidR="00E627FB" w:rsidRPr="00D82111" w14:paraId="576D3C9C" w14:textId="6B5FB02F" w:rsidTr="00FD4CB8">
        <w:tc>
          <w:tcPr>
            <w:tcW w:w="4197" w:type="dxa"/>
          </w:tcPr>
          <w:p w14:paraId="78524245" w14:textId="71C8610D" w:rsidR="00E627FB" w:rsidRDefault="00E627FB" w:rsidP="00E627FB">
            <w:r>
              <w:t>external_exposure_source_value</w:t>
            </w:r>
          </w:p>
        </w:tc>
        <w:tc>
          <w:tcPr>
            <w:tcW w:w="3538" w:type="dxa"/>
          </w:tcPr>
          <w:p w14:paraId="06C53ACB" w14:textId="2F402643" w:rsidR="00E627FB" w:rsidRDefault="00E627FB" w:rsidP="00E627FB">
            <w:pPr>
              <w:rPr>
                <w:color w:val="333333"/>
                <w:shd w:val="clear" w:color="auto" w:fill="F5F5F5"/>
              </w:rPr>
            </w:pPr>
            <w:r>
              <w:rPr>
                <w:color w:val="333333"/>
                <w:shd w:val="clear" w:color="auto" w:fill="F5F5F5"/>
              </w:rPr>
              <w:t>t</w:t>
            </w:r>
            <w:r w:rsidRPr="00FE2500">
              <w:rPr>
                <w:color w:val="333333"/>
                <w:shd w:val="clear" w:color="auto" w:fill="F5F5F5"/>
              </w:rPr>
              <w:t>his field contains the exact value from the source data that represents the measurement that occurred</w:t>
            </w:r>
          </w:p>
        </w:tc>
        <w:tc>
          <w:tcPr>
            <w:tcW w:w="2610" w:type="dxa"/>
          </w:tcPr>
          <w:p w14:paraId="69A7EF09" w14:textId="77777777" w:rsidR="00E627FB" w:rsidRDefault="00E627FB" w:rsidP="00E627FB">
            <w:pPr>
              <w:rPr>
                <w:color w:val="333333"/>
                <w:shd w:val="clear" w:color="auto" w:fill="F5F5F5"/>
              </w:rPr>
            </w:pPr>
          </w:p>
        </w:tc>
        <w:tc>
          <w:tcPr>
            <w:tcW w:w="2605" w:type="dxa"/>
          </w:tcPr>
          <w:p w14:paraId="50F6EBFE" w14:textId="77777777" w:rsidR="00E627FB" w:rsidRDefault="00E627FB" w:rsidP="00E627FB">
            <w:pPr>
              <w:rPr>
                <w:color w:val="333333"/>
                <w:shd w:val="clear" w:color="auto" w:fill="F5F5F5"/>
              </w:rPr>
            </w:pPr>
          </w:p>
        </w:tc>
      </w:tr>
      <w:tr w:rsidR="00E627FB" w:rsidRPr="00D82111" w14:paraId="65815EDF" w14:textId="3C22C0CC" w:rsidTr="00FD4CB8">
        <w:tc>
          <w:tcPr>
            <w:tcW w:w="4197" w:type="dxa"/>
          </w:tcPr>
          <w:p w14:paraId="1AE38B7B" w14:textId="068BEF60" w:rsidR="00E627FB" w:rsidRPr="001A4A75" w:rsidRDefault="00E627FB" w:rsidP="00E627FB">
            <w:r>
              <w:t>external_exposure_source_concept_id</w:t>
            </w:r>
          </w:p>
        </w:tc>
        <w:tc>
          <w:tcPr>
            <w:tcW w:w="3538" w:type="dxa"/>
          </w:tcPr>
          <w:p w14:paraId="266AAD26" w14:textId="64E3F9B6" w:rsidR="00E627FB" w:rsidRPr="00FE2500" w:rsidRDefault="00E627FB" w:rsidP="00E627FB">
            <w:r>
              <w:rPr>
                <w:color w:val="333333"/>
                <w:shd w:val="clear" w:color="auto" w:fill="F5F5F5"/>
              </w:rPr>
              <w:t>t</w:t>
            </w:r>
            <w:r w:rsidRPr="00FE2500">
              <w:rPr>
                <w:color w:val="333333"/>
                <w:shd w:val="clear" w:color="auto" w:fill="F5F5F5"/>
              </w:rPr>
              <w:t xml:space="preserve">his is the concept representing the </w:t>
            </w:r>
            <w:r w:rsidRPr="00FE2500">
              <w:t>external_exposure</w:t>
            </w:r>
            <w:r w:rsidR="00416448">
              <w:t xml:space="preserve"> </w:t>
            </w:r>
            <w:r w:rsidRPr="00FE2500">
              <w:t>source_value</w:t>
            </w:r>
            <w:r w:rsidRPr="00FE2500">
              <w:rPr>
                <w:color w:val="333333"/>
                <w:shd w:val="clear" w:color="auto" w:fill="F5F5F5"/>
              </w:rPr>
              <w:t xml:space="preserve"> and may not be standard</w:t>
            </w:r>
          </w:p>
        </w:tc>
        <w:tc>
          <w:tcPr>
            <w:tcW w:w="2610" w:type="dxa"/>
          </w:tcPr>
          <w:p w14:paraId="4FD666C7" w14:textId="1972E25F" w:rsidR="00E627FB" w:rsidRDefault="00E627FB" w:rsidP="00E627FB">
            <w:pPr>
              <w:rPr>
                <w:color w:val="333333"/>
                <w:shd w:val="clear" w:color="auto" w:fill="F5F5F5"/>
              </w:rPr>
            </w:pPr>
          </w:p>
        </w:tc>
        <w:tc>
          <w:tcPr>
            <w:tcW w:w="2605" w:type="dxa"/>
          </w:tcPr>
          <w:p w14:paraId="1C4B1C84" w14:textId="15281A16" w:rsidR="00E627FB" w:rsidRPr="00E627FB" w:rsidRDefault="00E627FB" w:rsidP="00E627FB">
            <w:pPr>
              <w:rPr>
                <w:color w:val="333333"/>
                <w:shd w:val="clear" w:color="auto" w:fill="F5F5F5"/>
              </w:rPr>
            </w:pPr>
          </w:p>
        </w:tc>
      </w:tr>
      <w:tr w:rsidR="00E627FB" w:rsidRPr="00D82111" w14:paraId="397752EB" w14:textId="58F04030" w:rsidTr="00FD4CB8">
        <w:trPr>
          <w:trHeight w:val="323"/>
        </w:trPr>
        <w:tc>
          <w:tcPr>
            <w:tcW w:w="4197" w:type="dxa"/>
          </w:tcPr>
          <w:p w14:paraId="0C59189D" w14:textId="1C23CC17" w:rsidR="00E627FB" w:rsidRPr="00BE3BC1" w:rsidRDefault="00E627FB" w:rsidP="00E627FB">
            <w:r w:rsidRPr="00BE3BC1">
              <w:t>value_as_number</w:t>
            </w:r>
          </w:p>
        </w:tc>
        <w:tc>
          <w:tcPr>
            <w:tcW w:w="3538" w:type="dxa"/>
            <w:vMerge w:val="restart"/>
          </w:tcPr>
          <w:p w14:paraId="5111F881" w14:textId="55E3B762" w:rsidR="00E627FB" w:rsidRPr="00BE3BC1" w:rsidRDefault="00E627FB" w:rsidP="00E627FB">
            <w:r w:rsidRPr="00BE3BC1">
              <w:t>amount of exposure</w:t>
            </w:r>
          </w:p>
        </w:tc>
        <w:tc>
          <w:tcPr>
            <w:tcW w:w="2610" w:type="dxa"/>
          </w:tcPr>
          <w:p w14:paraId="62FD8DAB" w14:textId="0712D3E6" w:rsidR="00E627FB" w:rsidRPr="00BE3BC1" w:rsidRDefault="00E627FB" w:rsidP="00E627FB">
            <w:r>
              <w:t>23</w:t>
            </w:r>
          </w:p>
        </w:tc>
        <w:tc>
          <w:tcPr>
            <w:tcW w:w="2605" w:type="dxa"/>
          </w:tcPr>
          <w:p w14:paraId="13DB6594" w14:textId="71B47F47" w:rsidR="00E627FB" w:rsidRDefault="00016ECD" w:rsidP="00E627FB">
            <w:r w:rsidRPr="00016ECD">
              <w:t>8.2</w:t>
            </w:r>
          </w:p>
        </w:tc>
      </w:tr>
      <w:tr w:rsidR="00E627FB" w:rsidRPr="00D82111" w14:paraId="0FAB8CC5" w14:textId="131A423F" w:rsidTr="00FD4CB8">
        <w:tc>
          <w:tcPr>
            <w:tcW w:w="4197" w:type="dxa"/>
          </w:tcPr>
          <w:p w14:paraId="10567BD6" w14:textId="46882103" w:rsidR="00E627FB" w:rsidRPr="00BE3BC1" w:rsidRDefault="00E627FB" w:rsidP="00E627FB">
            <w:r w:rsidRPr="00BE3BC1">
              <w:t>value_as_concept_id</w:t>
            </w:r>
          </w:p>
        </w:tc>
        <w:tc>
          <w:tcPr>
            <w:tcW w:w="3538" w:type="dxa"/>
            <w:vMerge/>
          </w:tcPr>
          <w:p w14:paraId="60D9695A" w14:textId="77777777" w:rsidR="00E627FB" w:rsidRPr="00BE3BC1" w:rsidRDefault="00E627FB" w:rsidP="00E627FB"/>
        </w:tc>
        <w:tc>
          <w:tcPr>
            <w:tcW w:w="2610" w:type="dxa"/>
          </w:tcPr>
          <w:p w14:paraId="4BB014A4" w14:textId="77777777" w:rsidR="00E627FB" w:rsidRPr="00BE3BC1" w:rsidRDefault="00E627FB" w:rsidP="00E627FB"/>
        </w:tc>
        <w:tc>
          <w:tcPr>
            <w:tcW w:w="2605" w:type="dxa"/>
          </w:tcPr>
          <w:p w14:paraId="716C2328" w14:textId="77777777" w:rsidR="00E627FB" w:rsidRPr="00BE3BC1" w:rsidRDefault="00E627FB" w:rsidP="00E627FB"/>
        </w:tc>
      </w:tr>
      <w:tr w:rsidR="00E627FB" w:rsidRPr="00D82111" w14:paraId="01CBF13A" w14:textId="402085E5" w:rsidTr="009A23EF">
        <w:trPr>
          <w:cantSplit/>
          <w:trHeight w:val="134"/>
        </w:trPr>
        <w:tc>
          <w:tcPr>
            <w:tcW w:w="4197" w:type="dxa"/>
          </w:tcPr>
          <w:p w14:paraId="7BEC1B28" w14:textId="12972F44" w:rsidR="00E627FB" w:rsidRPr="00BE3BC1" w:rsidRDefault="00E627FB" w:rsidP="00E627FB">
            <w:r w:rsidRPr="00BE3BC1">
              <w:lastRenderedPageBreak/>
              <w:t>unit_concept_id</w:t>
            </w:r>
          </w:p>
        </w:tc>
        <w:tc>
          <w:tcPr>
            <w:tcW w:w="3538" w:type="dxa"/>
            <w:vMerge w:val="restart"/>
          </w:tcPr>
          <w:p w14:paraId="2BDABE86" w14:textId="4BAC9FE8" w:rsidR="00E627FB" w:rsidRPr="00BE3BC1" w:rsidRDefault="00E627FB" w:rsidP="00E627FB">
            <w:r w:rsidRPr="00BE3BC1">
              <w:t>unit of measurement</w:t>
            </w:r>
            <w:r>
              <w:t xml:space="preserve"> like “celsius”</w:t>
            </w:r>
            <w:r w:rsidRPr="00BE3BC1">
              <w:t xml:space="preserve"> </w:t>
            </w:r>
            <w:r>
              <w:t xml:space="preserve">if </w:t>
            </w:r>
            <w:r w:rsidRPr="00BE3BC1">
              <w:t>value_as_number</w:t>
            </w:r>
          </w:p>
        </w:tc>
        <w:tc>
          <w:tcPr>
            <w:tcW w:w="2610" w:type="dxa"/>
          </w:tcPr>
          <w:p w14:paraId="5FD5914C" w14:textId="77777777" w:rsidR="00E627FB" w:rsidRPr="00BE3BC1" w:rsidRDefault="00E627FB" w:rsidP="00E627FB"/>
        </w:tc>
        <w:tc>
          <w:tcPr>
            <w:tcW w:w="2605" w:type="dxa"/>
          </w:tcPr>
          <w:p w14:paraId="3ABD8865" w14:textId="091202D3" w:rsidR="00E627FB" w:rsidRPr="006F5D45" w:rsidRDefault="00BF1F00" w:rsidP="00E627FB">
            <w:pPr>
              <w:rPr>
                <w:i/>
                <w:iCs/>
              </w:rPr>
            </w:pPr>
            <w:r w:rsidRPr="00BF1F00">
              <w:t>32964</w:t>
            </w:r>
            <w:r>
              <w:br/>
            </w:r>
            <w:r w:rsidR="006F5D45">
              <w:rPr>
                <w:i/>
                <w:iCs/>
              </w:rPr>
              <w:t xml:space="preserve">concept_id for </w:t>
            </w:r>
            <w:r w:rsidR="00FD4CB8">
              <w:rPr>
                <w:i/>
                <w:iCs/>
              </w:rPr>
              <w:t>“</w:t>
            </w:r>
            <w:r w:rsidR="006F5D45">
              <w:rPr>
                <w:i/>
                <w:iCs/>
              </w:rPr>
              <w:t>microgram per cubic meter</w:t>
            </w:r>
            <w:r w:rsidR="00FD4CB8">
              <w:rPr>
                <w:i/>
                <w:iCs/>
              </w:rPr>
              <w:t>”</w:t>
            </w:r>
            <w:r w:rsidR="006F5D45">
              <w:rPr>
                <w:i/>
                <w:iCs/>
              </w:rPr>
              <w:t xml:space="preserve"> in ATHENA</w:t>
            </w:r>
          </w:p>
        </w:tc>
      </w:tr>
      <w:tr w:rsidR="00E627FB" w:rsidRPr="00D82111" w14:paraId="49076583" w14:textId="1E87171E" w:rsidTr="00FD4CB8">
        <w:tc>
          <w:tcPr>
            <w:tcW w:w="4197" w:type="dxa"/>
          </w:tcPr>
          <w:p w14:paraId="6720B82E" w14:textId="0058A7A0" w:rsidR="00E627FB" w:rsidRDefault="00E627FB" w:rsidP="00E627FB">
            <w:r w:rsidRPr="00BE3BC1">
              <w:t>unit_text</w:t>
            </w:r>
          </w:p>
        </w:tc>
        <w:tc>
          <w:tcPr>
            <w:tcW w:w="3538" w:type="dxa"/>
            <w:vMerge/>
          </w:tcPr>
          <w:p w14:paraId="6D469D24" w14:textId="77777777" w:rsidR="00E627FB" w:rsidRDefault="00E627FB" w:rsidP="00E627FB"/>
        </w:tc>
        <w:tc>
          <w:tcPr>
            <w:tcW w:w="2610" w:type="dxa"/>
          </w:tcPr>
          <w:p w14:paraId="28A72D91" w14:textId="7857D998" w:rsidR="00E627FB" w:rsidRPr="001D06C9" w:rsidRDefault="00E627FB" w:rsidP="00E627FB"/>
        </w:tc>
        <w:tc>
          <w:tcPr>
            <w:tcW w:w="2605" w:type="dxa"/>
          </w:tcPr>
          <w:p w14:paraId="3F8E9937" w14:textId="0FD18FD9" w:rsidR="00E627FB" w:rsidRPr="001D06C9" w:rsidRDefault="006F5D45" w:rsidP="00E627FB">
            <w:r>
              <w:t>ug/m3</w:t>
            </w:r>
          </w:p>
        </w:tc>
      </w:tr>
      <w:tr w:rsidR="00E627FB" w:rsidRPr="00D82111" w14:paraId="76CB07BC" w14:textId="6536C7F9" w:rsidTr="00FD4CB8">
        <w:tc>
          <w:tcPr>
            <w:tcW w:w="4197" w:type="dxa"/>
          </w:tcPr>
          <w:p w14:paraId="64988E9E" w14:textId="21F08328" w:rsidR="00E627FB" w:rsidRPr="00BE3BC1" w:rsidRDefault="00E627FB" w:rsidP="00E627FB">
            <w:r w:rsidRPr="00BE3BC1">
              <w:t>visit_occurrence_id</w:t>
            </w:r>
          </w:p>
        </w:tc>
        <w:tc>
          <w:tcPr>
            <w:tcW w:w="3538" w:type="dxa"/>
          </w:tcPr>
          <w:p w14:paraId="4BA43D28" w14:textId="304BCEAD" w:rsidR="00E627FB" w:rsidRPr="00BE3BC1" w:rsidRDefault="00E627FB" w:rsidP="00E627FB">
            <w:r w:rsidRPr="00BE3BC1">
              <w:t>not required</w:t>
            </w:r>
          </w:p>
        </w:tc>
        <w:tc>
          <w:tcPr>
            <w:tcW w:w="2610" w:type="dxa"/>
          </w:tcPr>
          <w:p w14:paraId="023DBCFA" w14:textId="77777777" w:rsidR="00E627FB" w:rsidRPr="00BE3BC1" w:rsidRDefault="00E627FB" w:rsidP="00E627FB"/>
        </w:tc>
        <w:tc>
          <w:tcPr>
            <w:tcW w:w="2605" w:type="dxa"/>
          </w:tcPr>
          <w:p w14:paraId="01A27E84" w14:textId="77777777" w:rsidR="00E627FB" w:rsidRPr="00BE3BC1" w:rsidRDefault="00E627FB" w:rsidP="00E627FB"/>
        </w:tc>
      </w:tr>
      <w:tr w:rsidR="00E627FB" w:rsidRPr="00D82111" w14:paraId="6C81E1BF" w14:textId="0A84A21A" w:rsidTr="00FD4CB8">
        <w:tc>
          <w:tcPr>
            <w:tcW w:w="4197" w:type="dxa"/>
          </w:tcPr>
          <w:p w14:paraId="5A2430D5" w14:textId="27917708" w:rsidR="00E627FB" w:rsidRPr="00BE3BC1" w:rsidRDefault="00E627FB" w:rsidP="00E627FB">
            <w:r w:rsidRPr="00BE3BC1">
              <w:t>external_exposure_event_id</w:t>
            </w:r>
          </w:p>
        </w:tc>
        <w:tc>
          <w:tcPr>
            <w:tcW w:w="3538" w:type="dxa"/>
            <w:vMerge w:val="restart"/>
          </w:tcPr>
          <w:p w14:paraId="39722F00" w14:textId="21376ED4" w:rsidR="00E627FB" w:rsidRPr="00BE3BC1" w:rsidRDefault="00E627FB" w:rsidP="00E627FB">
            <w:r w:rsidRPr="00BE3BC1">
              <w:t xml:space="preserve">foreign key to a record in an OMOP CDM table </w:t>
            </w:r>
          </w:p>
        </w:tc>
        <w:tc>
          <w:tcPr>
            <w:tcW w:w="2610" w:type="dxa"/>
          </w:tcPr>
          <w:p w14:paraId="066AEEF7" w14:textId="77777777" w:rsidR="00E627FB" w:rsidRPr="00BE3BC1" w:rsidRDefault="00E627FB" w:rsidP="00E627FB"/>
        </w:tc>
        <w:tc>
          <w:tcPr>
            <w:tcW w:w="2605" w:type="dxa"/>
          </w:tcPr>
          <w:p w14:paraId="1D4B7A7E" w14:textId="77777777" w:rsidR="00E627FB" w:rsidRPr="00BE3BC1" w:rsidRDefault="00E627FB" w:rsidP="00E627FB"/>
        </w:tc>
      </w:tr>
      <w:tr w:rsidR="00E627FB" w:rsidRPr="00D82111" w14:paraId="259A7C54" w14:textId="65C5CB20" w:rsidTr="00FD4CB8">
        <w:tc>
          <w:tcPr>
            <w:tcW w:w="4197" w:type="dxa"/>
          </w:tcPr>
          <w:p w14:paraId="13B13090" w14:textId="6CF896AB" w:rsidR="00E627FB" w:rsidRDefault="00E627FB" w:rsidP="00E627FB">
            <w:pPr>
              <w:rPr>
                <w:highlight w:val="yellow"/>
              </w:rPr>
            </w:pPr>
            <w:r w:rsidRPr="00BE3BC1">
              <w:t>external_exp_event_field_concept_id</w:t>
            </w:r>
          </w:p>
        </w:tc>
        <w:tc>
          <w:tcPr>
            <w:tcW w:w="3538" w:type="dxa"/>
            <w:vMerge/>
          </w:tcPr>
          <w:p w14:paraId="0FA0C461" w14:textId="77777777" w:rsidR="00E627FB" w:rsidRPr="00BF44A6" w:rsidRDefault="00E627FB" w:rsidP="00E627FB">
            <w:pPr>
              <w:rPr>
                <w:highlight w:val="yellow"/>
              </w:rPr>
            </w:pPr>
          </w:p>
        </w:tc>
        <w:tc>
          <w:tcPr>
            <w:tcW w:w="2610" w:type="dxa"/>
          </w:tcPr>
          <w:p w14:paraId="688957FD" w14:textId="77777777" w:rsidR="00E627FB" w:rsidRPr="00BF44A6" w:rsidRDefault="00E627FB" w:rsidP="00E627FB">
            <w:pPr>
              <w:rPr>
                <w:highlight w:val="yellow"/>
              </w:rPr>
            </w:pPr>
          </w:p>
        </w:tc>
        <w:tc>
          <w:tcPr>
            <w:tcW w:w="2605" w:type="dxa"/>
          </w:tcPr>
          <w:p w14:paraId="700E7EB0" w14:textId="77777777" w:rsidR="00E627FB" w:rsidRPr="00BF44A6" w:rsidRDefault="00E627FB" w:rsidP="00E627FB">
            <w:pPr>
              <w:rPr>
                <w:highlight w:val="yellow"/>
              </w:rPr>
            </w:pPr>
          </w:p>
        </w:tc>
      </w:tr>
    </w:tbl>
    <w:p w14:paraId="542D3601" w14:textId="77777777" w:rsidR="00456A78" w:rsidRPr="00505881" w:rsidRDefault="00456A78" w:rsidP="004E3EA1">
      <w:pPr>
        <w:spacing w:before="40" w:after="0" w:line="240" w:lineRule="auto"/>
        <w:rPr>
          <w:b/>
          <w:bCs/>
        </w:rPr>
      </w:pPr>
    </w:p>
    <w:sectPr w:rsidR="00456A78" w:rsidRPr="00505881" w:rsidSect="00C041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79B14" w14:textId="77777777" w:rsidR="009E3D8F" w:rsidRDefault="009E3D8F" w:rsidP="00EE7FB5">
      <w:pPr>
        <w:spacing w:after="0" w:line="240" w:lineRule="auto"/>
      </w:pPr>
      <w:r>
        <w:separator/>
      </w:r>
    </w:p>
  </w:endnote>
  <w:endnote w:type="continuationSeparator" w:id="0">
    <w:p w14:paraId="0FEA295D" w14:textId="77777777" w:rsidR="009E3D8F" w:rsidRDefault="009E3D8F" w:rsidP="00EE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A432F" w14:textId="77777777" w:rsidR="009E3D8F" w:rsidRDefault="009E3D8F" w:rsidP="00EE7FB5">
      <w:pPr>
        <w:spacing w:after="0" w:line="240" w:lineRule="auto"/>
      </w:pPr>
      <w:r>
        <w:separator/>
      </w:r>
    </w:p>
  </w:footnote>
  <w:footnote w:type="continuationSeparator" w:id="0">
    <w:p w14:paraId="2DEDB950" w14:textId="77777777" w:rsidR="009E3D8F" w:rsidRDefault="009E3D8F" w:rsidP="00EE7FB5">
      <w:pPr>
        <w:spacing w:after="0" w:line="240" w:lineRule="auto"/>
      </w:pPr>
      <w:r>
        <w:continuationSeparator/>
      </w:r>
    </w:p>
  </w:footnote>
  <w:footnote w:id="1">
    <w:p w14:paraId="1FFCE1E1" w14:textId="11C348F3" w:rsidR="00EE7FB5" w:rsidRDefault="00EE7FB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E7FB5">
        <w:t>Note that this is NOT the best practice in other era tables – for example, successive periods of drug_exposures are combined under certain domain-specific rules to produce continuous drug_eras. The latter dates are just inclusive of the former ones. There is no foreign key relationship between a drug exposure and its era</w:t>
      </w:r>
    </w:p>
  </w:footnote>
  <w:footnote w:id="2">
    <w:p w14:paraId="5FE5246E" w14:textId="68913A29" w:rsidR="00EE7FB5" w:rsidRDefault="00EE7FB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8D612D">
          <w:rPr>
            <w:rStyle w:val="Hyperlink"/>
          </w:rPr>
          <w:t>Here</w:t>
        </w:r>
      </w:hyperlink>
      <w:r>
        <w:t xml:space="preserve"> is ECTO. The contact person for ECTO is Anne Thessen. Andrew early on expressed an interest in using ECTO</w:t>
      </w:r>
      <w:r w:rsidR="009A23EF">
        <w:t xml:space="preserve">. </w:t>
      </w:r>
      <w:r w:rsidR="009A23EF">
        <w:t>Polina has captured many of the statistics created on top of the ECTO classes</w:t>
      </w:r>
      <w:r w:rsidR="00462EE7">
        <w:t xml:space="preserve"> in the OMOP Exposome and SDOH vocabularies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76EC7"/>
    <w:multiLevelType w:val="multilevel"/>
    <w:tmpl w:val="3182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810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4E"/>
    <w:rsid w:val="00016ECD"/>
    <w:rsid w:val="00057E4C"/>
    <w:rsid w:val="00065EE0"/>
    <w:rsid w:val="000865AC"/>
    <w:rsid w:val="00152F39"/>
    <w:rsid w:val="00154A42"/>
    <w:rsid w:val="001A4A75"/>
    <w:rsid w:val="001A5B08"/>
    <w:rsid w:val="001C1B64"/>
    <w:rsid w:val="001D06C9"/>
    <w:rsid w:val="00201473"/>
    <w:rsid w:val="002047FC"/>
    <w:rsid w:val="00270E30"/>
    <w:rsid w:val="002C024E"/>
    <w:rsid w:val="00314DE0"/>
    <w:rsid w:val="003207D6"/>
    <w:rsid w:val="00373659"/>
    <w:rsid w:val="003A59F0"/>
    <w:rsid w:val="003E7913"/>
    <w:rsid w:val="00416448"/>
    <w:rsid w:val="00432F16"/>
    <w:rsid w:val="00456A2E"/>
    <w:rsid w:val="00456A78"/>
    <w:rsid w:val="00462EE7"/>
    <w:rsid w:val="004B31B7"/>
    <w:rsid w:val="004B79BA"/>
    <w:rsid w:val="004D6A8C"/>
    <w:rsid w:val="004E3EA1"/>
    <w:rsid w:val="004E689B"/>
    <w:rsid w:val="004F4932"/>
    <w:rsid w:val="00505881"/>
    <w:rsid w:val="00516376"/>
    <w:rsid w:val="00522CF7"/>
    <w:rsid w:val="005340A0"/>
    <w:rsid w:val="00570C19"/>
    <w:rsid w:val="00585E4E"/>
    <w:rsid w:val="005D6444"/>
    <w:rsid w:val="005E13D2"/>
    <w:rsid w:val="005E7A14"/>
    <w:rsid w:val="00607A9A"/>
    <w:rsid w:val="00612045"/>
    <w:rsid w:val="0067154B"/>
    <w:rsid w:val="006A60EC"/>
    <w:rsid w:val="006E321B"/>
    <w:rsid w:val="006E4C08"/>
    <w:rsid w:val="006F5D45"/>
    <w:rsid w:val="00712024"/>
    <w:rsid w:val="00722A9E"/>
    <w:rsid w:val="00723215"/>
    <w:rsid w:val="007B5824"/>
    <w:rsid w:val="00816F1E"/>
    <w:rsid w:val="00826B7A"/>
    <w:rsid w:val="00860A33"/>
    <w:rsid w:val="008665DC"/>
    <w:rsid w:val="008C602F"/>
    <w:rsid w:val="008D64BE"/>
    <w:rsid w:val="0091111F"/>
    <w:rsid w:val="0097636D"/>
    <w:rsid w:val="009A23EF"/>
    <w:rsid w:val="009D6C03"/>
    <w:rsid w:val="009E3D8F"/>
    <w:rsid w:val="009E4507"/>
    <w:rsid w:val="00A00BFE"/>
    <w:rsid w:val="00A70294"/>
    <w:rsid w:val="00A7786E"/>
    <w:rsid w:val="00A8797D"/>
    <w:rsid w:val="00B0585B"/>
    <w:rsid w:val="00B21649"/>
    <w:rsid w:val="00B35A18"/>
    <w:rsid w:val="00B82021"/>
    <w:rsid w:val="00B95E72"/>
    <w:rsid w:val="00BC7D9C"/>
    <w:rsid w:val="00BE3BC1"/>
    <w:rsid w:val="00BF1F00"/>
    <w:rsid w:val="00BF44A6"/>
    <w:rsid w:val="00C0419C"/>
    <w:rsid w:val="00C73FC2"/>
    <w:rsid w:val="00C93471"/>
    <w:rsid w:val="00C957E1"/>
    <w:rsid w:val="00CA6DA4"/>
    <w:rsid w:val="00CB7F56"/>
    <w:rsid w:val="00CD79E4"/>
    <w:rsid w:val="00D22F20"/>
    <w:rsid w:val="00D810D2"/>
    <w:rsid w:val="00D82111"/>
    <w:rsid w:val="00D84D18"/>
    <w:rsid w:val="00DB1F70"/>
    <w:rsid w:val="00DE2BDA"/>
    <w:rsid w:val="00DE2D75"/>
    <w:rsid w:val="00DF6428"/>
    <w:rsid w:val="00E43AB7"/>
    <w:rsid w:val="00E627FB"/>
    <w:rsid w:val="00ED3C78"/>
    <w:rsid w:val="00ED7718"/>
    <w:rsid w:val="00EE7FB5"/>
    <w:rsid w:val="00F07E34"/>
    <w:rsid w:val="00F42224"/>
    <w:rsid w:val="00F81237"/>
    <w:rsid w:val="00FD4CB8"/>
    <w:rsid w:val="00FE2500"/>
    <w:rsid w:val="00FF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B56E4"/>
  <w15:chartTrackingRefBased/>
  <w15:docId w15:val="{7FAEB193-093D-654A-848B-AC8CF516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E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5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E7FB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7FB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7FB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E7FB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file:////Users/jaygreenfield/Library/CloudStorage/Dropbox/OHDSI%20GIS%20WG/&#199;=https:/bioportal.bioontology.org/ontologies/ECTO/%3fp=summ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355</Words>
  <Characters>2035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Greenfield</dc:creator>
  <cp:keywords/>
  <dc:description/>
  <cp:lastModifiedBy>Jay Greenfield</cp:lastModifiedBy>
  <cp:revision>3</cp:revision>
  <dcterms:created xsi:type="dcterms:W3CDTF">2025-09-14T02:54:00Z</dcterms:created>
  <dcterms:modified xsi:type="dcterms:W3CDTF">2025-09-15T03:27:00Z</dcterms:modified>
</cp:coreProperties>
</file>