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4.png" ContentType="image/png"/>
  <Override PartName="/word/media/rId80.png" ContentType="image/png"/>
  <Override PartName="/word/media/rId83.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3.png" ContentType="image/png"/>
  <Override PartName="/word/media/rId46.png" ContentType="image/png"/>
  <Override PartName="/word/media/rId51.png" ContentType="image/png"/>
  <Override PartName="/word/media/rId56.png" ContentType="image/png"/>
  <Override PartName="/word/media/rId59.png" ContentType="image/png"/>
  <Override PartName="/word/media/rId6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(2018 value):</w:t>
      </w:r>
      <w:r>
        <w:t xml:space="preserve"> </w:t>
      </w:r>
      <w:r>
        <w:t xml:space="preserve">each region’s 2018 value</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(2018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2"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2018 reference below).</w:t>
      </w:r>
      <w:r>
        <w:t xml:space="preserve"> </w:t>
      </w:r>
      <w:r>
        <w:rPr>
          <w:bCs/>
          <w:b/>
        </w:rPr>
        <w:t xml:space="preserve">Job quality</w:t>
      </w:r>
      <w:r>
        <w:t xml:space="preserve"> </w:t>
      </w:r>
      <w:r>
        <w:t xml:space="preserve">uses the same Gulf-wide 90th-quantile reference in both scenarios. The Option B</w:t>
      </w:r>
      <w:r>
        <w:t xml:space="preserve"> </w:t>
      </w:r>
      <w:r>
        <w:rPr>
          <w:bCs/>
          <w:b/>
        </w:rPr>
        <w:t xml:space="preserve">2018 value</w:t>
      </w:r>
      <w:r>
        <w:t xml:space="preserve"> </w:t>
      </w:r>
      <w:r>
        <w:t xml:space="preserve">is the 2018 data collection year from the 2019 Economic Census release.</w:t>
      </w:r>
    </w:p>
    <w:tbl>
      <w:tblPr>
        <w:tblStyle w:val="Table"/>
        <w:tblW w:type="pct" w:w="5000"/>
        <w:tblLook w:firstRow="1" w:lastRow="0" w:firstColumn="0" w:lastColumn="0" w:noHBand="0" w:noVBand="0" w:val="0020"/>
        <w:jc w:val="start"/>
        <w:tblLayout w:type="fixed"/>
      </w:tblPr>
      <w:tblGrid>
        <w:gridCol w:w="1193"/>
        <w:gridCol w:w="4339"/>
        <w:gridCol w:w="2386"/>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2018 value</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2018</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2018</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2018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1" w:name="gulf-wide-trajectories-for-overall-le"/>
    <w:p>
      <w:pPr>
        <w:pStyle w:val="Heading3"/>
      </w:pPr>
      <w:r>
        <w:t xml:space="preserve">1.5.3 Gulf-wide trajectories for overall LE</w:t>
      </w:r>
    </w:p>
    <w:p>
      <w:pPr>
        <w:pStyle w:val="FirstParagraph"/>
      </w:pPr>
      <w:r>
        <w:rPr>
          <w:bCs/>
          <w:b/>
        </w:rPr>
        <w:t xml:space="preserve">What it measures:</w:t>
      </w:r>
      <w:r>
        <w:t xml:space="preserve"> </w:t>
      </w:r>
      <w:r>
        <w:t xml:space="preserve">The overall LE score averaged across all OHI GoC regions at each census year.</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 due to data quality issues.</w:t>
      </w:r>
    </w:p>
    <w:p>
      <w:pPr>
        <w:pStyle w:val="BodyText"/>
      </w:pPr>
      <w:r>
        <w:rPr>
          <w:bCs/>
          <w:b/>
        </w:rPr>
        <w:t xml:space="preserve">Method:</w:t>
      </w:r>
      <w:r>
        <w:t xml:space="preserve"> </w:t>
      </w:r>
      <w:r>
        <w:t xml:space="preserve">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Gulf-wide charts summarize the average trajectory across regions with sufficient data. The historical reference chart appears above the 2018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bookmarkEnd w:id="41"/>
    <w:bookmarkEnd w:id="42"/>
    <w:bookmarkStart w:id="67"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2018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66"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44" name="Picture"/>
            <a:graphic>
              <a:graphicData uri="http://schemas.openxmlformats.org/drawingml/2006/picture">
                <pic:pic>
                  <pic:nvPicPr>
                    <pic:cNvPr descr="ewg31_le_docx_files/figure-docx/unnamed-chunk-6-1.png" id="45" name="Picture"/>
                    <pic:cNvPicPr>
                      <a:picLocks noChangeArrowheads="1" noChangeAspect="1"/>
                    </pic:cNvPicPr>
                  </pic:nvPicPr>
                  <pic:blipFill>
                    <a:blip r:embed="rId4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7" name="Picture"/>
            <a:graphic>
              <a:graphicData uri="http://schemas.openxmlformats.org/drawingml/2006/picture">
                <pic:pic>
                  <pic:nvPicPr>
                    <pic:cNvPr descr="ewg31_le_docx_files/figure-docx/unnamed-chunk-6-2.png" id="48" name="Picture"/>
                    <pic:cNvPicPr>
                      <a:picLocks noChangeArrowheads="1" noChangeAspect="1"/>
                    </pic:cNvPicPr>
                  </pic:nvPicPr>
                  <pic:blipFill>
                    <a:blip r:embed="rId46"/>
                    <a:stretch>
                      <a:fillRect/>
                    </a:stretch>
                  </pic:blipFill>
                  <pic:spPr bwMode="auto">
                    <a:xfrm>
                      <a:off x="0" y="0"/>
                      <a:ext cx="5334000" cy="3429000"/>
                    </a:xfrm>
                    <a:prstGeom prst="rect">
                      <a:avLst/>
                    </a:prstGeom>
                    <a:noFill/>
                    <a:ln w="9525">
                      <a:noFill/>
                      <a:headEnd/>
                      <a:tailEnd/>
                    </a:ln>
                  </pic:spPr>
                </pic:pic>
              </a:graphicData>
            </a:graphic>
          </wp:inline>
        </w:drawing>
      </w:r>
    </w:p>
    <w:bookmarkStart w:id="50" w:name="liv-subcomponents"/>
    <w:p>
      <w:pPr>
        <w:pStyle w:val="Heading4"/>
      </w:pPr>
      <w:r>
        <w:t xml:space="preserve">1.6.1.1 LIV subcomponents</w:t>
      </w:r>
    </w:p>
    <w:bookmarkStart w:id="49"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Jobs per coastal population in year</w:t>
      </w:r>
      <w:r>
        <w:t xml:space="preserve"> </w:t>
      </w:r>
      <m:oMath>
        <m:r>
          <m:t>t</m:t>
        </m:r>
      </m:oMath>
      <w:r>
        <w:t xml:space="preserve"> </w:t>
      </w:r>
      <w:r>
        <w:t xml:space="preserve">divided by the 2018 value for that region,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2018</m:t>
                      </m:r>
                    </m:sub>
                  </m:sSub>
                </m:den>
              </m:f>
              <m:r>
                <m:rPr>
                  <m:sty m:val="p"/>
                </m:rPr>
                <m:t>×</m:t>
              </m:r>
              <m:r>
                <m:t>100</m:t>
              </m:r>
            </m:e>
          </m:d>
        </m:oMath>
      </m:oMathPara>
    </w:p>
    <w:bookmarkEnd w:id="49"/>
    <w:bookmarkEnd w:id="50"/>
    <w:bookmarkStart w:id="55"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2" name="Picture"/>
            <a:graphic>
              <a:graphicData uri="http://schemas.openxmlformats.org/drawingml/2006/picture">
                <pic:pic>
                  <pic:nvPicPr>
                    <pic:cNvPr descr="ewg31_le_docx_files/figure-docx/unnamed-chunk-7-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54" w:name="quality-of-jobs"/>
    <w:p>
      <w:pPr>
        <w:pStyle w:val="Heading5"/>
      </w:pPr>
      <w:r>
        <w:t xml:space="preserve">1.6.1.2.1 Quality of jobs</w:t>
      </w:r>
    </w:p>
    <w:bookmarkEnd w:id="54"/>
    <w:bookmarkEnd w:id="55"/>
    <w:bookmarkStart w:id="65"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57" name="Picture"/>
            <a:graphic>
              <a:graphicData uri="http://schemas.openxmlformats.org/drawingml/2006/picture">
                <pic:pic>
                  <pic:nvPicPr>
                    <pic:cNvPr descr="ewg31_le_docx_files/figure-docx/unnamed-chunk-8-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le_docx_files/figure-docx/unnamed-chunk-8-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3.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bookmarkEnd w:id="65"/>
    <w:bookmarkEnd w:id="66"/>
    <w:bookmarkEnd w:id="67"/>
    <w:bookmarkStart w:id="79"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Current revenue divided by the 2018 revenue for that region,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2018</m:t>
                      </m:r>
                    </m:sub>
                  </m:sSub>
                </m:den>
              </m:f>
              <m:r>
                <m:rPr>
                  <m:sty m:val="p"/>
                </m:rPr>
                <m:t>×</m:t>
              </m:r>
              <m:r>
                <m:t>100</m:t>
              </m:r>
            </m:e>
          </m:d>
        </m:oMath>
      </m:oMathPara>
    </w:p>
    <w:bookmarkStart w:id="78"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2018 value,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77"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9-1.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le_docx_files/figure-docx/unnamed-chunk-10-1.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10-2.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bookmarkEnd w:id="77"/>
    <w:bookmarkEnd w:id="78"/>
    <w:bookmarkEnd w:id="79"/>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totals (formal and informal) summed across all OHI regions.</w:t>
      </w:r>
      <w:r>
        <w:t xml:space="preserve"> </w:t>
      </w:r>
      <w:r>
        <w:rPr>
          <w:bCs/>
          <w:b/>
        </w:rPr>
        <w:t xml:space="preserve">Job quality</w:t>
      </w:r>
      <w:r>
        <w:t xml:space="preserve"> </w:t>
      </w:r>
      <w:r>
        <w:t xml:space="preserve">is pesos of social benefits per job in constant 2023 MXN.</w:t>
      </w:r>
      <w:r>
        <w:t xml:space="preserve"> </w:t>
      </w:r>
      <w:r>
        <w:rPr>
          <w:bCs/>
          <w:b/>
        </w:rPr>
        <w:t xml:space="preserve">Revenue</w:t>
      </w:r>
      <w:r>
        <w:t xml:space="preserve"> </w:t>
      </w:r>
      <w:r>
        <w:t xml:space="preserve">is coastal-adjusted operating revenue in constant 2023 MXN. Lines are colored by marine sector.</w:t>
      </w:r>
    </w:p>
    <w:bookmarkStart w:id="92" w:name="sector-color-key"/>
    <w:p>
      <w:pPr>
        <w:pStyle w:val="Heading3"/>
      </w:pPr>
      <w:r>
        <w:t xml:space="preserve">1.8.1 Sector color key</w:t>
      </w:r>
    </w:p>
    <w:p>
      <w:pPr>
        <w:pStyle w:val="FirstParagraph"/>
      </w:pPr>
      <w:r>
        <w:drawing>
          <wp:inline>
            <wp:extent cx="5334000" cy="1524000"/>
            <wp:effectExtent b="0" l="0" r="0" t="0"/>
            <wp:docPr descr="" title="" id="81" name="Picture"/>
            <a:graphic>
              <a:graphicData uri="http://schemas.openxmlformats.org/drawingml/2006/picture">
                <pic:pic>
                  <pic:nvPicPr>
                    <pic:cNvPr descr="ewg31_le_docx_files/figure-docx/unnamed-chunk-12-1.png" id="82" name="Picture"/>
                    <pic:cNvPicPr>
                      <a:picLocks noChangeArrowheads="1" noChangeAspect="1"/>
                    </pic:cNvPicPr>
                  </pic:nvPicPr>
                  <pic:blipFill>
                    <a:blip r:embed="rId80"/>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t xml:space="preserve">Three separate figures: total jobs, job quality (social benefits per job), and total revenue, each summed across all OHI regions. Use the sector color key above (or the legend beside each plot) to read the lines.</w:t>
      </w:r>
    </w:p>
    <w:p>
      <w:pPr>
        <w:pStyle w:val="BodyText"/>
      </w:pPr>
      <w:r>
        <w:drawing>
          <wp:inline>
            <wp:extent cx="5334000" cy="3810000"/>
            <wp:effectExtent b="0" l="0" r="0" t="0"/>
            <wp:docPr descr="" title="" id="84" name="Picture"/>
            <a:graphic>
              <a:graphicData uri="http://schemas.openxmlformats.org/drawingml/2006/picture">
                <pic:pic>
                  <pic:nvPicPr>
                    <pic:cNvPr descr="ewg31_le_docx_files/figure-docx/unnamed-chunk-13-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87" name="Picture"/>
            <a:graphic>
              <a:graphicData uri="http://schemas.openxmlformats.org/drawingml/2006/picture">
                <pic:pic>
                  <pic:nvPicPr>
                    <pic:cNvPr descr="ewg31_le_docx_files/figure-docx/unnamed-chunk-13-2.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90" name="Picture"/>
            <a:graphic>
              <a:graphicData uri="http://schemas.openxmlformats.org/drawingml/2006/picture">
                <pic:pic>
                  <pic:nvPicPr>
                    <pic:cNvPr descr="ewg31_le_docx_files/figure-docx/unnamed-chunk-13-3.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2026-09-16T17:54:31Z</dcterms:created>
  <dcterms:modified xsi:type="dcterms:W3CDTF">2026-09-16T17:54:31Z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