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7.png" ContentType="image/png"/>
  <Override PartName="/word/media/rId93.png" ContentType="image/png"/>
  <Override PartName="/word/media/rId124.png" ContentType="image/png"/>
  <Override PartName="/word/media/rId82.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79.png" ContentType="image/png"/>
  <Override PartName="/word/media/rId50.png" ContentType="image/png"/>
  <Override PartName="/word/media/rId146.png" ContentType="image/png"/>
  <Override PartName="/word/media/rId149.png" ContentType="image/png"/>
  <Override PartName="/word/media/rId31.png" ContentType="image/png"/>
  <Override PartName="/word/media/rId34.png" ContentType="image/png"/>
  <Override PartName="/word/media/rId39.png" ContentType="image/png"/>
  <Override PartName="/word/media/rId43.png" ContentType="image/png"/>
  <Override PartName="/word/media/rId46.png" ContentType="image/png"/>
  <Override PartName="/word/media/rId53.png" ContentType="image/png"/>
  <Override PartName="/word/media/rId56.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1"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End w:id="21"/>
    <w:bookmarkStart w:id="30" w:name="ewg32-sp"/>
    <w:p>
      <w:pPr>
        <w:pStyle w:val="Heading1"/>
      </w:pPr>
      <w:r>
        <w:t xml:space="preserve">2. </w:t>
      </w:r>
      <w:r>
        <w:drawing>
          <wp:inline>
            <wp:extent cx="426720" cy="426720"/>
            <wp:effectExtent b="0" l="0" r="0" t="0"/>
            <wp:docPr descr="" title="" id="23" name="Picture"/>
            <a:graphic>
              <a:graphicData uri="http://schemas.openxmlformats.org/drawingml/2006/picture">
                <pic:pic>
                  <pic:nvPicPr>
                    <pic:cNvPr descr="figs/sense-of-place.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26" w:name="early-look-sense-of-place-sp"/>
    <w:p>
      <w:pPr>
        <w:pStyle w:val="Heading2"/>
      </w:pPr>
      <w:r>
        <w:t xml:space="preserve">2.1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5">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6"/>
    <w:bookmarkStart w:id="27" w:name="about-the-sp-goal"/>
    <w:p>
      <w:pPr>
        <w:pStyle w:val="Heading2"/>
      </w:pPr>
      <w:r>
        <w:t xml:space="preserve">2.2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End w:id="27"/>
    <w:bookmarkStart w:id="28" w:name="goal-model"/>
    <w:p>
      <w:pPr>
        <w:pStyle w:val="Heading2"/>
      </w:pPr>
      <w:r>
        <w:t xml:space="preserve">2.3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8"/>
    <w:bookmarkStart w:id="29" w:name="a-note-on-english-and-spanish-naming"/>
    <w:p>
      <w:pPr>
        <w:pStyle w:val="Heading2"/>
      </w:pPr>
      <w:r>
        <w:t xml:space="preserve">2.4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9"/>
    <w:bookmarkEnd w:id="30"/>
    <w:bookmarkStart w:id="38" w:name="overall-sense-of-place-scores"/>
    <w:p>
      <w:pPr>
        <w:pStyle w:val="Heading1"/>
      </w:pPr>
      <w:r>
        <w:t xml:space="preserve">3. Overall Sense of Place scores</w:t>
      </w:r>
    </w:p>
    <w:p>
      <w:pPr>
        <w:pStyle w:val="FirstParagraph"/>
      </w:pPr>
      <w:r>
        <w:t xml:space="preserve">The overall SP current status score for each region and year is the arithmetic mean of that region’s CCE, LSP, and ICO scores.</w:t>
      </w:r>
    </w:p>
    <w:p>
      <w:pPr>
        <w:pStyle w:val="BodyText"/>
      </w:pPr>
      <w:r>
        <w:rPr>
          <w:bCs/>
          <w:b/>
        </w:rPr>
        <w:t xml:space="preserve">Reporting years for overall SP:</w:t>
      </w:r>
      <w:r>
        <w:t xml:space="preserve"> </w:t>
      </w:r>
      <w:r>
        <w:rPr>
          <w:bCs/>
          <w:b/>
        </w:rPr>
        <w:t xml:space="preserve">2019-2025</w:t>
      </w:r>
      <w:r>
        <w:t xml:space="preserve">. We will not update overall scores past 2025 until all data sources have been updated through 2026.</w:t>
      </w:r>
    </w:p>
    <w:p>
      <w:pPr>
        <w:pStyle w:val="CaptionedFigure"/>
      </w:pPr>
      <w:r>
        <w:drawing>
          <wp:inline>
            <wp:extent cx="5334000" cy="5334000"/>
            <wp:effectExtent b="0" l="0" r="0" t="0"/>
            <wp:docPr descr="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 title="" id="32" name="Picture"/>
            <a:graphic>
              <a:graphicData uri="http://schemas.openxmlformats.org/drawingml/2006/picture">
                <pic:pic>
                  <pic:nvPicPr>
                    <pic:cNvPr descr="ewg32_sp_docx_files/figure-docx/unnamed-chunk-3-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w:t>
      </w:r>
    </w:p>
    <w:bookmarkStart w:id="37" w:name="gulf-wide-average-sp-current-status"/>
    <w:p>
      <w:pPr>
        <w:pStyle w:val="Heading2"/>
      </w:pPr>
      <w:r>
        <w:t xml:space="preserve">3.1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CaptionedFigure"/>
      </w:pPr>
      <w:r>
        <w:drawing>
          <wp:inline>
            <wp:extent cx="5334000" cy="5334000"/>
            <wp:effectExtent b="0" l="0" r="0" t="0"/>
            <wp:docPr descr="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 title="" id="35" name="Picture"/>
            <a:graphic>
              <a:graphicData uri="http://schemas.openxmlformats.org/drawingml/2006/picture">
                <pic:pic>
                  <pic:nvPicPr>
                    <pic:cNvPr descr="ewg32_sp_docx_files/figure-docx/unnamed-chunk-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w:t>
      </w:r>
    </w:p>
    <w:p>
      <w:r>
        <w:pict>
          <v:rect style="width:0;height:1.5pt" o:hralign="center" o:hrstd="t" o:hr="t"/>
        </w:pict>
      </w:r>
    </w:p>
    <w:bookmarkEnd w:id="37"/>
    <w:bookmarkEnd w:id="38"/>
    <w:bookmarkStart w:id="61" w:name="coastal-community-engagement-cce"/>
    <w:p>
      <w:pPr>
        <w:pStyle w:val="Heading1"/>
      </w:pPr>
      <w:r>
        <w:t xml:space="preserve">4.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looking-forward-pueblos">
        <w:r>
          <w:rPr>
            <w:rStyle w:val="Hyperlink"/>
          </w:rPr>
          <w:t xml:space="preserve">Acknowledgment: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t xml:space="preserve">Overall CCE current status is shown for</w:t>
      </w:r>
      <w:r>
        <w:t xml:space="preserve"> </w:t>
      </w:r>
      <w:r>
        <w:rPr>
          <w:bCs/>
          <w:b/>
        </w:rPr>
        <w:t xml:space="preserve">2019-2025</w:t>
      </w:r>
      <w:r>
        <w:t xml:space="preserve"> </w:t>
      </w:r>
      <w:r>
        <w:t xml:space="preserve">only (see the note under</w:t>
      </w:r>
      <w:r>
        <w:t xml:space="preserve"> </w:t>
      </w:r>
      <w:hyperlink w:anchor="overall-sense-of-place-scores">
        <w:r>
          <w:rPr>
            <w:rStyle w:val="Hyperlink"/>
          </w:rPr>
          <w:t xml:space="preserve">Overall Sense of Place scores</w:t>
        </w:r>
      </w:hyperlink>
      <w:r>
        <w:t xml:space="preserve">). The cultural places layer still plots through 2026 below so the group can see recent DENUE based change without including incomplete beach adoption coverage in the composite.</w:t>
      </w:r>
    </w:p>
    <w:p>
      <w:pPr>
        <w:pStyle w:val="CaptionedFigure"/>
      </w:pPr>
      <w:r>
        <w:drawing>
          <wp:inline>
            <wp:extent cx="5334000" cy="5334000"/>
            <wp:effectExtent b="0" l="0" r="0" t="0"/>
            <wp:docPr descr="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 title="" id="40" name="Picture"/>
            <a:graphic>
              <a:graphicData uri="http://schemas.openxmlformats.org/drawingml/2006/picture">
                <pic:pic>
                  <pic:nvPicPr>
                    <pic:cNvPr descr="ewg32_sp_docx_files/figure-docx/unnamed-chunk-5-1.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w:t>
      </w:r>
    </w:p>
    <w:bookmarkStart w:id="49" w:name="beach-adoptions"/>
    <w:p>
      <w:pPr>
        <w:pStyle w:val="Heading2"/>
      </w:pPr>
      <w:r>
        <w:t xml:space="preserve">4.1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42">
        <w:r>
          <w:rPr>
            <w:rStyle w:val="Hyperlink"/>
          </w:rPr>
          <w:t xml:space="preserve">adoptaunaplaya.com</w:t>
        </w:r>
      </w:hyperlink>
    </w:p>
    <w:p>
      <w:pPr>
        <w:pStyle w:val="CaptionedFigure"/>
      </w:pPr>
      <w:r>
        <w:drawing>
          <wp:inline>
            <wp:extent cx="5334000" cy="5334000"/>
            <wp:effectExtent b="0" l="0" r="0" t="0"/>
            <wp:docPr descr="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 title="" id="44" name="Picture"/>
            <a:graphic>
              <a:graphicData uri="http://schemas.openxmlformats.org/drawingml/2006/picture">
                <pic:pic>
                  <pic:nvPicPr>
                    <pic:cNvPr descr="ewg32_sp_docx_files/figure-docx/unnamed-chunk-6-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w:t>
      </w:r>
    </w:p>
    <w:p>
      <w:pPr>
        <w:pStyle w:val="CaptionedFigure"/>
      </w:pPr>
      <w:r>
        <w:drawing>
          <wp:inline>
            <wp:extent cx="5334000" cy="5334000"/>
            <wp:effectExtent b="0" l="0" r="0" t="0"/>
            <wp:docPr descr="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 title="" id="47" name="Picture"/>
            <a:graphic>
              <a:graphicData uri="http://schemas.openxmlformats.org/drawingml/2006/picture">
                <pic:pic>
                  <pic:nvPicPr>
                    <pic:cNvPr descr="ewg32_sp_docx_files/figure-docx/unnamed-chunk-7-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w:t>
      </w:r>
    </w:p>
    <w:bookmarkEnd w:id="49"/>
    <w:bookmarkStart w:id="60" w:name="non-natural-cultural-places"/>
    <w:p>
      <w:pPr>
        <w:pStyle w:val="Heading2"/>
      </w:pPr>
      <w:r>
        <w:t xml:space="preserve">4.2 Non-natural cultural places</w:t>
      </w:r>
    </w:p>
    <w:p>
      <w:pPr>
        <w:pStyle w:val="FirstParagraph"/>
      </w:pPr>
      <w:r>
        <w:t xml:space="preserve">This CCE layer measures human-made cultural establishments near the Gulf coast that support community connection to place.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usr/lib/rstudio-server/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cultural establishments are included?</w:t>
            </w:r>
          </w:p>
        </w:tc>
      </w:tr>
      <w:tr>
        <w:trPr>
          <w:cantSplit/>
        </w:trPr>
        <w:tc>
          <w:tcPr>
            <w:tcMar>
              <w:top w:w="108" w:type="dxa"/>
              <w:bottom w:w="108" w:type="dxa"/>
            </w:tcMar>
          </w:tcPr>
          <w:p>
            <w:pPr>
              <w:pStyle w:val="BodyText"/>
            </w:pPr>
            <w:pPr>
              <w:spacing w:before="16"/>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pPr>
              <w:spacing w:after="16"/>
            </w:pPr>
            <w:r>
              <w:t xml:space="preserve">The intent is to count places where people gather around coastal culture, heritage, and recreation, not every establishment that happens to fall under the broad DENUE culture and recreation sector.</w:t>
            </w:r>
          </w:p>
        </w:tc>
      </w:tr>
    </w:tbl>
    <w:p>
      <w:pPr>
        <w:pStyle w:val="BodyText"/>
      </w:pPr>
      <w:r>
        <w:rPr>
          <w:bCs/>
          <w:b/>
        </w:rPr>
        <w:t xml:space="preserve">How the layer was built</w:t>
      </w:r>
    </w:p>
    <w:p>
      <w:pPr>
        <w:numPr>
          <w:ilvl w:val="0"/>
          <w:numId w:val="1009"/>
        </w:numPr>
        <w:pStyle w:val="Compact"/>
      </w:pPr>
      <w:r>
        <w:t xml:space="preserve">Start with INEGI DENUE sector 71 for</w:t>
      </w:r>
      <w:r>
        <w:t xml:space="preserve"> </w:t>
      </w:r>
      <w:r>
        <w:rPr>
          <w:bCs/>
          <w:b/>
        </w:rPr>
        <w:t xml:space="preserve">2019-2026</w:t>
      </w:r>
      <w:r>
        <w:t xml:space="preserve">.</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Limit to cultural economic units with a meaningful coastal connection (see list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Years:</w:t>
      </w:r>
      <w:r>
        <w:t xml:space="preserve"> </w:t>
      </w:r>
      <w:r>
        <w:t xml:space="preserve">The full cultural places series is</w:t>
      </w:r>
      <w:r>
        <w:t xml:space="preserve"> </w:t>
      </w:r>
      <w:r>
        <w:rPr>
          <w:bCs/>
          <w:b/>
        </w:rPr>
        <w:t xml:space="preserve">2019-2026</w:t>
      </w:r>
      <w:r>
        <w:t xml:space="preserve"> </w:t>
      </w:r>
      <w:r>
        <w:t xml:space="preserve">(updated DENUE prep for the inland 10 km coastal buffer). We show 2026 here on purpose, so the group can see recent direction of change for this subcomponent.</w:t>
      </w:r>
      <w:r>
        <w:t xml:space="preserve"> </w:t>
      </w:r>
      <w:r>
        <w:rPr>
          <w:bCs/>
          <w:b/>
        </w:rPr>
        <w:t xml:space="preserve">2026 is not yet included in overall CCE or SP</w:t>
      </w:r>
      <w:r>
        <w:t xml:space="preserve">, because Ama tu Playa adoption inventory is not yet a reliable 2026 observation (see the note under overall scores). Note that we are able to include 2026 because we use the release of the economic unit inventory released yearly, as a snapshot to represent the annual economic units and number of employees.</w:t>
      </w:r>
    </w:p>
    <w:p>
      <w:pPr>
        <w:pStyle w:val="BodyText"/>
      </w:pPr>
      <w:r>
        <w:rPr>
          <w:bCs/>
          <w:b/>
        </w:rPr>
        <w:t xml:space="preserve">What stands out in 2025 and 2026 for non-natural cultural places.</w:t>
      </w:r>
      <w:r>
        <w:t xml:space="preserve"> </w:t>
      </w:r>
      <w:r>
        <w:t xml:space="preserve">Two regions show interesting increases that matter for interpreting the CCE cultural layer (and the series through 2026, even though 2026 is not yet included in overall CCE or SP).</w:t>
      </w:r>
    </w:p>
    <w:p>
      <w:pPr>
        <w:numPr>
          <w:ilvl w:val="0"/>
          <w:numId w:val="1011"/>
        </w:numPr>
        <w:pStyle w:val="Compact"/>
      </w:pPr>
      <w:r>
        <w:rPr>
          <w:bCs/>
          <w:b/>
        </w:rPr>
        <w:t xml:space="preserve">Western Upper Gulf (San Felipe area):</w:t>
      </w:r>
      <w:r>
        <w:t xml:space="preserve"> </w:t>
      </w:r>
      <w:r>
        <w:t xml:space="preserve">community cultural capacity grew. DENUE records shifted from only one small art studio (roughly 0-5 employees) toward</w:t>
      </w:r>
      <w:r>
        <w:t xml:space="preserve"> </w:t>
      </w:r>
      <w:r>
        <w:rPr>
          <w:bCs/>
          <w:b/>
        </w:rPr>
        <w:t xml:space="preserve">three places</w:t>
      </w:r>
      <w:r>
        <w:t xml:space="preserve">, including a</w:t>
      </w:r>
      <w:r>
        <w:t xml:space="preserve"> </w:t>
      </w:r>
      <w:r>
        <w:rPr>
          <w:iCs/>
          <w:i/>
        </w:rPr>
        <w:t xml:space="preserve">casa de cultura</w:t>
      </w:r>
      <w:r>
        <w:t xml:space="preserve"> </w:t>
      </w:r>
      <w:r>
        <w:t xml:space="preserve">and a children’s cultural and sports center, with estimated cultural jobs rising from about</w:t>
      </w:r>
      <w:r>
        <w:t xml:space="preserve"> </w:t>
      </w:r>
      <w:r>
        <w:rPr>
          <w:bCs/>
          <w:b/>
        </w:rPr>
        <w:t xml:space="preserve">3 to about 20</w:t>
      </w:r>
      <w:r>
        <w:t xml:space="preserve">.</w:t>
      </w:r>
    </w:p>
    <w:p>
      <w:pPr>
        <w:numPr>
          <w:ilvl w:val="0"/>
          <w:numId w:val="1011"/>
        </w:numPr>
        <w:pStyle w:val="Compact"/>
      </w:pPr>
      <w:r>
        <w:rPr>
          <w:bCs/>
          <w:b/>
        </w:rPr>
        <w:t xml:space="preserve">Western Central Gulf (Mulegé area):</w:t>
      </w:r>
      <w:r>
        <w:t xml:space="preserve"> </w:t>
      </w:r>
      <w:r>
        <w:t xml:space="preserve">the count of places stayed similar (about four to five museums and cultural centers, including the</w:t>
      </w:r>
      <w:r>
        <w:t xml:space="preserve"> </w:t>
      </w:r>
      <w:r>
        <w:rPr>
          <w:iCs/>
          <w:i/>
        </w:rPr>
        <w:t xml:space="preserve">Casa de la Cultura</w:t>
      </w:r>
      <w:r>
        <w:t xml:space="preserve"> </w:t>
      </w:r>
      <w:r>
        <w:t xml:space="preserve">and the</w:t>
      </w:r>
      <w:r>
        <w:t xml:space="preserve"> </w:t>
      </w:r>
      <w:r>
        <w:rPr>
          <w:iCs/>
          <w:i/>
        </w:rPr>
        <w:t xml:space="preserve">Museo Comunitario de Mulegé</w:t>
      </w:r>
      <w:r>
        <w:t xml:space="preserve">), but estimated employment grew from about</w:t>
      </w:r>
      <w:r>
        <w:t xml:space="preserve"> </w:t>
      </w:r>
      <w:r>
        <w:rPr>
          <w:bCs/>
          <w:b/>
        </w:rPr>
        <w:t xml:space="preserve">30 to about 50</w:t>
      </w:r>
      <w:r>
        <w:t xml:space="preserve"> </w:t>
      </w:r>
      <w:r>
        <w:t xml:space="preserve">staff. More staff is a signal of more activity at existing community cultural places, not only of new sites opening.</w:t>
      </w:r>
    </w:p>
    <w:p>
      <w:pPr>
        <w:pStyle w:val="FirstParagraph"/>
      </w:pPr>
      <w:r>
        <w:t xml:space="preserve">Both cases suggest that recent score movement can reflect real growth in coastal cultural infrastructure and jobs.</w:t>
      </w:r>
    </w:p>
    <w:p>
      <w:pPr>
        <w:pStyle w:val="BodyText"/>
      </w:pPr>
      <w:r>
        <w:rPr>
          <w:bCs/>
          <w:b/>
        </w:rPr>
        <w:t xml:space="preserve">Data sources</w:t>
      </w:r>
    </w:p>
    <w:p>
      <w:pPr>
        <w:numPr>
          <w:ilvl w:val="0"/>
          <w:numId w:val="1012"/>
        </w:numPr>
        <w:pStyle w:val="Compact"/>
      </w:pPr>
      <w:r>
        <w:t xml:space="preserve">INEGI DENUE sector 71 cultural and recreation establishments within the inland 10 km coastal buffer; employees estimated from DENUE size classes, scaled to coastal locality population, referenced to the 75th quantile; series through 2026</w:t>
      </w:r>
    </w:p>
    <w:bookmarkStart w:id="59" w:name="X24aa8cc7a592263575ffad37f70c7d6f1f2af4c"/>
    <w:p>
      <w:pPr>
        <w:pStyle w:val="Heading3"/>
      </w:pPr>
      <w:r>
        <w:t xml:space="preserve">4.2.1 Why we use the 75th quantile (compared with the 90th)</w:t>
      </w:r>
    </w:p>
    <w:p>
      <w:pPr>
        <w:pStyle w:val="FirstParagraph"/>
      </w:pPr>
      <w:r>
        <w:t xml:space="preserve">Before converting to a current status score, the raw rates of employees per coastal resident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We therefore use the</w:t>
      </w:r>
      <w:r>
        <w:t xml:space="preserve"> </w:t>
      </w:r>
      <w:r>
        <w:rPr>
          <w:bCs/>
          <w:b/>
        </w:rPr>
        <w:t xml:space="preserve">75th quantile</w:t>
      </w:r>
      <w:r>
        <w:t xml:space="preserve"> </w:t>
      </w:r>
      <w:r>
        <w:t xml:space="preserve">as the reference. It still rewards higher cultural employment density, but is less driven by Region 2 alone. Alternatives we considered (and set aside) include the 80th and 90th quantiles and a 2019 regional baseline.</w:t>
      </w:r>
    </w:p>
    <w:p>
      <w:pPr>
        <w:pStyle w:val="BodyText"/>
      </w:pPr>
      <w:r>
        <w:t xml:space="preserve">The plot below shows the raw rate (not yet scaled to 0-100). Horizontal lines mark the pooled 75th and 90th quantiles across all region-year observations so you can see why the 75th is the more balanced choice for this Gulf data.</w:t>
      </w:r>
    </w:p>
    <w:p>
      <w:pPr>
        <w:pStyle w:val="CaptionedFigure"/>
      </w:pPr>
      <w:r>
        <w:drawing>
          <wp:inline>
            <wp:extent cx="5334000" cy="5334000"/>
            <wp:effectExtent b="0" l="0" r="0" t="0"/>
            <wp:docPr descr="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 title="" id="54" name="Picture"/>
            <a:graphic>
              <a:graphicData uri="http://schemas.openxmlformats.org/drawingml/2006/picture">
                <pic:pic>
                  <pic:nvPicPr>
                    <pic:cNvPr descr="ewg32_sp_docx_files/figure-docx/unnamed-chunk-8-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w:t>
      </w:r>
    </w:p>
    <w:p>
      <w:pPr>
        <w:pStyle w:val="BodyText"/>
      </w:pPr>
      <w:r>
        <w:t xml:space="preserve">The 75th quantile is our chosen reference for this assessment cycle.</w:t>
      </w:r>
    </w:p>
    <w:p>
      <w:pPr>
        <w:pStyle w:val="CaptionedFigure"/>
      </w:pPr>
      <w:r>
        <w:drawing>
          <wp:inline>
            <wp:extent cx="5334000" cy="5334000"/>
            <wp:effectExtent b="0" l="0" r="0" t="0"/>
            <wp:docPr descr="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 title="" id="57" name="Picture"/>
            <a:graphic>
              <a:graphicData uri="http://schemas.openxmlformats.org/drawingml/2006/picture">
                <pic:pic>
                  <pic:nvPicPr>
                    <pic:cNvPr descr="ewg32_sp_docx_files/figure-docx/unnamed-chunk-9-1.png" id="58" name="Picture"/>
                    <pic:cNvPicPr>
                      <a:picLocks noChangeArrowheads="1" noChangeAspect="1"/>
                    </pic:cNvPicPr>
                  </pic:nvPicPr>
                  <pic:blipFill>
                    <a:blip r:embed="rId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w:t>
      </w:r>
    </w:p>
    <w:p>
      <w:r>
        <w:pict>
          <v:rect style="width:0;height:1.5pt" o:hralign="center" o:hrstd="t" o:hr="t"/>
        </w:pict>
      </w:r>
    </w:p>
    <w:bookmarkEnd w:id="59"/>
    <w:bookmarkEnd w:id="60"/>
    <w:bookmarkEnd w:id="61"/>
    <w:bookmarkStart w:id="66" w:name="looking-forward-pueblos"/>
    <w:p>
      <w:pPr>
        <w:pStyle w:val="Heading1"/>
      </w:pPr>
      <w:r>
        <w:t xml:space="preserve">5. Acknowledgment: Pueblos originarios</w:t>
      </w:r>
    </w:p>
    <w:bookmarkStart w:id="62" w:name="why-this-section-exists"/>
    <w:p>
      <w:pPr>
        <w:pStyle w:val="Heading2"/>
      </w:pPr>
      <w:r>
        <w:t xml:space="preserve">5.1 Why this section exists</w:t>
      </w:r>
    </w:p>
    <w:p>
      <w:pPr>
        <w:pStyle w:val="FirstParagraph"/>
      </w:pPr>
      <w:r>
        <w:t xml:space="preserve">This section records a methodological and ethical decision: coastal Indigenous communities are central to the Gulf of California, but we did not 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62"/>
    <w:bookmarkStart w:id="63" w:name="what-we-considered-for-cce"/>
    <w:p>
      <w:pPr>
        <w:pStyle w:val="Heading2"/>
      </w:pPr>
      <w:r>
        <w:t xml:space="preserve">5.2 What we considered for CCE</w:t>
      </w:r>
    </w:p>
    <w:p>
      <w:pPr>
        <w:pStyle w:val="FirstParagraph"/>
      </w:pPr>
      <w:r>
        <w:t xml:space="preserve">During goal development, we explored indicators of support for coastal Indigenous communities, including ideas such as:</w:t>
      </w:r>
    </w:p>
    <w:p>
      <w:pPr>
        <w:numPr>
          <w:ilvl w:val="0"/>
          <w:numId w:val="1013"/>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3"/>
        </w:numPr>
        <w:pStyle w:val="Compact"/>
      </w:pPr>
      <w:r>
        <w:rPr>
          <w:bCs/>
          <w:b/>
        </w:rPr>
        <w:t xml:space="preserve">Planes de justicia</w:t>
      </w:r>
      <w:r>
        <w:t xml:space="preserve"> </w:t>
      </w:r>
      <w:r>
        <w:t xml:space="preserve">and Justice and Integral Development Plans from INPI for coastal pueblos originarios, described by INPI as planning exercises carried out by Traditional Authorities through their own forms of government and decision making, with INPI support for regional diagnoses, proposals from community visions of well-being and justice, and follow-up on agreements with government agencies.</w:t>
      </w:r>
    </w:p>
    <w:p>
      <w:pPr>
        <w:numPr>
          <w:ilvl w:val="0"/>
          <w:numId w:val="1013"/>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It was also proposed to frame the metric around two practical questions: (1) is the community recognized by the government, and (2) do they have funding support and centers?</w:t>
      </w:r>
    </w:p>
    <w:bookmarkEnd w:id="63"/>
    <w:bookmarkStart w:id="64" w:name="X2b37dfd54cfe88a6705d26d079125455031cbf8"/>
    <w:p>
      <w:pPr>
        <w:pStyle w:val="Heading2"/>
      </w:pPr>
      <w:r>
        <w:t xml:space="preserve">5.3 Why these indicators are not in the current score</w:t>
      </w:r>
    </w:p>
    <w:p>
      <w:pPr>
        <w:pStyle w:val="FirstParagraph"/>
      </w:pPr>
      <w:r>
        <w:t xml:space="preserve">After discussion, we decided not to include these indicators in the published CCE score for this assessment cycle, because:</w:t>
      </w:r>
    </w:p>
    <w:p>
      <w:pPr>
        <w:numPr>
          <w:ilvl w:val="0"/>
          <w:numId w:val="1014"/>
        </w:numPr>
        <w:pStyle w:val="Compact"/>
      </w:pPr>
      <w:r>
        <w:t xml:space="preserve">We did not have the time and resources to keep Indigenous groups in continuous conversation throughout Index development in the way this topic requires.</w:t>
      </w:r>
    </w:p>
    <w:p>
      <w:pPr>
        <w:numPr>
          <w:ilvl w:val="0"/>
          <w:numId w:val="1014"/>
        </w:numPr>
        <w:pStyle w:val="Compact"/>
      </w:pPr>
      <w:r>
        <w:t xml:space="preserve">We do not want to presuppose community condition or speak for them,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4"/>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self-determination.</w:t>
      </w:r>
    </w:p>
    <w:p>
      <w:pPr>
        <w:numPr>
          <w:ilvl w:val="0"/>
          <w:numId w:val="1014"/>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64"/>
    <w:bookmarkStart w:id="65" w:name="looking-forward"/>
    <w:p>
      <w:pPr>
        <w:pStyle w:val="Heading2"/>
      </w:pPr>
      <w:r>
        <w:t xml:space="preserve">5.4 Looking forward</w:t>
      </w:r>
    </w:p>
    <w:p>
      <w:pPr>
        <w:pStyle w:val="FirstParagraph"/>
      </w:pPr>
      <w:r>
        <w:t xml:space="preserve">We hope that future iterations of the Gulf of California Ocean Health Index can incorporate co-developed indicators if communities choose to participate. The Index is meant to be reassessed over time, and methods should keep improving as relationships and capacity grow. We welcome guidance from the Expert Working Group on how to keep acknowledging pueblos originarios clearly on the website and in communications without extracting or scoring what we have not been invited to score.</w:t>
      </w:r>
    </w:p>
    <w:p>
      <w:pPr>
        <w:pStyle w:val="BodyText"/>
      </w:pPr>
      <w:r>
        <w:t xml:space="preserve">If you have contacts, cautions, or preferred language for this acknowledgment, please email me.</w:t>
      </w:r>
    </w:p>
    <w:p>
      <w:r>
        <w:pict>
          <v:rect style="width:0;height:1.5pt" o:hralign="center" o:hrstd="t" o:hr="t"/>
        </w:pict>
      </w:r>
    </w:p>
    <w:bookmarkEnd w:id="65"/>
    <w:bookmarkEnd w:id="66"/>
    <w:bookmarkStart w:id="139" w:name="lasting-special-places-lsp"/>
    <w:p>
      <w:pPr>
        <w:pStyle w:val="Heading1"/>
      </w:pPr>
      <w:r>
        <w:t xml:space="preserve">6.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70" w:name="how-lsp-was-built"/>
    <w:p>
      <w:pPr>
        <w:pStyle w:val="Heading2"/>
      </w:pPr>
      <w:r>
        <w:t xml:space="preserve">6.1 How LSP was built</w:t>
      </w:r>
    </w:p>
    <w:p>
      <w:pPr>
        <w:numPr>
          <w:ilvl w:val="0"/>
          <w:numId w:val="1015"/>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5"/>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(for example CONANP and Ramsar protected areas, fishing refuges, cooperative fishing territories, INAH regulation, and other legal protections).</w:t>
      </w:r>
    </w:p>
    <w:p>
      <w:pPr>
        <w:numPr>
          <w:ilvl w:val="0"/>
          <w:numId w:val="1015"/>
        </w:numPr>
      </w:pPr>
      <w:r>
        <w:rPr>
          <w:bCs/>
          <w:b/>
        </w:rPr>
        <w:t xml:space="preserve">Not all protections are equal.</w:t>
      </w:r>
      <w:r>
        <w:t xml:space="preserve"> </w:t>
      </w:r>
      <w:r>
        <w:t xml:space="preserve">Legal protections alone were generally given lower condition scores than stronger on-the-ground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6"/>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6"/>
        </w:numPr>
        <w:pStyle w:val="Compact"/>
      </w:pPr>
      <w:r>
        <w:t xml:space="preserve">Each category condition is the protection condition assigned to that category’s special places in the region</w:t>
      </w:r>
    </w:p>
    <w:p>
      <w:pPr>
        <w:numPr>
          <w:ilvl w:val="0"/>
          <w:numId w:val="1016"/>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w:t>
      </w:r>
    </w:p>
    <w:p>
      <w:pPr>
        <w:pStyle w:val="BodyText"/>
      </w:pPr>
      <w:r>
        <w:t xml:space="preserve">The map below shows the</w:t>
      </w:r>
      <w:r>
        <w:t xml:space="preserve"> </w:t>
      </w:r>
      <w:r>
        <w:rPr>
          <w:bCs/>
          <w:b/>
        </w:rPr>
        <w:t xml:space="preserve">overall LSP current status for 2025</w:t>
      </w:r>
      <w:r>
        <w:t xml:space="preserve"> </w:t>
      </w:r>
      <w:r>
        <w:t xml:space="preserve">by OHI marine region (static export from LSP prep visualization on Mazu). Colors run from lower scores (warmer colors) to higher scores (cooler colors) on a fixed 0 to 100 scale. White regions have no combined score, and are NA.</w:t>
      </w:r>
    </w:p>
    <w:p>
      <w:pPr>
        <w:pStyle w:val="CaptionedFigure"/>
      </w:pPr>
      <w:r>
        <w:drawing>
          <wp:inline>
            <wp:extent cx="4800600" cy="4800600"/>
            <wp:effectExtent b="0" l="0" r="0" t="0"/>
            <wp:docPr descr="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 title="" id="68" name="Picture"/>
            <a:graphic>
              <a:graphicData uri="http://schemas.openxmlformats.org/drawingml/2006/picture">
                <pic:pic>
                  <pic:nvPicPr>
                    <pic:cNvPr descr="../images/sp_lsp_figs/lsp_overall_2025.png" id="69" name="Picture"/>
                    <pic:cNvPicPr>
                      <a:picLocks noChangeArrowheads="1" noChangeAspect="1"/>
                    </pic:cNvPicPr>
                  </pic:nvPicPr>
                  <pic:blipFill>
                    <a:blip r:embed="rId67"/>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w:t>
      </w:r>
    </w:p>
    <w:bookmarkEnd w:id="70"/>
    <w:bookmarkStart w:id="77" w:name="spreadsheets-for-expert-review"/>
    <w:p>
      <w:pPr>
        <w:pStyle w:val="Heading2"/>
      </w:pPr>
      <w:r>
        <w:t xml:space="preserve">6.2 Spreadsheets for expert review</w:t>
      </w:r>
    </w:p>
    <w:p>
      <w:pPr>
        <w:pStyle w:val="FirstParagraph"/>
      </w:pPr>
      <w:r>
        <w:t xml:space="preserve">Rather than embedding long inventories as dropdowns here, please use these Google Sheets (same workbook; open the tab named in the link):</w:t>
      </w:r>
    </w:p>
    <w:p>
      <w:pPr>
        <w:numPr>
          <w:ilvl w:val="0"/>
          <w:numId w:val="1017"/>
        </w:numPr>
        <w:pStyle w:val="Compact"/>
      </w:pPr>
      <w:hyperlink r:id="rId71">
        <w:r>
          <w:rPr>
            <w:rStyle w:val="Hyperlink"/>
          </w:rPr>
          <w:t xml:space="preserve">LSPs identified by the Expert Working Group</w:t>
        </w:r>
      </w:hyperlink>
    </w:p>
    <w:p>
      <w:pPr>
        <w:numPr>
          <w:ilvl w:val="0"/>
          <w:numId w:val="1017"/>
        </w:numPr>
        <w:pStyle w:val="Compact"/>
      </w:pPr>
      <w:hyperlink r:id="rId72">
        <w:r>
          <w:rPr>
            <w:rStyle w:val="Hyperlink"/>
          </w:rPr>
          <w:t xml:space="preserve">SIMEC i-efectividad scores and links to the reports</w:t>
        </w:r>
      </w:hyperlink>
    </w:p>
    <w:p>
      <w:pPr>
        <w:numPr>
          <w:ilvl w:val="0"/>
          <w:numId w:val="1017"/>
        </w:numPr>
        <w:pStyle w:val="Compact"/>
      </w:pPr>
      <w:hyperlink r:id="rId73">
        <w:r>
          <w:rPr>
            <w:rStyle w:val="Hyperlink"/>
          </w:rPr>
          <w:t xml:space="preserve">INAH archaeological sites</w:t>
        </w:r>
      </w:hyperlink>
    </w:p>
    <w:p>
      <w:pPr>
        <w:numPr>
          <w:ilvl w:val="0"/>
          <w:numId w:val="1017"/>
        </w:numPr>
        <w:pStyle w:val="Compact"/>
      </w:pPr>
      <w:hyperlink r:id="rId74">
        <w:r>
          <w:rPr>
            <w:rStyle w:val="Hyperlink"/>
          </w:rPr>
          <w:t xml:space="preserve">Ramsar management plan presence</w:t>
        </w:r>
      </w:hyperlink>
    </w:p>
    <w:p>
      <w:pPr>
        <w:numPr>
          <w:ilvl w:val="0"/>
          <w:numId w:val="1017"/>
        </w:numPr>
        <w:pStyle w:val="Compact"/>
      </w:pPr>
      <w:hyperlink r:id="rId75">
        <w:r>
          <w:rPr>
            <w:rStyle w:val="Hyperlink"/>
          </w:rPr>
          <w:t xml:space="preserve">LSP codified protection scores for expert review</w:t>
        </w:r>
      </w:hyperlink>
    </w:p>
    <w:p>
      <w:pPr>
        <w:numPr>
          <w:ilvl w:val="0"/>
          <w:numId w:val="1017"/>
        </w:numPr>
        <w:pStyle w:val="Compact"/>
      </w:pPr>
      <w:hyperlink r:id="rId76">
        <w:r>
          <w:rPr>
            <w:rStyle w:val="Hyperlink"/>
          </w:rPr>
          <w:t xml:space="preserve">LSP current status scores for each region to review</w:t>
        </w:r>
      </w:hyperlink>
    </w:p>
    <w:bookmarkEnd w:id="77"/>
    <w:bookmarkStart w:id="138" w:name="condition-approach-by-lsp-category"/>
    <w:p>
      <w:pPr>
        <w:pStyle w:val="Heading2"/>
      </w:pPr>
      <w:r>
        <w:t xml:space="preserve">6.3 Condition approach by LSP category</w:t>
      </w:r>
    </w:p>
    <w:p>
      <w:pPr>
        <w:pStyle w:val="FirstParagraph"/>
      </w:pPr>
      <w:r>
        <w:t xml:space="preserve">Within each category, we check for the strongest applicable protection first, then move to weaker or more general protections if needed. For each category below we show:</w:t>
      </w:r>
    </w:p>
    <w:p>
      <w:pPr>
        <w:numPr>
          <w:ilvl w:val="0"/>
          <w:numId w:val="1018"/>
        </w:numPr>
        <w:pStyle w:val="Compact"/>
      </w:pPr>
      <w:r>
        <w:rPr>
          <w:bCs/>
          <w:b/>
        </w:rPr>
        <w:t xml:space="preserve">Method map(s).</w:t>
      </w:r>
      <w:r>
        <w:t xml:space="preserve"> </w:t>
      </w:r>
      <w:r>
        <w:t xml:space="preserve">A method map is a figure that walks through an example of how that LSP type is scored. It shows the places, protections, or condition layers we used so you can see the method in space, not only as a list of rules.</w:t>
      </w:r>
    </w:p>
    <w:p>
      <w:pPr>
        <w:numPr>
          <w:ilvl w:val="0"/>
          <w:numId w:val="1018"/>
        </w:numPr>
        <w:pStyle w:val="Compact"/>
      </w:pPr>
      <w:r>
        <w:rPr>
          <w:bCs/>
          <w:b/>
        </w:rPr>
        <w:t xml:space="preserve">Regional category score</w:t>
      </w:r>
      <w:r>
        <w:t xml:space="preserve"> </w:t>
      </w:r>
      <w:r>
        <w:t xml:space="preserve">on the same 0 to 100 scale (white means no score for that category in the region)</w:t>
      </w:r>
    </w:p>
    <w:p>
      <w:pPr>
        <w:pStyle w:val="FirstParagraph"/>
      </w:pPr>
      <w:r>
        <w:t xml:space="preserve">A multi-panel of all category scores is also at the end of this section.</w:t>
      </w:r>
    </w:p>
    <w:bookmarkStart w:id="85" w:name="special-protected-areas"/>
    <w:p>
      <w:pPr>
        <w:pStyle w:val="Heading3"/>
      </w:pPr>
      <w:r>
        <w:t xml:space="preserve">6.3.1 Special Protected Areas</w:t>
      </w:r>
    </w:p>
    <w:p>
      <w:pPr>
        <w:pStyle w:val="FirstParagraph"/>
      </w:pPr>
      <w:r>
        <w:t xml:space="preserve">These are CONANP and Ramsar areas that experts indicated as special because they are very important ecologically, culturally, or aesthetically. They are</w:t>
      </w:r>
      <w:r>
        <w:t xml:space="preserve"> </w:t>
      </w:r>
      <w:r>
        <w:rPr>
          <w:bCs/>
          <w:b/>
        </w:rPr>
        <w:t xml:space="preserve">not</w:t>
      </w:r>
      <w:r>
        <w:t xml:space="preserve"> </w:t>
      </w:r>
      <w:r>
        <w:t xml:space="preserve">the full set of every protected area boundary in the Gulf. Experts selected places that matter as lasting special places for communities and nature, rather than areas that may exist on paper mainly from political design processes without that place-based meaning.</w:t>
      </w:r>
    </w:p>
    <w:p>
      <w:pPr>
        <w:pStyle w:val="BodyText"/>
      </w:pPr>
      <w:r>
        <w:rPr>
          <w:bCs/>
          <w:b/>
        </w:rPr>
        <w:t xml:space="preserve">What is SIMEC i-efectividad?</w:t>
      </w:r>
      <w:r>
        <w:t xml:space="preserve"> </w:t>
      </w:r>
      <w:r>
        <w:t xml:space="preserve">CONANP reports management effectiveness through</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The</w:t>
      </w:r>
      <w:r>
        <w:t xml:space="preserve"> </w:t>
      </w:r>
      <w:r>
        <w:rPr>
          <w:bCs/>
          <w:b/>
        </w:rPr>
        <w:t xml:space="preserve">i-efectividad</w:t>
      </w:r>
      <w:r>
        <w:t xml:space="preserve"> </w:t>
      </w:r>
      <w:r>
        <w:t xml:space="preserve">score summarizes how well a natural protected area is managed toward its conservation goals. It is not simply an</w:t>
      </w:r>
      <w:r>
        <w:t xml:space="preserve"> </w:t>
      </w:r>
      <w:r>
        <w:t xml:space="preserve">“</w:t>
      </w:r>
      <w:r>
        <w:t xml:space="preserve">is the special place located within a protected area?</w:t>
      </w:r>
      <w:r>
        <w:t xml:space="preserve">”</w:t>
      </w:r>
      <w:r>
        <w:t xml:space="preserve"> </w:t>
      </w:r>
      <w:r>
        <w:t xml:space="preserve">indicator. Effective management depends on suitable design, governance, staffing and budgets, day-to-day processes, and whether outcomes match site objectives. CONANP’s reporting sits in the broader international tradition of protected-area management effectiveness evaluation (for example frameworks used by the IUCN World Commission on Protected Areas). Details of the current method are in CONANP’s</w:t>
      </w:r>
      <w:r>
        <w:t xml:space="preserve"> </w:t>
      </w:r>
      <w:hyperlink r:id="rId78">
        <w:r>
          <w:rPr>
            <w:rStyle w:val="Hyperlink"/>
          </w:rPr>
          <w:t xml:space="preserve">2025 technical document for i-efectividad</w:t>
        </w:r>
      </w:hyperlink>
      <w:r>
        <w:t xml:space="preserve">. We use reported i-efectividad values as the preferred condition when an expert-listed site has them, because higher management effectiveness is a stronger claim that the place will remain protected for future generations.</w:t>
      </w:r>
    </w:p>
    <w:p>
      <w:pPr>
        <w:pStyle w:val="BodyText"/>
      </w:pPr>
      <w:r>
        <w:rPr>
          <w:bCs/>
          <w:b/>
        </w:rPr>
        <w:t xml:space="preserve">Ramsar</w:t>
      </w:r>
      <w:r>
        <w:t xml:space="preserve"> </w:t>
      </w:r>
      <w:r>
        <w:t xml:space="preserve">sites are wetlands of international importance under the Ramsar Convention. When a Ramsar site does not have a usable SIMEC score, we score management-plan status instead: a completed plan is treated as stronger, a plan in progress receives a mid-level score, and no plan is treated as weaker.</w:t>
      </w:r>
    </w:p>
    <w:p>
      <w:pPr>
        <w:numPr>
          <w:ilvl w:val="0"/>
          <w:numId w:val="1019"/>
        </w:numPr>
        <w:pStyle w:val="Compact"/>
      </w:pPr>
      <w:r>
        <w:t xml:space="preserve">Prefer SIMEC i-efectividad (management effectiveness among CONANP reporting areas) when available.</w:t>
      </w:r>
    </w:p>
    <w:p>
      <w:pPr>
        <w:numPr>
          <w:ilvl w:val="0"/>
          <w:numId w:val="1019"/>
        </w:numPr>
        <w:pStyle w:val="Compact"/>
      </w:pPr>
      <w:r>
        <w:t xml:space="preserve">For Ramsar sites, also account for management plan presence:</w:t>
      </w:r>
    </w:p>
    <w:p>
      <w:pPr>
        <w:numPr>
          <w:ilvl w:val="1"/>
          <w:numId w:val="1020"/>
        </w:numPr>
        <w:pStyle w:val="Compact"/>
      </w:pPr>
      <w:r>
        <w:t xml:space="preserve">Plan exists: use the maximum i-efectividad value used for this comparison</w:t>
      </w:r>
    </w:p>
    <w:p>
      <w:pPr>
        <w:numPr>
          <w:ilvl w:val="1"/>
          <w:numId w:val="1020"/>
        </w:numPr>
        <w:pStyle w:val="Compact"/>
      </w:pPr>
      <w:r>
        <w:t xml:space="preserve">Plan in progress: score = 60</w:t>
      </w:r>
    </w:p>
    <w:p>
      <w:pPr>
        <w:numPr>
          <w:ilvl w:val="1"/>
          <w:numId w:val="1020"/>
        </w:numPr>
        <w:pStyle w:val="Compact"/>
      </w:pPr>
      <w:r>
        <w:t xml:space="preserve">No plan: use the minimum i-efectividad value used for this comparison</w:t>
      </w:r>
    </w:p>
    <w:p>
      <w:pPr>
        <w:pStyle w:val="FirstParagraph"/>
      </w:pPr>
      <w:r>
        <w:t xml:space="preserve">The method map fills each expert-listed special protected area by its overall condition. Grey outlines show the broader protected area network for context.</w:t>
      </w:r>
    </w:p>
    <w:p>
      <w:pPr>
        <w:pStyle w:val="CaptionedFigure"/>
      </w:pPr>
      <w:r>
        <w:drawing>
          <wp:inline>
            <wp:extent cx="4533900" cy="4533900"/>
            <wp:effectExtent b="0" l="0" r="0" t="0"/>
            <wp:docPr descr="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 title="" id="80" name="Picture"/>
            <a:graphic>
              <a:graphicData uri="http://schemas.openxmlformats.org/drawingml/2006/picture">
                <pic:pic>
                  <pic:nvPicPr>
                    <pic:cNvPr descr="../images/sp_lsp_figs/process_special_protected_areas.png" id="81" name="Picture"/>
                    <pic:cNvPicPr>
                      <a:picLocks noChangeArrowheads="1" noChangeAspect="1"/>
                    </pic:cNvPicPr>
                  </pic:nvPicPr>
                  <pic:blipFill>
                    <a:blip r:embed="rId7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w:t>
      </w:r>
    </w:p>
    <w:p>
      <w:pPr>
        <w:pStyle w:val="CaptionedFigure"/>
      </w:pPr>
      <w:r>
        <w:drawing>
          <wp:inline>
            <wp:extent cx="4000500" cy="4000499"/>
            <wp:effectExtent b="0" l="0" r="0" t="0"/>
            <wp:docPr descr="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 title="" id="83" name="Picture"/>
            <a:graphic>
              <a:graphicData uri="http://schemas.openxmlformats.org/drawingml/2006/picture">
                <pic:pic>
                  <pic:nvPicPr>
                    <pic:cNvPr descr="../images/sp_lsp_figs/lsp_special_protected_areas.png" id="84" name="Picture"/>
                    <pic:cNvPicPr>
                      <a:picLocks noChangeArrowheads="1" noChangeAspect="1"/>
                    </pic:cNvPicPr>
                  </pic:nvPicPr>
                  <pic:blipFill>
                    <a:blip r:embed="rId8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w:t>
      </w:r>
    </w:p>
    <w:p>
      <w:pPr>
        <w:pStyle w:val="BodyText"/>
      </w:pPr>
      <w:r>
        <w:rPr>
          <w:bCs/>
          <w:b/>
        </w:rPr>
        <w:t xml:space="preserve">Data sources</w:t>
      </w:r>
    </w:p>
    <w:p>
      <w:pPr>
        <w:numPr>
          <w:ilvl w:val="0"/>
          <w:numId w:val="1021"/>
        </w:numPr>
        <w:pStyle w:val="Compact"/>
      </w:pPr>
      <w:r>
        <w:t xml:space="preserve">Expert Working Group special protected area list (</w:t>
      </w:r>
      <w:hyperlink r:id="rId71">
        <w:r>
          <w:rPr>
            <w:rStyle w:val="Hyperlink"/>
          </w:rPr>
          <w:t xml:space="preserve">workbook tab</w:t>
        </w:r>
      </w:hyperlink>
      <w:r>
        <w:t xml:space="preserve">)</w:t>
      </w:r>
    </w:p>
    <w:p>
      <w:pPr>
        <w:numPr>
          <w:ilvl w:val="0"/>
          <w:numId w:val="1021"/>
        </w:numPr>
        <w:pStyle w:val="Compact"/>
      </w:pPr>
      <w:r>
        <w:t xml:space="preserve">CONANP SIMEC i-efectividad (</w:t>
      </w:r>
      <w:hyperlink r:id="rId72">
        <w:r>
          <w:rPr>
            <w:rStyle w:val="Hyperlink"/>
          </w:rPr>
          <w:t xml:space="preserve">scores and report links</w:t>
        </w:r>
      </w:hyperlink>
      <w:r>
        <w:t xml:space="preserve">;</w:t>
      </w:r>
      <w:r>
        <w:t xml:space="preserve"> </w:t>
      </w:r>
      <w:hyperlink r:id="rId78">
        <w:r>
          <w:rPr>
            <w:rStyle w:val="Hyperlink"/>
          </w:rPr>
          <w:t xml:space="preserve">2025 technical document</w:t>
        </w:r>
      </w:hyperlink>
      <w:r>
        <w:t xml:space="preserve">)</w:t>
      </w:r>
    </w:p>
    <w:p>
      <w:pPr>
        <w:numPr>
          <w:ilvl w:val="0"/>
          <w:numId w:val="1021"/>
        </w:numPr>
        <w:pStyle w:val="Compact"/>
      </w:pPr>
      <w:r>
        <w:t xml:space="preserve">Ramsar management plan presence (</w:t>
      </w:r>
      <w:hyperlink r:id="rId74">
        <w:r>
          <w:rPr>
            <w:rStyle w:val="Hyperlink"/>
          </w:rPr>
          <w:t xml:space="preserve">tab</w:t>
        </w:r>
      </w:hyperlink>
      <w:r>
        <w:t xml:space="preserve">)</w:t>
      </w:r>
    </w:p>
    <w:p>
      <w:pPr>
        <w:numPr>
          <w:ilvl w:val="0"/>
          <w:numId w:val="1021"/>
        </w:numPr>
        <w:pStyle w:val="Compact"/>
      </w:pPr>
      <w:r>
        <w:t xml:space="preserve">Combined protected area polygons: WDPA (January 2025), CONANP ANP layers, and HEM ANP compilation</w:t>
      </w:r>
    </w:p>
    <w:bookmarkEnd w:id="85"/>
    <w:bookmarkStart w:id="97" w:name="priority-dive-sites"/>
    <w:p>
      <w:pPr>
        <w:pStyle w:val="Heading3"/>
      </w:pPr>
      <w:r>
        <w:t xml:space="preserve">6.3.2 Priority Dive Sites</w:t>
      </w:r>
    </w:p>
    <w:p>
      <w:pPr>
        <w:pStyle w:val="FirstParagraph"/>
      </w:pPr>
      <w:r>
        <w:t xml:space="preserve">These are dive spots from the Arcos-Aguilar et al. (2021) dive-site inventory and the CBMC GCMP prioritization of diving sites that would benefit most from formal protected-area management.</w:t>
      </w:r>
    </w:p>
    <w:p>
      <w:pPr>
        <w:pStyle w:val="BodyText"/>
      </w:pPr>
      <w:r>
        <w:rPr>
          <w:bCs/>
          <w:b/>
        </w:rPr>
        <w:t xml:space="preserve">How Arcos-Aguilar et al. (2021) assembled and characterized dive sites.</w:t>
      </w:r>
      <w:r>
        <w:t xml:space="preserve"> </w:t>
      </w:r>
      <w:hyperlink r:id="rId86">
        <w:r>
          <w:rPr>
            <w:rStyle w:val="Hyperlink"/>
          </w:rPr>
          <w:t xml:space="preserve">Arcos-Aguilar et al. (2021)</w:t>
        </w:r>
      </w:hyperlink>
      <w:r>
        <w:t xml:space="preserve"> </w:t>
      </w:r>
      <w:r>
        <w:t xml:space="preserve">built the most comprehensive national inventory of recreational dive sites in Mexico to document the economic importance of diving tourism and its dependence on healthy marine habitats. Their method:</w:t>
      </w:r>
    </w:p>
    <w:p>
      <w:pPr>
        <w:numPr>
          <w:ilvl w:val="0"/>
          <w:numId w:val="1022"/>
        </w:numPr>
        <w:pStyle w:val="Compact"/>
      </w:pPr>
      <w:r>
        <w:rPr>
          <w:bCs/>
          <w:b/>
        </w:rPr>
        <w:t xml:space="preserve">Web inventory of sites.</w:t>
      </w:r>
      <w:r>
        <w:t xml:space="preserve"> </w:t>
      </w:r>
      <w:r>
        <w:t xml:space="preserve">From January to March 2018 they searched Google in English and Spanish (</w:t>
      </w:r>
      <w:r>
        <w:rPr>
          <w:rStyle w:val="VerbatimChar"/>
        </w:rPr>
        <w:t xml:space="preserve">Diving</w:t>
      </w:r>
      <w:r>
        <w:t xml:space="preserve"> </w:t>
      </w:r>
      <w:r>
        <w:t xml:space="preserve">/</w:t>
      </w:r>
      <w:r>
        <w:t xml:space="preserve"> </w:t>
      </w:r>
      <w:r>
        <w:rPr>
          <w:rStyle w:val="VerbatimChar"/>
        </w:rPr>
        <w:t xml:space="preserve">Dive sites</w:t>
      </w:r>
      <w:r>
        <w:t xml:space="preserve"> </w:t>
      </w:r>
      <w:r>
        <w:t xml:space="preserve">/</w:t>
      </w:r>
      <w:r>
        <w:t xml:space="preserve"> </w:t>
      </w:r>
      <w:r>
        <w:rPr>
          <w:rStyle w:val="VerbatimChar"/>
        </w:rPr>
        <w:t xml:space="preserve">Buceo</w:t>
      </w:r>
      <w:r>
        <w:t xml:space="preserve"> </w:t>
      </w:r>
      <w:r>
        <w:t xml:space="preserve">/</w:t>
      </w:r>
      <w:r>
        <w:t xml:space="preserve"> </w:t>
      </w:r>
      <w:r>
        <w:rPr>
          <w:rStyle w:val="VerbatimChar"/>
        </w:rPr>
        <w:t xml:space="preserve">Sitios de buceo</w:t>
      </w:r>
      <w:r>
        <w:t xml:space="preserve"> </w:t>
      </w:r>
      <w:r>
        <w:t xml:space="preserve">+ Mexico, then each coastal state). They retained results from tourism and diving-operator websites, dive magazines, peer-reviewed papers, and gray literature.</w:t>
      </w:r>
    </w:p>
    <w:p>
      <w:pPr>
        <w:numPr>
          <w:ilvl w:val="0"/>
          <w:numId w:val="1022"/>
        </w:numPr>
        <w:pStyle w:val="Compact"/>
      </w:pPr>
      <w:r>
        <w:rPr>
          <w:bCs/>
          <w:b/>
        </w:rPr>
        <w:t xml:space="preserve">Popularity proxy.</w:t>
      </w:r>
      <w:r>
        <w:t xml:space="preserve"> </w:t>
      </w:r>
      <w:r>
        <w:t xml:space="preserve">Each time a place reappeared in search results was tallied as a</w:t>
      </w:r>
      <w:r>
        <w:t xml:space="preserve"> </w:t>
      </w:r>
      <w:r>
        <w:t xml:space="preserve">“</w:t>
      </w:r>
      <w:r>
        <w:t xml:space="preserve">frequency of appearance,</w:t>
      </w:r>
      <w:r>
        <w:t xml:space="preserve">”</w:t>
      </w:r>
      <w:r>
        <w:t xml:space="preserve"> </w:t>
      </w:r>
      <w:r>
        <w:t xml:space="preserve">used later as a simple popularity signal (more web mentions ≈ more widely advertised/known).</w:t>
      </w:r>
    </w:p>
    <w:p>
      <w:pPr>
        <w:numPr>
          <w:ilvl w:val="0"/>
          <w:numId w:val="1022"/>
        </w:numPr>
        <w:pStyle w:val="Compact"/>
      </w:pPr>
      <w:r>
        <w:rPr>
          <w:bCs/>
          <w:b/>
        </w:rPr>
        <w:t xml:space="preserve">Operators and economics.</w:t>
      </w:r>
      <w:r>
        <w:t xml:space="preserve"> </w:t>
      </w:r>
      <w:r>
        <w:t xml:space="preserve">They also assembled and field-checked active diving operators and surveyed a subset about clients, prices, and costs, showing that national diving revenues are on the same order of magnitude as Mexico’s artisanal and industrial fisheries together.</w:t>
      </w:r>
    </w:p>
    <w:p>
      <w:pPr>
        <w:numPr>
          <w:ilvl w:val="0"/>
          <w:numId w:val="1022"/>
        </w:numPr>
        <w:pStyle w:val="Compact"/>
      </w:pPr>
      <w:r>
        <w:rPr>
          <w:bCs/>
          <w:b/>
        </w:rPr>
        <w:t xml:space="preserve">Protection status overlay.</w:t>
      </w:r>
      <w:r>
        <w:t xml:space="preserve"> </w:t>
      </w:r>
      <w:r>
        <w:t xml:space="preserve">Site coordinates were overlaid on CONANP marine protected-area polygons and no-take sub-zones. Of the inventory, roughly half the sites sat inside some form of natural protected area, a small minority fell inside no-take zones, and a large share (</w:t>
      </w:r>
      <w:r>
        <w:rPr>
          <w:bCs/>
          <w:b/>
        </w:rPr>
        <w:t xml:space="preserve">about 42%</w:t>
      </w:r>
      <w:r>
        <w:t xml:space="preserve">) still lacked any protection designation.</w:t>
      </w:r>
    </w:p>
    <w:p>
      <w:pPr>
        <w:pStyle w:val="FirstParagraph"/>
      </w:pPr>
      <w:r>
        <w:t xml:space="preserve">The paper’s policy message is that many tourism-visible dive places remain outside strong protection even though diving depends on intact reefs and wildlife, and that higher encounter quality (especially in no-take settings) is linked to the experience visitors pay for.</w:t>
      </w:r>
    </w:p>
    <w:p>
      <w:pPr>
        <w:pStyle w:val="BodyText"/>
      </w:pPr>
      <w:r>
        <w:rPr>
          <w:bCs/>
          <w:b/>
        </w:rPr>
        <w:t xml:space="preserve">What</w:t>
      </w:r>
      <w:r>
        <w:rPr>
          <w:bCs/>
          <w:b/>
        </w:rPr>
        <w:t xml:space="preserve"> </w:t>
      </w:r>
      <w:r>
        <w:rPr>
          <w:bCs/>
          <w:b/>
        </w:rPr>
        <w:t xml:space="preserve">“</w:t>
      </w:r>
      <w:r>
        <w:rPr>
          <w:bCs/>
          <w:b/>
        </w:rPr>
        <w:t xml:space="preserve">priority dive sites</w:t>
      </w:r>
      <w:r>
        <w:rPr>
          <w:bCs/>
          <w:b/>
        </w:rPr>
        <w:t xml:space="preserve">”</w:t>
      </w:r>
      <w:r>
        <w:rPr>
          <w:bCs/>
          <w:b/>
        </w:rPr>
        <w:t xml:space="preserve"> </w:t>
      </w:r>
      <w:r>
        <w:rPr>
          <w:bCs/>
          <w:b/>
        </w:rPr>
        <w:t xml:space="preserve">mean in this Index.</w:t>
      </w:r>
      <w:r>
        <w:t xml:space="preserve"> </w:t>
      </w:r>
      <w:r>
        <w:t xml:space="preserve">We do</w:t>
      </w:r>
      <w:r>
        <w:t xml:space="preserve"> </w:t>
      </w:r>
      <w:r>
        <w:rPr>
          <w:bCs/>
          <w:b/>
        </w:rPr>
        <w:t xml:space="preserve">not</w:t>
      </w:r>
      <w:r>
        <w:t xml:space="preserve"> </w:t>
      </w:r>
      <w:r>
        <w:t xml:space="preserve">score every site from the full national inventory. Instead, we restrict sites to the</w:t>
      </w:r>
      <w:r>
        <w:t xml:space="preserve"> </w:t>
      </w:r>
      <w:r>
        <w:rPr>
          <w:bCs/>
          <w:b/>
        </w:rPr>
        <w:t xml:space="preserve">CBMC GCMP prioritization of diving sites</w:t>
      </w:r>
      <w:r>
        <w:t xml:space="preserve"> </w:t>
      </w:r>
      <w:r>
        <w:t xml:space="preserve">table that is an Arcos/GCMP data product: a curated subset of sites with coordinates and priority fields that flags diving locations of particular conservation and tourism importance. That priority subset is what we call</w:t>
      </w:r>
      <w:r>
        <w:t xml:space="preserve"> </w:t>
      </w:r>
      <w:r>
        <w:rPr>
          <w:bCs/>
          <w:b/>
        </w:rPr>
        <w:t xml:space="preserve">priority dive sites</w:t>
      </w:r>
      <w:r>
        <w:t xml:space="preserve"> </w:t>
      </w:r>
      <w:r>
        <w:t xml:space="preserve">here.</w:t>
      </w:r>
    </w:p>
    <w:p>
      <w:pPr>
        <w:pStyle w:val="BodyText"/>
      </w:pPr>
      <w:r>
        <w:rPr>
          <w:bCs/>
          <w:b/>
        </w:rPr>
        <w:t xml:space="preserve">Why we use that subset as lasting special places.</w:t>
      </w:r>
      <w:r>
        <w:t xml:space="preserve"> </w:t>
      </w:r>
      <w:r>
        <w:t xml:space="preserve">Arcos-Aguilar et al. showed that a large share of marketed dive sites still lie outside protected areas, while wildlife encounters that define the dive experience are more likely in managed or no-take waters. We therefore treat the priority list as places that</w:t>
      </w:r>
      <w:r>
        <w:t xml:space="preserve"> </w:t>
      </w:r>
      <w:r>
        <w:rPr>
          <w:bCs/>
          <w:b/>
        </w:rPr>
        <w:t xml:space="preserve">have been isolated as sites that would benefit from lying within a protected area</w:t>
      </w:r>
      <w:r>
        <w:t xml:space="preserve">. For Sense of Place, the</w:t>
      </w:r>
      <w:r>
        <w:t xml:space="preserve"> </w:t>
      </w:r>
      <w:r>
        <w:rPr>
          <w:bCs/>
          <w:b/>
        </w:rPr>
        <w:t xml:space="preserve">ideal reference condition</w:t>
      </w:r>
      <w:r>
        <w:t xml:space="preserve"> </w:t>
      </w:r>
      <w:r>
        <w:t xml:space="preserve">is that</w:t>
      </w:r>
      <w:r>
        <w:t xml:space="preserve"> </w:t>
      </w:r>
      <w:r>
        <w:rPr>
          <w:bCs/>
          <w:b/>
        </w:rPr>
        <w:t xml:space="preserve">all priority dive sites</w:t>
      </w:r>
      <w:r>
        <w:t xml:space="preserve"> </w:t>
      </w:r>
      <w:r>
        <w:t xml:space="preserve">sit inside managed protected areas or equivalent protections (so communities and visitors can still experience the place that made the trip meaningful). Scoring follows that ideal: inside CONANP/Ramsar areas we use SIMEC i-efectividad (and Ramsar plan rules when they apply); outside, only a weaker minimum under national tourism law remains, so unprotected priority sites pull the score down relative to a fully protected network.</w:t>
      </w:r>
    </w:p>
    <w:p>
      <w:pPr>
        <w:pStyle w:val="BodyText"/>
      </w:pPr>
      <w:r>
        <w:rPr>
          <w:bCs/>
          <w:b/>
        </w:rPr>
        <w:t xml:space="preserve">Why protected dive sites score higher (Scoring rules).</w:t>
      </w:r>
      <w:r>
        <w:t xml:space="preserve"> </w:t>
      </w:r>
      <w:r>
        <w:t xml:space="preserve">Priority dive places are lasting special places because people travel specifically to experience them. Protection helps keep the wildlife, reefs, and underwater features that make the trip meaningful, supports dive-based livelihoods when sites stay high quality, and reduces cumulative damage from use and extractive pressure. Managed protected areas and no-take areas increase the chance that the site remains the place communities and visitors valued. Outside of protected areas, there is still the national dive-tourism law (NOM-012-TUR-2016), but that residual duty of care is intentionally weaker than well-managed protection, because it is not the same as active protected area management for a special place. Therefore:</w:t>
      </w:r>
    </w:p>
    <w:p>
      <w:pPr>
        <w:numPr>
          <w:ilvl w:val="0"/>
          <w:numId w:val="1023"/>
        </w:numPr>
        <w:pStyle w:val="Compact"/>
      </w:pPr>
      <w:r>
        <w:t xml:space="preserve">If the dive site falls in a CONANP and/or Ramsar protected area, use SIMEC and Ramsar plan condition for that area.</w:t>
      </w:r>
    </w:p>
    <w:p>
      <w:pPr>
        <w:numPr>
          <w:ilvl w:val="0"/>
          <w:numId w:val="1023"/>
        </w:numPr>
        <w:pStyle w:val="Compact"/>
      </w:pPr>
      <w:r>
        <w:t xml:space="preserve">If it falls in both, take the maximum of the two condition scores.</w:t>
      </w:r>
    </w:p>
    <w:p>
      <w:pPr>
        <w:numPr>
          <w:ilvl w:val="0"/>
          <w:numId w:val="1023"/>
        </w:numPr>
        <w:pStyle w:val="Compact"/>
      </w:pPr>
      <w:r>
        <w:t xml:space="preserve">If it is outside protected areas, use a non-zero floor from NOM-012-TUR-2016 §6.11 (legal dive tourism rules that apply inside and outside protected natural areas). We determined the score by using the minimum observed SIMEC i-efectividad condition among dive sites that do have a protected-area score (currently</w:t>
      </w:r>
      <w:r>
        <w:t xml:space="preserve"> </w:t>
      </w:r>
      <w:r>
        <w:rPr>
          <w:bCs/>
          <w:b/>
        </w:rPr>
        <w:t xml:space="preserve">58</w:t>
      </w:r>
      <w:r>
        <w:t xml:space="preserve">).</w:t>
      </w:r>
    </w:p>
    <w:p>
      <w:pPr>
        <w:pStyle w:val="FirstParagraph"/>
      </w:pPr>
      <w:r>
        <w:t xml:space="preserve">Gulf-wide dive sites by overall condition, then Espíritu Santo zoom (inside protected area vs outside with tourism-rule floor), then regional scores.</w:t>
      </w:r>
    </w:p>
    <w:p>
      <w:pPr>
        <w:pStyle w:val="CaptionedFigure"/>
      </w:pPr>
      <w:r>
        <w:drawing>
          <wp:inline>
            <wp:extent cx="4533900" cy="4533900"/>
            <wp:effectExtent b="0" l="0" r="0" t="0"/>
            <wp:docPr descr="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w:t>
      </w:r>
    </w:p>
    <w:p>
      <w:pPr>
        <w:pStyle w:val="CaptionedFigure"/>
      </w:pPr>
      <w:r>
        <w:drawing>
          <wp:inline>
            <wp:extent cx="4533900" cy="4533900"/>
            <wp:effectExtent b="0" l="0" r="0" t="0"/>
            <wp:docPr descr="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w:t>
      </w:r>
    </w:p>
    <w:p>
      <w:pPr>
        <w:pStyle w:val="CaptionedFigure"/>
      </w:pPr>
      <w:r>
        <w:drawing>
          <wp:inline>
            <wp:extent cx="4000500" cy="4000499"/>
            <wp:effectExtent b="0" l="0" r="0" t="0"/>
            <wp:docPr descr="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w:t>
      </w:r>
    </w:p>
    <w:p>
      <w:pPr>
        <w:pStyle w:val="BodyText"/>
      </w:pPr>
      <w:r>
        <w:rPr>
          <w:bCs/>
          <w:b/>
        </w:rPr>
        <w:t xml:space="preserve">Data sources</w:t>
      </w:r>
    </w:p>
    <w:p>
      <w:pPr>
        <w:numPr>
          <w:ilvl w:val="0"/>
          <w:numId w:val="1024"/>
        </w:numPr>
        <w:pStyle w:val="Compact"/>
      </w:pPr>
      <w:r>
        <w:t xml:space="preserve">Arcos-Aguilar, R., F. Favoretto, J.A. Kumagai, V. Jiménez-Esquivel, A.L. Martínez-Cruz, and O. Aburto-Oropeza. 2021. Diving tourism in Mexico – Economic and conservation importance.</w:t>
      </w:r>
      <w:r>
        <w:t xml:space="preserve"> </w:t>
      </w:r>
      <w:r>
        <w:rPr>
          <w:iCs/>
          <w:i/>
        </w:rPr>
        <w:t xml:space="preserve">Marine Policy</w:t>
      </w:r>
      <w:r>
        <w:t xml:space="preserve"> </w:t>
      </w:r>
      <w:r>
        <w:t xml:space="preserve">126: 104410.</w:t>
      </w:r>
      <w:r>
        <w:t xml:space="preserve"> </w:t>
      </w:r>
      <w:hyperlink r:id="rId86">
        <w:r>
          <w:rPr>
            <w:rStyle w:val="Hyperlink"/>
          </w:rPr>
          <w:t xml:space="preserve">https://doi.org/10.1016/j.marpol.2021.104410</w:t>
        </w:r>
      </w:hyperlink>
    </w:p>
    <w:p>
      <w:pPr>
        <w:numPr>
          <w:ilvl w:val="0"/>
          <w:numId w:val="1024"/>
        </w:numPr>
        <w:pStyle w:val="Compact"/>
      </w:pPr>
      <w:r>
        <w:t xml:space="preserve">CBMC GCMP dive site layers and prioritization of diving sites table (coordinates and priority fields used in prep)</w:t>
      </w:r>
    </w:p>
    <w:p>
      <w:pPr>
        <w:numPr>
          <w:ilvl w:val="0"/>
          <w:numId w:val="1024"/>
        </w:numPr>
        <w:pStyle w:val="Compact"/>
      </w:pPr>
      <w:r>
        <w:t xml:space="preserve">Combined protected areas (WDPA, CONANP, HEM) as above</w:t>
      </w:r>
    </w:p>
    <w:p>
      <w:pPr>
        <w:numPr>
          <w:ilvl w:val="0"/>
          <w:numId w:val="1024"/>
        </w:numPr>
        <w:pStyle w:val="Compact"/>
      </w:pPr>
      <w:r>
        <w:t xml:space="preserve">CONANP SIMEC i-efectividad and Ramsar management plan presence</w:t>
      </w:r>
    </w:p>
    <w:p>
      <w:pPr>
        <w:numPr>
          <w:ilvl w:val="0"/>
          <w:numId w:val="1024"/>
        </w:numPr>
        <w:pStyle w:val="Compact"/>
      </w:pPr>
      <w:hyperlink r:id="rId96">
        <w:r>
          <w:rPr>
            <w:rStyle w:val="Hyperlink"/>
          </w:rPr>
          <w:t xml:space="preserve">NOM-012-TUR-2016</w:t>
        </w:r>
      </w:hyperlink>
      <w:r>
        <w:t xml:space="preserve"> </w:t>
      </w:r>
      <w:r>
        <w:t xml:space="preserve">§6.11 (dive tourism rules inside and outside protected natural areas)</w:t>
      </w:r>
    </w:p>
    <w:bookmarkEnd w:id="97"/>
    <w:bookmarkStart w:id="106" w:name="iconic-fishing-spots"/>
    <w:p>
      <w:pPr>
        <w:pStyle w:val="Heading3"/>
      </w:pPr>
      <w:r>
        <w:t xml:space="preserve">6.3.3 Iconic Fishing Spots</w:t>
      </w:r>
    </w:p>
    <w:p>
      <w:pPr>
        <w:pStyle w:val="FirstParagraph"/>
      </w:pPr>
      <w:r>
        <w:t xml:space="preserve">These are historically important fishing coordinates indicated by experts.</w:t>
      </w:r>
    </w:p>
    <w:p>
      <w:pPr>
        <w:pStyle w:val="BodyText"/>
      </w:pPr>
      <w:r>
        <w:rPr>
          <w:bCs/>
          <w:b/>
        </w:rPr>
        <w:t xml:space="preserve">What is a ZRP?</w:t>
      </w:r>
      <w:r>
        <w:t xml:space="preserve"> </w:t>
      </w:r>
      <w:r>
        <w:t xml:space="preserve">In Mexico, a</w:t>
      </w:r>
      <w:r>
        <w:t xml:space="preserve"> </w:t>
      </w:r>
      <w:r>
        <w:rPr>
          <w:bCs/>
          <w:b/>
        </w:rPr>
        <w:t xml:space="preserve">ZRP</w:t>
      </w:r>
      <w:r>
        <w:t xml:space="preserve"> </w:t>
      </w:r>
      <w:r>
        <w:t xml:space="preserve">is a</w:t>
      </w:r>
      <w:r>
        <w:t xml:space="preserve"> </w:t>
      </w:r>
      <w:r>
        <w:rPr>
          <w:iCs/>
          <w:i/>
        </w:rPr>
        <w:t xml:space="preserve">zona de refugio pesquero</w:t>
      </w:r>
      <w:r>
        <w:t xml:space="preserve"> </w:t>
      </w:r>
      <w:r>
        <w:t xml:space="preserve">(fishing refuge zone): a designated marine or coastal area where fishing is partly or fully restricted. The intent is to protect marine life, allow depleted fish stocks to recover, and support sustainable seafood livelihoods for local communities. In this model, an iconic fishing place that falls inside a mapped ZRP receives a condition of 100.</w:t>
      </w:r>
    </w:p>
    <w:p>
      <w:pPr>
        <w:pStyle w:val="BodyText"/>
      </w:pPr>
      <w:r>
        <w:rPr>
          <w:bCs/>
          <w:b/>
        </w:rPr>
        <w:t xml:space="preserve">What is a TURF?</w:t>
      </w:r>
      <w:r>
        <w:t xml:space="preserve"> </w:t>
      </w:r>
      <w:r>
        <w:t xml:space="preserve">A</w:t>
      </w:r>
      <w:r>
        <w:t xml:space="preserve"> </w:t>
      </w:r>
      <w:r>
        <w:rPr>
          <w:bCs/>
          <w:b/>
        </w:rPr>
        <w:t xml:space="preserve">TURF</w:t>
      </w:r>
      <w:r>
        <w:t xml:space="preserve"> </w:t>
      </w:r>
      <w:r>
        <w:t xml:space="preserve">is a territorial use right in fisheries: fishing rights allocated to a defined cooperative or community territory. We treat confirmed TURF sites as strongly protected for this place-based cultural use (also score 100). Nationwide TURF polygons are not easily available as a single public layer for batch processing, so TURF matches are based on expert review and published maps (Aceves-Bueno et al. 2023 and the associated mapping tools).</w:t>
      </w:r>
    </w:p>
    <w:p>
      <w:pPr>
        <w:numPr>
          <w:ilvl w:val="0"/>
          <w:numId w:val="1025"/>
        </w:numPr>
        <w:pStyle w:val="Compact"/>
      </w:pPr>
      <w:r>
        <w:t xml:space="preserve">If the site is in a zona de refugio pesquero (fishing refuge): score = 100.</w:t>
      </w:r>
    </w:p>
    <w:p>
      <w:pPr>
        <w:numPr>
          <w:ilvl w:val="0"/>
          <w:numId w:val="1025"/>
        </w:numPr>
        <w:pStyle w:val="Compact"/>
      </w:pPr>
      <w:r>
        <w:t xml:space="preserve">Else if the site is in a cooperative fishing territory (TURF): score = 100 (confirmed visually with Aceves-Bueno et al. 2023; national TURF polygons are not easily downloadable for batch use).</w:t>
      </w:r>
    </w:p>
    <w:p>
      <w:pPr>
        <w:numPr>
          <w:ilvl w:val="0"/>
          <w:numId w:val="1025"/>
        </w:numPr>
        <w:pStyle w:val="Compact"/>
      </w:pPr>
      <w:r>
        <w:t xml:space="preserve">Else use SIMEC and Ramsar plan scores if the site overlaps a relevant protected area.</w:t>
      </w:r>
    </w:p>
    <w:p>
      <w:pPr>
        <w:pStyle w:val="FirstParagraph"/>
      </w:pPr>
      <w:r>
        <w:t xml:space="preserve">Method map:</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In PA</w:t>
      </w:r>
      <w:r>
        <w:t xml:space="preserve"> </w:t>
      </w:r>
      <w:r>
        <w:t xml:space="preserve">vs</w:t>
      </w:r>
      <w:r>
        <w:t xml:space="preserve"> </w:t>
      </w:r>
      <w:r>
        <w:rPr>
          <w:bCs/>
          <w:b/>
        </w:rPr>
        <w:t xml:space="preserve">Other</w:t>
      </w:r>
      <w:r>
        <w:t xml:space="preserve">. Then regional fishing scores.</w:t>
      </w:r>
    </w:p>
    <w:p>
      <w:pPr>
        <w:pStyle w:val="CaptionedFigure"/>
      </w:pPr>
      <w:r>
        <w:drawing>
          <wp:inline>
            <wp:extent cx="4533900" cy="4533900"/>
            <wp:effectExtent b="0" l="0" r="0" t="0"/>
            <wp:docPr descr="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w:t>
      </w:r>
    </w:p>
    <w:p>
      <w:pPr>
        <w:pStyle w:val="CaptionedFigure"/>
      </w:pPr>
      <w:r>
        <w:drawing>
          <wp:inline>
            <wp:extent cx="4000500" cy="4000499"/>
            <wp:effectExtent b="0" l="0" r="0" t="0"/>
            <wp:docPr descr="Figure 15. Regional iconic fishing scores after applying the ZRP, TURF, and protected-area rules. Higher regional scores mean expert-listed fishing places in that region sit, on average, inside stronger fishery or protected area protection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15. Regional iconic fishing scores after applying the ZRP, TURF, and protected-area rules. Higher regional scores mean expert-listed fishing places in that region sit, on average, inside stronger fishery or protected area protections.</w:t>
      </w:r>
    </w:p>
    <w:p>
      <w:pPr>
        <w:pStyle w:val="BodyText"/>
      </w:pPr>
      <w:r>
        <w:rPr>
          <w:bCs/>
          <w:b/>
        </w:rPr>
        <w:t xml:space="preserve">Data sources</w:t>
      </w:r>
    </w:p>
    <w:p>
      <w:pPr>
        <w:numPr>
          <w:ilvl w:val="0"/>
          <w:numId w:val="1026"/>
        </w:numPr>
        <w:pStyle w:val="Compact"/>
      </w:pPr>
      <w:r>
        <w:t xml:space="preserve">Expert Working Group fishing area inventory</w:t>
      </w:r>
    </w:p>
    <w:p>
      <w:pPr>
        <w:numPr>
          <w:ilvl w:val="0"/>
          <w:numId w:val="1026"/>
        </w:numPr>
        <w:pStyle w:val="Compact"/>
      </w:pPr>
      <w:r>
        <w:t xml:space="preserve">TNC geoportal fishing refuge (ZRP) polygons</w:t>
      </w:r>
    </w:p>
    <w:p>
      <w:pPr>
        <w:numPr>
          <w:ilvl w:val="0"/>
          <w:numId w:val="1026"/>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TURF locations reviewed in that paper and associated</w:t>
      </w:r>
      <w:r>
        <w:t xml:space="preserve"> </w:t>
      </w:r>
      <w:hyperlink r:id="rId105">
        <w:r>
          <w:rPr>
            <w:rStyle w:val="Hyperlink"/>
          </w:rPr>
          <w:t xml:space="preserve">Shiny map</w:t>
        </w:r>
      </w:hyperlink>
    </w:p>
    <w:p>
      <w:pPr>
        <w:numPr>
          <w:ilvl w:val="0"/>
          <w:numId w:val="1026"/>
        </w:numPr>
        <w:pStyle w:val="Compact"/>
      </w:pPr>
      <w:r>
        <w:t xml:space="preserve">SIMEC and Ramsar plan rules when fishing sites overlap protected areas</w:t>
      </w:r>
    </w:p>
    <w:bookmarkEnd w:id="106"/>
    <w:bookmarkStart w:id="117" w:name="archaeological-sites"/>
    <w:p>
      <w:pPr>
        <w:pStyle w:val="Heading3"/>
      </w:pPr>
      <w:r>
        <w:t xml:space="preserve">6.3.4 Archaeological Sites</w:t>
      </w:r>
    </w:p>
    <w:p>
      <w:pPr>
        <w:pStyle w:val="FirstParagraph"/>
      </w:pPr>
      <w:r>
        <w:t xml:space="preserve">These are places where remains make the surrounding natural area culturally and spiritually special (for example shell middens and other coastal archaeological landscapes).</w:t>
      </w:r>
    </w:p>
    <w:p>
      <w:pPr>
        <w:pStyle w:val="BodyText"/>
      </w:pPr>
      <w:r>
        <w:rPr>
          <w:bCs/>
          <w:b/>
        </w:rPr>
        <w:t xml:space="preserve">What is INAH, and why does it count as protection?</w:t>
      </w:r>
      <w:r>
        <w:t xml:space="preserve"> </w:t>
      </w:r>
      <w:r>
        <w:rPr>
          <w:bCs/>
          <w:b/>
        </w:rPr>
        <w:t xml:space="preserve">INAH</w:t>
      </w:r>
      <w:r>
        <w:t xml:space="preserve"> </w:t>
      </w:r>
      <w:r>
        <w:t xml:space="preserve">is Mexico’s</w:t>
      </w:r>
      <w:r>
        <w:t xml:space="preserve"> </w:t>
      </w:r>
      <w:r>
        <w:rPr>
          <w:iCs/>
          <w:i/>
        </w:rPr>
        <w:t xml:space="preserve">Instituto Nacional de Antropología e Historia</w:t>
      </w:r>
      <w:r>
        <w:t xml:space="preserve"> </w:t>
      </w:r>
      <w:r>
        <w:t xml:space="preserve">(National Institute of Anthropology and History), created in 1939 to conserve, study, and share the country’s archaeological, historical, and related heritage. INAH oversees archaeological zones open to the public, historical monuments, research, cataloging, and restoration nationwide. Public-facing entry points include the archaeological zones pages (</w:t>
      </w:r>
      <w:hyperlink r:id="rId107">
        <w:r>
          <w:rPr>
            <w:rStyle w:val="Hyperlink"/>
          </w:rPr>
          <w:t xml:space="preserve">https://www.inah.gob.mx/zonas-arqueologicas</w:t>
        </w:r>
      </w:hyperlink>
      <w:r>
        <w:t xml:space="preserve">) and the historical monuments coordination (</w:t>
      </w:r>
      <w:hyperlink r:id="rId108">
        <w:r>
          <w:rPr>
            <w:rStyle w:val="Hyperlink"/>
          </w:rPr>
          <w:t xml:space="preserve">https://monumentoshistoricos.inah.gob.mx/</w:t>
        </w:r>
      </w:hyperlink>
      <w:r>
        <w:t xml:space="preserve">). For Lasting Special Places, matching an Expert Working Group site to a nearby official INAH inventory point is treated as the strongest heritage-management pathway available in our hierarchy (score 100), because the site is linked to the national institution responsible for that form of protection and stewardship.</w:t>
      </w:r>
    </w:p>
    <w:p>
      <w:pPr>
        <w:numPr>
          <w:ilvl w:val="0"/>
          <w:numId w:val="1027"/>
        </w:numPr>
        <w:pStyle w:val="Compact"/>
      </w:pPr>
      <w:r>
        <w:t xml:space="preserve">If the site matches a nearby INAH inventory point (about 10 km): score = 100.</w:t>
      </w:r>
    </w:p>
    <w:p>
      <w:pPr>
        <w:numPr>
          <w:ilvl w:val="0"/>
          <w:numId w:val="1027"/>
        </w:numPr>
        <w:pStyle w:val="Compact"/>
      </w:pPr>
      <w:r>
        <w:t xml:space="preserve">Else if a nearby natural protected area applies (about 500 m) with a management score: use that score (including special cases such as the Hauxa Manaka pact site).</w:t>
      </w:r>
    </w:p>
    <w:p>
      <w:pPr>
        <w:numPr>
          <w:ilvl w:val="0"/>
          <w:numId w:val="1027"/>
        </w:numPr>
        <w:pStyle w:val="Compact"/>
      </w:pPr>
      <w:r>
        <w:t xml:space="preserve">Else partial legal cover only: score = 30 (</w:t>
      </w:r>
      <w:r>
        <w:rPr>
          <w:iCs/>
          <w:i/>
        </w:rPr>
        <w:t xml:space="preserve">Ley Federal sobre Monumentos y Zonas Arqueológicos, Artísticos e Históricos</w:t>
      </w:r>
      <w:r>
        <w:t xml:space="preserve">).</w:t>
      </w:r>
    </w:p>
    <w:p>
      <w:pPr>
        <w:pStyle w:val="FirstParagraph"/>
      </w:pPr>
      <w:r>
        <w:t xml:space="preserve">Method map: scored sites with</w:t>
      </w:r>
      <w:r>
        <w:t xml:space="preserve"> </w:t>
      </w:r>
      <w:r>
        <w:rPr>
          <w:bCs/>
          <w:b/>
        </w:rPr>
        <w:t xml:space="preserve">INAH</w:t>
      </w:r>
      <w:r>
        <w:t xml:space="preserve"> </w:t>
      </w:r>
      <w:r>
        <w:t xml:space="preserve">/</w:t>
      </w:r>
      <w:r>
        <w:t xml:space="preserve"> </w:t>
      </w:r>
      <w:r>
        <w:rPr>
          <w:bCs/>
          <w:b/>
        </w:rPr>
        <w:t xml:space="preserve">In PA</w:t>
      </w:r>
      <w:r>
        <w:t xml:space="preserve"> </w:t>
      </w:r>
      <w:r>
        <w:t xml:space="preserve">/</w:t>
      </w:r>
      <w:r>
        <w:t xml:space="preserve"> </w:t>
      </w:r>
      <w:r>
        <w:rPr>
          <w:bCs/>
          <w:b/>
        </w:rPr>
        <w:t xml:space="preserve">Legal only</w:t>
      </w:r>
      <w:r>
        <w:t xml:space="preserve"> </w:t>
      </w:r>
      <w:r>
        <w:t xml:space="preserve">rules. Then regional archaeology scores.</w:t>
      </w:r>
    </w:p>
    <w:p>
      <w:pPr>
        <w:pStyle w:val="CaptionedFigure"/>
      </w:pPr>
      <w:r>
        <w:drawing>
          <wp:inline>
            <wp:extent cx="4533900" cy="4533900"/>
            <wp:effectExtent b="0" l="0" r="0" t="0"/>
            <wp:docPr descr="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w:t>
      </w:r>
    </w:p>
    <w:p>
      <w:pPr>
        <w:pStyle w:val="CaptionedFigure"/>
      </w:pPr>
      <w:r>
        <w:drawing>
          <wp:inline>
            <wp:extent cx="4000500" cy="4000499"/>
            <wp:effectExtent b="0" l="0" r="0" t="0"/>
            <wp:docPr descr="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w:t>
      </w:r>
    </w:p>
    <w:p>
      <w:pPr>
        <w:pStyle w:val="BodyText"/>
      </w:pPr>
      <w:r>
        <w:rPr>
          <w:bCs/>
          <w:b/>
        </w:rPr>
        <w:t xml:space="preserve">Data sources</w:t>
      </w:r>
    </w:p>
    <w:p>
      <w:pPr>
        <w:numPr>
          <w:ilvl w:val="0"/>
          <w:numId w:val="1028"/>
        </w:numPr>
        <w:pStyle w:val="Compact"/>
      </w:pPr>
      <w:r>
        <w:t xml:space="preserve">Expert Working Group archaeological and coastal cultural sites</w:t>
      </w:r>
    </w:p>
    <w:p>
      <w:pPr>
        <w:numPr>
          <w:ilvl w:val="0"/>
          <w:numId w:val="1028"/>
        </w:numPr>
        <w:pStyle w:val="Compact"/>
      </w:pPr>
      <w:hyperlink r:id="rId73">
        <w:r>
          <w:rPr>
            <w:rStyle w:val="Hyperlink"/>
          </w:rPr>
          <w:t xml:space="preserve">INAH archaeological sites table</w:t>
        </w:r>
      </w:hyperlink>
    </w:p>
    <w:p>
      <w:pPr>
        <w:numPr>
          <w:ilvl w:val="0"/>
          <w:numId w:val="1028"/>
        </w:numPr>
        <w:pStyle w:val="Compact"/>
      </w:pPr>
      <w:r>
        <w:rPr>
          <w:iCs/>
          <w:i/>
        </w:rPr>
        <w:t xml:space="preserve">Ley Federal sobre Monumentos y Zonas Arqueológicos, Artísticos e Históricos</w:t>
      </w:r>
      <w:r>
        <w:t xml:space="preserve"> </w:t>
      </w:r>
      <w:r>
        <w:t xml:space="preserve">(1972)</w:t>
      </w:r>
    </w:p>
    <w:p>
      <w:pPr>
        <w:numPr>
          <w:ilvl w:val="0"/>
          <w:numId w:val="1028"/>
        </w:numPr>
        <w:pStyle w:val="Compact"/>
      </w:pPr>
      <w:r>
        <w:t xml:space="preserve">Protected area scores for sites inside ANPs (SIMEC and prep tables)</w:t>
      </w:r>
    </w:p>
    <w:p>
      <w:pPr>
        <w:numPr>
          <w:ilvl w:val="0"/>
          <w:numId w:val="1028"/>
        </w:numPr>
        <w:pStyle w:val="Compact"/>
      </w:pPr>
      <w:r>
        <w:t xml:space="preserve">Regional archaeology context for the Upper Gulf (e.g.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open chapter figure on Manifold / University of Arizona Press</w:t>
        </w:r>
      </w:hyperlink>
      <w:r>
        <w:t xml:space="preserve">)</w:t>
      </w:r>
    </w:p>
    <w:bookmarkEnd w:id="117"/>
    <w:bookmarkStart w:id="127" w:name="special-habitats"/>
    <w:p>
      <w:pPr>
        <w:pStyle w:val="Heading3"/>
      </w:pPr>
      <w:r>
        <w:t xml:space="preserve">6.3.5 Special Habitats</w:t>
      </w:r>
    </w:p>
    <w:p>
      <w:pPr>
        <w:pStyle w:val="FirstParagraph"/>
      </w:pPr>
      <w:r>
        <w:t xml:space="preserve">These include seagrasses, mangroves, coquina reefs, and coral reefs (coral limited to expert-named Region 4 reefs).</w:t>
      </w:r>
    </w:p>
    <w:p>
      <w:pPr>
        <w:numPr>
          <w:ilvl w:val="0"/>
          <w:numId w:val="1029"/>
        </w:numPr>
        <w:pStyle w:val="Compact"/>
      </w:pPr>
      <w:r>
        <w:t xml:space="preserve">Prefer SIMEC and Ramsar plan scores when the habitat polygon touches a managed protected area after a 100 m buffer.</w:t>
      </w:r>
    </w:p>
    <w:p>
      <w:pPr>
        <w:numPr>
          <w:ilvl w:val="0"/>
          <w:numId w:val="1029"/>
        </w:numPr>
        <w:pStyle w:val="Compact"/>
      </w:pPr>
      <w:r>
        <w:t xml:space="preserve">Else use a statute-based minimum by habitat type (about 70 for mangrove, seagrass, and coral; 30 for coquina when there is no dedicated coquina statute). These scores are chosen to reflect how well the codified regulations are protecting the special habitat, comparatively. We will require expert input on this.</w:t>
      </w:r>
    </w:p>
    <w:p>
      <w:pPr>
        <w:numPr>
          <w:ilvl w:val="0"/>
          <w:numId w:val="1029"/>
        </w:numPr>
        <w:pStyle w:val="Compact"/>
      </w:pPr>
      <w:r>
        <w:t xml:space="preserve">Take the better of the protected area score (SIMEC i-efectividad or Ramsar plan rules) and that statute-based minimum.</w:t>
      </w:r>
    </w:p>
    <w:p>
      <w:pPr>
        <w:pStyle w:val="FirstParagraph"/>
      </w:pPr>
      <w:r>
        <w:t xml:space="preserve">Type means by region, coquina example, then regional special-habitats scores.</w:t>
      </w:r>
    </w:p>
    <w:p>
      <w:pPr>
        <w:pStyle w:val="CaptionedFigure"/>
      </w:pPr>
      <w:r>
        <w:drawing>
          <wp:inline>
            <wp:extent cx="4533900" cy="4533900"/>
            <wp:effectExtent b="0" l="0" r="0" t="0"/>
            <wp:docPr descr="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w:t>
      </w:r>
    </w:p>
    <w:p>
      <w:pPr>
        <w:pStyle w:val="CaptionedFigure"/>
      </w:pPr>
      <w:r>
        <w:drawing>
          <wp:inline>
            <wp:extent cx="4533900" cy="4533900"/>
            <wp:effectExtent b="0" l="0" r="0" t="0"/>
            <wp:docPr descr="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w:t>
      </w:r>
    </w:p>
    <w:p>
      <w:pPr>
        <w:pStyle w:val="CaptionedFigure"/>
      </w:pPr>
      <w:r>
        <w:drawing>
          <wp:inline>
            <wp:extent cx="4000500" cy="4000499"/>
            <wp:effectExtent b="0" l="0" r="0" t="0"/>
            <wp:docPr descr="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w:t>
      </w:r>
    </w:p>
    <w:p>
      <w:pPr>
        <w:pStyle w:val="BodyText"/>
      </w:pPr>
      <w:r>
        <w:rPr>
          <w:bCs/>
          <w:b/>
        </w:rPr>
        <w:t xml:space="preserve">Data sources</w:t>
      </w:r>
    </w:p>
    <w:p>
      <w:pPr>
        <w:numPr>
          <w:ilvl w:val="0"/>
          <w:numId w:val="1030"/>
        </w:numPr>
        <w:pStyle w:val="Compact"/>
      </w:pPr>
      <w:r>
        <w:t xml:space="preserve">TNC geoportal coquina, coral, and seagrass layers; HEM mangrove land cover</w:t>
      </w:r>
    </w:p>
    <w:p>
      <w:pPr>
        <w:numPr>
          <w:ilvl w:val="0"/>
          <w:numId w:val="1030"/>
        </w:numPr>
        <w:pStyle w:val="Compact"/>
      </w:pPr>
      <w:r>
        <w:t xml:space="preserve">Combined protected areas, SIMEC, and Ramsar plan tables</w:t>
      </w:r>
    </w:p>
    <w:p>
      <w:pPr>
        <w:numPr>
          <w:ilvl w:val="0"/>
          <w:numId w:val="1030"/>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CITES Appendix II coral (as cited in habitat prep)</w:t>
      </w:r>
    </w:p>
    <w:bookmarkEnd w:id="127"/>
    <w:bookmarkStart w:id="137" w:name="all-other-special-places"/>
    <w:p>
      <w:pPr>
        <w:pStyle w:val="Heading3"/>
      </w:pPr>
      <w:r>
        <w:t xml:space="preserve">6.3.6 All other Special Places</w:t>
      </w:r>
    </w:p>
    <w:p>
      <w:pPr>
        <w:pStyle w:val="FirstParagraph"/>
      </w:pPr>
      <w:r>
        <w:t xml:space="preserve">These are expert-identified marine places of importance that did not fit cleanly into the categories above.</w:t>
      </w:r>
    </w:p>
    <w:p>
      <w:pPr>
        <w:numPr>
          <w:ilvl w:val="0"/>
          <w:numId w:val="1031"/>
        </w:numPr>
        <w:pStyle w:val="Compact"/>
      </w:pPr>
      <w:r>
        <w:t xml:space="preserve">Prefer SIMEC and Ramsar plan scores when a place overlaps a protected area.</w:t>
      </w:r>
    </w:p>
    <w:p>
      <w:pPr>
        <w:numPr>
          <w:ilvl w:val="0"/>
          <w:numId w:val="1031"/>
        </w:numPr>
        <w:pStyle w:val="Compact"/>
      </w:pPr>
      <w:r>
        <w:t xml:space="preserve">Else use curated legal estimates in the</w:t>
      </w:r>
      <w:r>
        <w:t xml:space="preserve"> </w:t>
      </w:r>
      <w:hyperlink r:id="rId75">
        <w:r>
          <w:rPr>
            <w:rStyle w:val="Hyperlink"/>
          </w:rPr>
          <w:t xml:space="preserve">codified protection scores sheet</w:t>
        </w:r>
      </w:hyperlink>
      <w:r>
        <w:t xml:space="preserve">.</w:t>
      </w:r>
    </w:p>
    <w:p>
      <w:pPr>
        <w:pStyle w:val="FirstParagraph"/>
      </w:pPr>
      <w:r>
        <w:t xml:space="preserve">Method map (inside vs outside PA), then regional scores for this category.</w:t>
      </w:r>
    </w:p>
    <w:p>
      <w:pPr>
        <w:pStyle w:val="CaptionedFigure"/>
      </w:pPr>
      <w:r>
        <w:drawing>
          <wp:inline>
            <wp:extent cx="4533900" cy="4533900"/>
            <wp:effectExtent b="0" l="0" r="0" t="0"/>
            <wp:docPr descr="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w:t>
      </w:r>
    </w:p>
    <w:p>
      <w:pPr>
        <w:pStyle w:val="CaptionedFigure"/>
      </w:pPr>
      <w:r>
        <w:drawing>
          <wp:inline>
            <wp:extent cx="4000500" cy="4000499"/>
            <wp:effectExtent b="0" l="0" r="0" t="0"/>
            <wp:docPr descr="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w:t>
      </w:r>
    </w:p>
    <w:p>
      <w:pPr>
        <w:pStyle w:val="BodyText"/>
      </w:pPr>
      <w:r>
        <w:rPr>
          <w:bCs/>
          <w:b/>
        </w:rPr>
        <w:t xml:space="preserve">Data sources</w:t>
      </w:r>
    </w:p>
    <w:p>
      <w:pPr>
        <w:numPr>
          <w:ilvl w:val="0"/>
          <w:numId w:val="1032"/>
        </w:numPr>
        <w:pStyle w:val="Compact"/>
      </w:pPr>
      <w:r>
        <w:t xml:space="preserve">Expert Working Group marine location inventory</w:t>
      </w:r>
    </w:p>
    <w:p>
      <w:pPr>
        <w:numPr>
          <w:ilvl w:val="0"/>
          <w:numId w:val="1032"/>
        </w:numPr>
        <w:pStyle w:val="Compact"/>
      </w:pPr>
      <w:r>
        <w:t xml:space="preserve">Protected area overlays (WDPA, CONANP, HEM), SIMEC, Ramsar plan presence</w:t>
      </w:r>
    </w:p>
    <w:p>
      <w:pPr>
        <w:numPr>
          <w:ilvl w:val="0"/>
          <w:numId w:val="1032"/>
        </w:numPr>
        <w:pStyle w:val="Compact"/>
      </w:pPr>
      <w:r>
        <w:t xml:space="preserve">Expert reviewed codified legal scores (Google Sheet above)</w:t>
      </w:r>
    </w:p>
    <w:p>
      <w:pPr>
        <w:pStyle w:val="FirstParagraph"/>
      </w:pPr>
      <w:r>
        <w:t xml:space="preserve">Regional category scores for all six LSP types together (same prep exports).</w:t>
      </w:r>
    </w:p>
    <w:p>
      <w:pPr>
        <w:pStyle w:val="CaptionedFigure"/>
      </w:pPr>
      <w:r>
        <w:drawing>
          <wp:inline>
            <wp:extent cx="5334000" cy="5334000"/>
            <wp:effectExtent b="0" l="0" r="0" t="0"/>
            <wp:docPr descr="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w:t>
      </w:r>
    </w:p>
    <w:p>
      <w:pPr>
        <w:pStyle w:val="BodyText"/>
      </w:pPr>
      <w:r>
        <w:t xml:space="preserve">We welcome Expert Working Group feedback on the LSP methods and sources across all categories above.</w:t>
      </w:r>
    </w:p>
    <w:p>
      <w:r>
        <w:pict>
          <v:rect style="width:0;height:1.5pt" o:hralign="center" o:hrstd="t" o:hr="t"/>
        </w:pict>
      </w:r>
    </w:p>
    <w:bookmarkEnd w:id="137"/>
    <w:bookmarkEnd w:id="138"/>
    <w:bookmarkEnd w:id="139"/>
    <w:bookmarkStart w:id="154" w:name="iconic-species-ico"/>
    <w:p>
      <w:pPr>
        <w:pStyle w:val="Heading1"/>
      </w:pPr>
      <w:r>
        <w:t xml:space="preserve">7. Iconic Species (ICO)</w:t>
      </w:r>
    </w:p>
    <w:p>
      <w:pPr>
        <w:pStyle w:val="FirstParagraph"/>
      </w:pPr>
      <w:r>
        <w:t xml:space="preserve">ICO measures the condition of species that are culturally iconic for Gulf communities.</w:t>
      </w:r>
    </w:p>
    <w:bookmarkStart w:id="140" w:name="what-experts-were-asked-to-do"/>
    <w:p>
      <w:pPr>
        <w:pStyle w:val="Heading2"/>
      </w:pPr>
      <w:r>
        <w:t xml:space="preserve">7.1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3"/>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3"/>
        </w:numPr>
        <w:pStyle w:val="Compact"/>
      </w:pPr>
      <w:r>
        <w:t xml:space="preserve">If not, please add the species name, common name, and reason for being iconic.</w:t>
      </w:r>
    </w:p>
    <w:p>
      <w:pPr>
        <w:numPr>
          <w:ilvl w:val="0"/>
          <w:numId w:val="1033"/>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4"/>
        </w:numPr>
        <w:pStyle w:val="Compact"/>
      </w:pPr>
      <w:r>
        <w:t xml:space="preserve">Local ethnic or religious practices (could include traditional activities such as fishing, hunting, or commerce)</w:t>
      </w:r>
    </w:p>
    <w:p>
      <w:pPr>
        <w:numPr>
          <w:ilvl w:val="0"/>
          <w:numId w:val="1034"/>
        </w:numPr>
        <w:pStyle w:val="Compact"/>
      </w:pPr>
      <w:r>
        <w:t xml:space="preserve">Existence value</w:t>
      </w:r>
    </w:p>
    <w:p>
      <w:pPr>
        <w:numPr>
          <w:ilvl w:val="0"/>
          <w:numId w:val="1034"/>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140"/>
    <w:bookmarkStart w:id="153" w:name="how-ico-risk-weights-are-assigned"/>
    <w:p>
      <w:pPr>
        <w:pStyle w:val="Heading2"/>
      </w:pPr>
      <w:r>
        <w:t xml:space="preserve">7.2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5"/>
        </w:numPr>
        <w:pStyle w:val="Compact"/>
      </w:pPr>
      <w:r>
        <w:t xml:space="preserve">Prefer NOM-059 when the species is listed under a risk category.</w:t>
      </w:r>
    </w:p>
    <w:p>
      <w:pPr>
        <w:numPr>
          <w:ilvl w:val="0"/>
          <w:numId w:val="1035"/>
        </w:numPr>
        <w:pStyle w:val="Compact"/>
      </w:pPr>
      <w:r>
        <w:t xml:space="preserve">If NOM-059 treats the species as not listed (weight 1.0), then prefer IUCN when available.</w:t>
      </w:r>
    </w:p>
    <w:p>
      <w:pPr>
        <w:numPr>
          <w:ilvl w:val="0"/>
          <w:numId w:val="1035"/>
        </w:numPr>
        <w:pStyle w:val="Compact"/>
      </w:pPr>
      <w:r>
        <w:t xml:space="preserve">If IUCN is not available, use CITES.</w:t>
      </w:r>
    </w:p>
    <w:p>
      <w:pPr>
        <w:numPr>
          <w:ilvl w:val="0"/>
          <w:numId w:val="1035"/>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6"/>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6"/>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6"/>
        </w:numPr>
        <w:pStyle w:val="Compact"/>
      </w:pPr>
      <w:r>
        <w:t xml:space="preserve">The mean is taken across iconic species occurring in the region, then multiplied by 100 so the score is on a 0 to 100 scale</w:t>
      </w:r>
    </w:p>
    <w:bookmarkStart w:id="141" w:name="nom-059-weights"/>
    <w:p>
      <w:pPr>
        <w:pStyle w:val="Heading3"/>
      </w:pPr>
      <w:r>
        <w:t xml:space="preserve">7.2.1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141"/>
    <w:bookmarkStart w:id="142" w:name="iucn-red-list-weights"/>
    <w:p>
      <w:pPr>
        <w:pStyle w:val="Heading3"/>
      </w:pPr>
      <w:r>
        <w:t xml:space="preserve">7.2.2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142"/>
    <w:bookmarkStart w:id="152" w:name="cites-appendix-weights"/>
    <w:p>
      <w:pPr>
        <w:pStyle w:val="Heading3"/>
      </w:pPr>
      <w:r>
        <w:t xml:space="preserve">7.2.3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Morzaria-Luna et al. 2027) were intersected with OHI marine regions and the inland 10 km buffer to assign regions. Risk status time series were assembled from NOM-059 (2010, 2019, 2021, 2025 draft), IUCN, and CITES.</w:t>
      </w:r>
    </w:p>
    <w:p>
      <w:pPr>
        <w:pStyle w:val="BodyText"/>
      </w:pPr>
      <w:r>
        <w:rPr>
          <w:bCs/>
          <w:b/>
        </w:rPr>
        <w:t xml:space="preserve">Data sources</w:t>
      </w:r>
    </w:p>
    <w:p>
      <w:pPr>
        <w:numPr>
          <w:ilvl w:val="0"/>
          <w:numId w:val="1037"/>
        </w:numPr>
        <w:pStyle w:val="Compact"/>
      </w:pPr>
      <w:r>
        <w:t xml:space="preserve">Expert Working Group iconic species list</w:t>
      </w:r>
    </w:p>
    <w:p>
      <w:pPr>
        <w:numPr>
          <w:ilvl w:val="0"/>
          <w:numId w:val="1037"/>
        </w:numPr>
        <w:pStyle w:val="Compact"/>
      </w:pPr>
      <w:r>
        <w:t xml:space="preserve">Species occurrence (presence and absence): Morzaria-Luna, H., R. Cavieses-Núñez, J.M. Dorantes-Hernández, and C.R. Navarrete-Torices. 2027. Development of the Atlantis ecosystem model for the Gulf of California. Technical memorandum. CEDO Intercultural.</w:t>
      </w:r>
    </w:p>
    <w:p>
      <w:pPr>
        <w:numPr>
          <w:ilvl w:val="0"/>
          <w:numId w:val="1037"/>
        </w:numPr>
        <w:pStyle w:val="Compact"/>
      </w:pPr>
      <w:r>
        <w:t xml:space="preserve">Risk status: NOM-059-SEMARNAT, IUCN Red List, and CITES</w:t>
      </w:r>
    </w:p>
    <w:p>
      <w:pPr>
        <w:numPr>
          <w:ilvl w:val="0"/>
          <w:numId w:val="1037"/>
        </w:numPr>
        <w:pStyle w:val="Compact"/>
      </w:pPr>
      <w:r>
        <w:t xml:space="preserve">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FirstParagraph"/>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8"/>
        </w:numPr>
        <w:pStyle w:val="Compact"/>
      </w:pPr>
      <w:hyperlink r:id="rId143">
        <w:r>
          <w:rPr>
            <w:rStyle w:val="Hyperlink"/>
          </w:rPr>
          <w:t xml:space="preserve">Iconic Species List</w:t>
        </w:r>
      </w:hyperlink>
    </w:p>
    <w:p>
      <w:pPr>
        <w:numPr>
          <w:ilvl w:val="0"/>
          <w:numId w:val="1038"/>
        </w:numPr>
        <w:pStyle w:val="Compact"/>
      </w:pPr>
      <w:hyperlink r:id="rId144">
        <w:r>
          <w:rPr>
            <w:rStyle w:val="Hyperlink"/>
          </w:rPr>
          <w:t xml:space="preserve">Special Cases within IUCN</w:t>
        </w:r>
      </w:hyperlink>
    </w:p>
    <w:p>
      <w:pPr>
        <w:numPr>
          <w:ilvl w:val="0"/>
          <w:numId w:val="1038"/>
        </w:numPr>
        <w:pStyle w:val="Compact"/>
      </w:pPr>
      <w:hyperlink r:id="rId145">
        <w:r>
          <w:rPr>
            <w:rStyle w:val="Hyperlink"/>
          </w:rPr>
          <w:t xml:space="preserve">Special Cases within CITES</w:t>
        </w:r>
      </w:hyperlink>
    </w:p>
    <w:p>
      <w:pPr>
        <w:pStyle w:val="CaptionedFigure"/>
      </w:pPr>
      <w:r>
        <w:drawing>
          <wp:inline>
            <wp:extent cx="5334000" cy="5334000"/>
            <wp:effectExtent b="0" l="0" r="0" t="0"/>
            <wp:docPr descr="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 title="" id="147" name="Picture"/>
            <a:graphic>
              <a:graphicData uri="http://schemas.openxmlformats.org/drawingml/2006/picture">
                <pic:pic>
                  <pic:nvPicPr>
                    <pic:cNvPr descr="ewg32_sp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w:t>
      </w:r>
    </w:p>
    <w:p>
      <w:pPr>
        <w:pStyle w:val="CaptionedFigure"/>
      </w:pPr>
      <w:r>
        <w:drawing>
          <wp:inline>
            <wp:extent cx="5334000" cy="5334000"/>
            <wp:effectExtent b="0" l="0" r="0" t="0"/>
            <wp:docPr descr="Figure 25. Full Iconic Species time series by region from 2010 through 2025, using the same risk-weight method as Figure 24. This longer window shows how NOM-059, IUCN, and CITES status changes over time affect regional ICO scores beyond the shorter 2019-2025 SP reporting period." title="" id="150" name="Picture"/>
            <a:graphic>
              <a:graphicData uri="http://schemas.openxmlformats.org/drawingml/2006/picture">
                <pic:pic>
                  <pic:nvPicPr>
                    <pic:cNvPr descr="ewg32_sp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25. Full Iconic Species time series by region from 2010 through 2025, using the same risk-weight method as Figure 24. This longer window shows how NOM-059, IUCN, and CITES status changes over time affect regional ICO scores beyond the shorter 2019-2025 SP reporting period.</w:t>
      </w:r>
    </w:p>
    <w:p>
      <w:r>
        <w:pict>
          <v:rect style="width:0;height:1.5pt" o:hralign="center" o:hrstd="t" o:hr="t"/>
        </w:pict>
      </w:r>
    </w:p>
    <w:bookmarkEnd w:id="152"/>
    <w:bookmarkEnd w:id="153"/>
    <w:bookmarkEnd w:id="154"/>
    <w:bookmarkStart w:id="155" w:name="topics-for-discussion"/>
    <w:p>
      <w:pPr>
        <w:pStyle w:val="Heading1"/>
      </w:pPr>
      <w:r>
        <w:t xml:space="preserve">8. Topics for discussion</w:t>
      </w:r>
    </w:p>
    <w:p>
      <w:pPr>
        <w:pStyle w:val="FirstParagraph"/>
      </w:pPr>
      <w:r>
        <w:t xml:space="preserve">We plan to discuss these items with the group at EWG 3.2, though we encourage feedback prior to or after the meeting as well. We are especially interested in your feedback on the</w:t>
      </w:r>
      <w:r>
        <w:t xml:space="preserve"> </w:t>
      </w:r>
      <w:r>
        <w:rPr>
          <w:bCs/>
          <w:b/>
        </w:rPr>
        <w:t xml:space="preserve">Lasting Special Places methods</w:t>
      </w:r>
      <w:r>
        <w:t xml:space="preserve"> </w:t>
      </w:r>
      <w:r>
        <w:t xml:space="preserve">(categories, protections, floors, and data sources) in the LSP section above. Additionally, if you have any opinions on these topics:</w:t>
      </w:r>
    </w:p>
    <w:p>
      <w:pPr>
        <w:numPr>
          <w:ilvl w:val="0"/>
          <w:numId w:val="1039"/>
        </w:numPr>
      </w:pPr>
      <w:r>
        <w:rPr>
          <w:bCs/>
          <w:b/>
        </w:rPr>
        <w:t xml:space="preserve">Equal weights for CCE, LSP, and ICO.</w:t>
      </w:r>
      <w:r>
        <w:t xml:space="preserve"> </w:t>
      </w:r>
      <w:r>
        <w:t xml:space="preserve">Confirm whether equal weights are the final choice, or whether any subgoal should be weighted differently.</w:t>
      </w:r>
    </w:p>
    <w:p>
      <w:pPr>
        <w:numPr>
          <w:ilvl w:val="0"/>
          <w:numId w:val="1039"/>
        </w:numPr>
      </w:pPr>
      <w:r>
        <w:rPr>
          <w:bCs/>
          <w:b/>
        </w:rPr>
        <w:t xml:space="preserve">Dive site statute-based minimum outside protected areas (currently 58) and coquina statute-based minimum (currently 30).</w:t>
      </w:r>
      <w:r>
        <w:t xml:space="preserve"> </w:t>
      </w:r>
      <w:r>
        <w:t xml:space="preserve">Confirm whether these defaults remain the intended values, or whether the group prefers another approach.</w:t>
      </w:r>
    </w:p>
    <w:p>
      <w:pPr>
        <w:numPr>
          <w:ilvl w:val="0"/>
          <w:numId w:val="1039"/>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40"/>
        </w:numPr>
        <w:pStyle w:val="Compact"/>
      </w:pPr>
      <w:hyperlink r:id="rId143">
        <w:r>
          <w:rPr>
            <w:rStyle w:val="Hyperlink"/>
          </w:rPr>
          <w:t xml:space="preserve">Iconic Species List</w:t>
        </w:r>
      </w:hyperlink>
    </w:p>
    <w:p>
      <w:pPr>
        <w:numPr>
          <w:ilvl w:val="1"/>
          <w:numId w:val="1040"/>
        </w:numPr>
        <w:pStyle w:val="Compact"/>
      </w:pPr>
      <w:hyperlink r:id="rId144">
        <w:r>
          <w:rPr>
            <w:rStyle w:val="Hyperlink"/>
          </w:rPr>
          <w:t xml:space="preserve">Special Cases within IUCN</w:t>
        </w:r>
      </w:hyperlink>
    </w:p>
    <w:p>
      <w:pPr>
        <w:numPr>
          <w:ilvl w:val="1"/>
          <w:numId w:val="1040"/>
        </w:numPr>
        <w:pStyle w:val="Compact"/>
      </w:pPr>
      <w:hyperlink r:id="rId145">
        <w:r>
          <w:rPr>
            <w:rStyle w:val="Hyperlink"/>
          </w:rPr>
          <w:t xml:space="preserve">Special Cases within CITES</w:t>
        </w:r>
      </w:hyperlink>
    </w:p>
    <w:p>
      <w:pPr>
        <w:numPr>
          <w:ilvl w:val="0"/>
          <w:numId w:val="1039"/>
        </w:numPr>
      </w:pPr>
      <w:r>
        <w:rPr>
          <w:bCs/>
          <w:b/>
        </w:rPr>
        <w:t xml:space="preserve">Acknowledgment language.</w:t>
      </w:r>
      <w:r>
        <w:t xml:space="preserve"> </w:t>
      </w:r>
      <w:r>
        <w:t xml:space="preserve">Any preferred wording or contacts for acknowledging pueblos originarios without scoring what we have not been invited to score (</w:t>
      </w:r>
      <w:hyperlink w:anchor="looking-forward-pueblos">
        <w:r>
          <w:rPr>
            <w:rStyle w:val="Hyperlink"/>
          </w:rPr>
          <w:t xml:space="preserve">Acknowledgment: Pueblos originarios</w:t>
        </w:r>
      </w:hyperlink>
      <w:r>
        <w:t xml:space="preserve">).</w:t>
      </w:r>
    </w:p>
    <w:p>
      <w:r>
        <w:pict>
          <v:rect style="width:0;height:1.5pt" o:hralign="center" o:hrstd="t" o:hr="t"/>
        </w:pict>
      </w:r>
    </w:p>
    <w:bookmarkEnd w:id="155"/>
    <w:bookmarkStart w:id="157" w:name="related-goalkeeper-page"/>
    <w:p>
      <w:pPr>
        <w:pStyle w:val="Heading1"/>
      </w:pPr>
      <w:r>
        <w:t xml:space="preserve">9. Related Goalkeeper page</w:t>
      </w:r>
    </w:p>
    <w:p>
      <w:pPr>
        <w:pStyle w:val="FirstParagraph"/>
      </w:pPr>
      <w:r>
        <w:t xml:space="preserve">For earlier Goalkeeper process notes, see the</w:t>
      </w:r>
      <w:r>
        <w:t xml:space="preserve"> </w:t>
      </w:r>
      <w:hyperlink r:id="rId156">
        <w:r>
          <w:rPr>
            <w:rStyle w:val="Hyperlink"/>
          </w:rPr>
          <w:t xml:space="preserve">Sense of Place Goalkeeper page</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2" Target="media/rId82.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22" Target="media/rId22.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2026-09-16T17:52:56Z</dcterms:created>
  <dcterms:modified xsi:type="dcterms:W3CDTF">2026-09-16T17:52:56Z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