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1.png" ContentType="image/png"/>
  <Override PartName="/word/media/rId112.png" ContentType="image/png"/>
  <Override PartName="/word/media/rId134.png" ContentType="image/png"/>
  <Override PartName="/word/media/rId101.png" ContentType="image/png"/>
  <Override PartName="/word/media/rId67.png" ContentType="image/png"/>
  <Override PartName="/word/media/rId93.png" ContentType="image/png"/>
  <Override PartName="/word/media/rId124.png" ContentType="image/png"/>
  <Override PartName="/word/media/rId82.png" ContentType="image/png"/>
  <Override PartName="/word/media/rId128.png" ContentType="image/png"/>
  <Override PartName="/word/media/rId109.png" ContentType="image/png"/>
  <Override PartName="/word/media/rId98.png" ContentType="image/png"/>
  <Override PartName="/word/media/rId90.png" ContentType="image/png"/>
  <Override PartName="/word/media/rId87.png" ContentType="image/png"/>
  <Override PartName="/word/media/rId121.png" ContentType="image/png"/>
  <Override PartName="/word/media/rId118.png" ContentType="image/png"/>
  <Override PartName="/word/media/rId79.png" ContentType="image/png"/>
  <Override PartName="/word/media/rId50.png" ContentType="image/png"/>
  <Override PartName="/word/media/rId146.png" ContentType="image/png"/>
  <Override PartName="/word/media/rId149.png" ContentType="image/png"/>
  <Override PartName="/word/media/rId31.png" ContentType="image/png"/>
  <Override PartName="/word/media/rId34.png" ContentType="image/png"/>
  <Override PartName="/word/media/rId39.png" ContentType="image/png"/>
  <Override PartName="/word/media/rId43.png" ContentType="image/png"/>
  <Override PartName="/word/media/rId46.png" ContentType="image/png"/>
  <Override PartName="/word/media/rId53.png" ContentType="image/png"/>
  <Override PartName="/word/media/rId56.png" ContentType="image/png"/>
  <Override PartName="/word/media/rId2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Sense</w:t>
      </w:r>
      <w:r>
        <w:t xml:space="preserve"> </w:t>
      </w:r>
      <w:r>
        <w:t xml:space="preserve">of</w:t>
      </w:r>
      <w:r>
        <w:t xml:space="preserve"> </w:t>
      </w:r>
      <w:r>
        <w:t xml:space="preserve">Place</w:t>
      </w:r>
      <w:r>
        <w:t xml:space="preserve"> </w:t>
      </w:r>
      <w:r>
        <w:t xml:space="preserve">EWG</w:t>
      </w:r>
      <w:r>
        <w:t xml:space="preserve"> </w:t>
      </w:r>
      <w:r>
        <w:t xml:space="preserve">3.2</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1" w:name="ewg32-sp"/>
    <w:p>
      <w:pPr>
        <w:pStyle w:val="Heading1"/>
      </w:pPr>
      <w:r>
        <w:t xml:space="preserve">1. Sense of Place EWG 3.2</w:t>
      </w:r>
    </w:p>
    <w:p>
      <w:pPr>
        <w:pStyle w:val="FirstParagraph"/>
      </w:pPr>
      <w:r>
        <w:rPr>
          <w:bCs/>
          <w:b/>
        </w:rPr>
        <w:t xml:space="preserve">Interactive website:</w:t>
      </w:r>
      <w:r>
        <w:t xml:space="preserve"> </w:t>
      </w:r>
      <w:hyperlink r:id="rId20">
        <w:r>
          <w:rPr>
            <w:rStyle w:val="Hyperlink"/>
          </w:rPr>
          <w:t xml:space="preserve">Sense of Place EWG 3.2</w:t>
        </w:r>
      </w:hyperlink>
    </w:p>
    <w:bookmarkEnd w:id="21"/>
    <w:bookmarkStart w:id="30" w:name="ewg32-sp"/>
    <w:p>
      <w:pPr>
        <w:pStyle w:val="Heading1"/>
      </w:pPr>
      <w:r>
        <w:t xml:space="preserve">2. </w:t>
      </w:r>
      <w:r>
        <w:drawing>
          <wp:inline>
            <wp:extent cx="426720" cy="426720"/>
            <wp:effectExtent b="0" l="0" r="0" t="0"/>
            <wp:docPr descr="" title="" id="23" name="Picture"/>
            <a:graphic>
              <a:graphicData uri="http://schemas.openxmlformats.org/drawingml/2006/picture">
                <pic:pic>
                  <pic:nvPicPr>
                    <pic:cNvPr descr="figs/sense-of-place.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426720" cy="426720"/>
                    </a:xfrm>
                    <a:prstGeom prst="rect">
                      <a:avLst/>
                    </a:prstGeom>
                    <a:noFill/>
                    <a:ln w="9525">
                      <a:noFill/>
                      <a:headEnd/>
                      <a:tailEnd/>
                    </a:ln>
                  </pic:spPr>
                </pic:pic>
              </a:graphicData>
            </a:graphic>
          </wp:inline>
        </w:drawing>
      </w:r>
      <w:r>
        <w:t xml:space="preserve"> </w:t>
      </w:r>
      <w:r>
        <w:t xml:space="preserve">Sense of Place EWG 3.2</w:t>
      </w:r>
    </w:p>
    <w:bookmarkStart w:id="26" w:name="early-look-sense-of-place-sp"/>
    <w:p>
      <w:pPr>
        <w:pStyle w:val="Heading2"/>
      </w:pPr>
      <w:r>
        <w:t xml:space="preserve">2.1 Early Look: Sense of Place (SP)</w:t>
      </w:r>
    </w:p>
    <w:p>
      <w:pPr>
        <w:pStyle w:val="FirstParagraph"/>
      </w:pPr>
      <w:r>
        <w:t xml:space="preserve">We plan to review our current estimates of SP scores at the Expert Working Group meeting 3.2 on August 13, 2026. This document is intended to provide attendees with an overview of the goal model and its inputs, and an early look at its outputs, leading up to the meeting. If you read through this and have minor methodological concerns, please flag them and bring them to the meeting. If you have major methodological concerns, please share them ahead of time (email</w:t>
      </w:r>
      <w:r>
        <w:t xml:space="preserve"> </w:t>
      </w:r>
      <w:hyperlink r:id="rId25">
        <w:r>
          <w:rPr>
            <w:rStyle w:val="Hyperlink"/>
          </w:rPr>
          <w:t xml:space="preserve">smanos@nceas.ucsb.edu</w:t>
        </w:r>
      </w:hyperlink>
      <w:r>
        <w:t xml:space="preserve">). If you cannot make it to the meeting but would like to discuss, I am happy to meet 1:1 before or after.</w:t>
      </w:r>
    </w:p>
    <w:p>
      <w:pPr>
        <w:pStyle w:val="BodyText"/>
      </w:pPr>
      <w:r>
        <w:t xml:space="preserve">Please be advised that this document is intended for internal use only and informational purposes. It should not be interpreted as the final word or of peer-review quality.</w:t>
      </w:r>
    </w:p>
    <w:p>
      <w:pPr>
        <w:pStyle w:val="BodyText"/>
      </w:pPr>
      <w:r>
        <w:t xml:space="preserve">Thank you for your continued engagement with this work. We look forward to discussing these scores with you on August 13th!</w:t>
      </w:r>
    </w:p>
    <w:bookmarkEnd w:id="26"/>
    <w:bookmarkStart w:id="27" w:name="about-the-sp-goal"/>
    <w:p>
      <w:pPr>
        <w:pStyle w:val="Heading2"/>
      </w:pPr>
      <w:r>
        <w:t xml:space="preserve">2.2 About the SP Goal</w:t>
      </w:r>
    </w:p>
    <w:p>
      <w:pPr>
        <w:pStyle w:val="FirstParagraph"/>
      </w:pPr>
      <w:r>
        <w:t xml:space="preserve">The Sense of Place goal (in Spanish,</w:t>
      </w:r>
      <w:r>
        <w:t xml:space="preserve"> </w:t>
      </w:r>
      <w:r>
        <w:rPr>
          <w:bCs/>
          <w:b/>
        </w:rPr>
        <w:t xml:space="preserve">Sentido de Pertenencia</w:t>
      </w:r>
      <w:r>
        <w:t xml:space="preserve">) measures how well we are sustainably caring for the marine and coastal places and species that provide heritage, shared memory, and identity for Gulf communities.</w:t>
      </w:r>
    </w:p>
    <w:p>
      <w:pPr>
        <w:pStyle w:val="BodyText"/>
      </w:pPr>
      <w:r>
        <w:t xml:space="preserve">The Ocean Health Index treats people as part of the ecosystem. Sense of Place focuses on cultural identity and belonging connected to the Gulf, not on tourism revenue (Tourism and Recreation; Livelihoods and Economies) and not on food tonnage (Food Provisioning).</w:t>
      </w:r>
    </w:p>
    <w:p>
      <w:pPr>
        <w:pStyle w:val="BodyText"/>
      </w:pPr>
      <w:r>
        <w:rPr>
          <w:bCs/>
          <w:b/>
        </w:rPr>
        <w:t xml:space="preserve">CORE DEFINITION</w:t>
      </w:r>
    </w:p>
    <w:p>
      <w:pPr>
        <w:numPr>
          <w:ilvl w:val="0"/>
          <w:numId w:val="1001"/>
        </w:numPr>
        <w:pStyle w:val="Compact"/>
      </w:pPr>
      <w:r>
        <w:rPr>
          <w:iCs/>
          <w:i/>
          <w:bCs/>
          <w:b/>
        </w:rPr>
        <w:t xml:space="preserve">Focus:</w:t>
      </w:r>
      <w:r>
        <w:t xml:space="preserve"> </w:t>
      </w:r>
      <w:r>
        <w:t xml:space="preserve">Sustainable care of places and species that sustain cultural identity and belonging</w:t>
      </w:r>
    </w:p>
    <w:p>
      <w:pPr>
        <w:numPr>
          <w:ilvl w:val="0"/>
          <w:numId w:val="1001"/>
        </w:numPr>
        <w:pStyle w:val="Compact"/>
      </w:pPr>
      <w:r>
        <w:rPr>
          <w:iCs/>
          <w:i/>
          <w:bCs/>
          <w:b/>
        </w:rPr>
        <w:t xml:space="preserve">Not about:</w:t>
      </w:r>
      <w:r>
        <w:t xml:space="preserve"> </w:t>
      </w:r>
      <w:r>
        <w:t xml:space="preserve">Tourism revenue, commercial catch volume, or generic biodiversity alone</w:t>
      </w:r>
    </w:p>
    <w:p>
      <w:pPr>
        <w:numPr>
          <w:ilvl w:val="0"/>
          <w:numId w:val="1001"/>
        </w:numPr>
        <w:pStyle w:val="Compact"/>
      </w:pPr>
      <w:r>
        <w:rPr>
          <w:iCs/>
          <w:i/>
          <w:bCs/>
          <w:b/>
        </w:rPr>
        <w:t xml:space="preserve">Emphasis:</w:t>
      </w:r>
      <w:r>
        <w:t xml:space="preserve"> </w:t>
      </w:r>
      <w:r>
        <w:t xml:space="preserve">Iconic species condition, lasting special places, and coastal community engagement</w:t>
      </w:r>
    </w:p>
    <w:bookmarkEnd w:id="27"/>
    <w:bookmarkStart w:id="28" w:name="goal-model"/>
    <w:p>
      <w:pPr>
        <w:pStyle w:val="Heading2"/>
      </w:pPr>
      <w:r>
        <w:t xml:space="preserve">2.3 Goal model</w:t>
      </w:r>
    </w:p>
    <w:p>
      <w:pPr>
        <w:pStyle w:val="FirstParagraph"/>
      </w:pPr>
      <w:r>
        <w:t xml:space="preserve">The overall Sense of Place score is the equal weight arithmetic mean of three subgoals:</w:t>
      </w:r>
    </w:p>
    <w:p>
      <w:pPr>
        <w:pStyle w:val="BodyText"/>
      </w:pPr>
      <w:r>
        <w:rPr>
          <w:bCs/>
          <w:b/>
        </w:rPr>
        <w:t xml:space="preserve">SP = average(CCE, LSP, ICO)</w:t>
      </w:r>
    </w:p>
    <w:p>
      <w:pPr>
        <w:pStyle w:val="BodyText"/>
      </w:pPr>
      <m:oMathPara>
        <m:oMathParaPr>
          <m:jc m:val="center"/>
        </m:oMathParaPr>
        <m:oMath>
          <m:r>
            <m:t>S</m:t>
          </m:r>
          <m:sSub>
            <m:e>
              <m:r>
                <m:t>P</m:t>
              </m:r>
            </m:e>
            <m:sub>
              <m:r>
                <m:t>r</m:t>
              </m:r>
              <m:r>
                <m:rPr>
                  <m:sty m:val="p"/>
                </m:rPr>
                <m:t>,</m:t>
              </m:r>
              <m:r>
                <m:t>t</m:t>
              </m:r>
            </m:sub>
          </m:sSub>
          <m:r>
            <m:rPr>
              <m:sty m:val="p"/>
            </m:rPr>
            <m:t>=</m:t>
          </m:r>
          <m:f>
            <m:fPr>
              <m:type m:val="bar"/>
            </m:fPr>
            <m:num>
              <m:r>
                <m:t>C</m:t>
              </m:r>
              <m:r>
                <m:t>C</m:t>
              </m:r>
              <m:sSub>
                <m:e>
                  <m:r>
                    <m:t>E</m:t>
                  </m:r>
                </m:e>
                <m:sub>
                  <m:r>
                    <m:t>r</m:t>
                  </m:r>
                  <m:r>
                    <m:rPr>
                      <m:sty m:val="p"/>
                    </m:rPr>
                    <m:t>,</m:t>
                  </m:r>
                  <m:r>
                    <m:t>t</m:t>
                  </m:r>
                </m:sub>
              </m:sSub>
              <m:r>
                <m:rPr>
                  <m:sty m:val="p"/>
                </m:rPr>
                <m:t>+</m:t>
              </m:r>
              <m:r>
                <m:t>L</m:t>
              </m:r>
              <m:r>
                <m:t>S</m:t>
              </m:r>
              <m:sSub>
                <m:e>
                  <m:r>
                    <m:t>P</m:t>
                  </m:r>
                </m:e>
                <m:sub>
                  <m:r>
                    <m:t>r</m:t>
                  </m:r>
                  <m:r>
                    <m:rPr>
                      <m:sty m:val="p"/>
                    </m:rPr>
                    <m:t>,</m:t>
                  </m:r>
                  <m:r>
                    <m:t>t</m:t>
                  </m:r>
                </m:sub>
              </m:sSub>
              <m:r>
                <m:rPr>
                  <m:sty m:val="p"/>
                </m:rPr>
                <m:t>+</m:t>
              </m:r>
              <m:r>
                <m:t>I</m:t>
              </m:r>
              <m:r>
                <m:t>C</m:t>
              </m:r>
              <m:sSub>
                <m:e>
                  <m:r>
                    <m:t>O</m:t>
                  </m:r>
                </m:e>
                <m:sub>
                  <m:r>
                    <m:t>r</m:t>
                  </m:r>
                  <m:r>
                    <m:rPr>
                      <m:sty m:val="p"/>
                    </m:rPr>
                    <m:t>,</m:t>
                  </m:r>
                  <m:r>
                    <m:t>t</m:t>
                  </m:r>
                </m:sub>
              </m:sSub>
            </m:num>
            <m:den>
              <m:r>
                <m:t>3</m:t>
              </m:r>
            </m:den>
          </m:f>
        </m:oMath>
      </m:oMathPara>
    </w:p>
    <w:p>
      <w:pPr>
        <w:pStyle w:val="FirstParagraph"/>
      </w:pPr>
      <w:r>
        <w:t xml:space="preserve">where:</w:t>
      </w:r>
    </w:p>
    <w:p>
      <w:pPr>
        <w:numPr>
          <w:ilvl w:val="0"/>
          <w:numId w:val="1002"/>
        </w:numPr>
        <w:pStyle w:val="Compact"/>
      </w:pPr>
      <m:oMath>
        <m:r>
          <m:t>S</m:t>
        </m:r>
        <m:sSub>
          <m:e>
            <m:r>
              <m:t>P</m:t>
            </m:r>
          </m:e>
          <m:sub>
            <m:r>
              <m:t>r</m:t>
            </m:r>
            <m:r>
              <m:rPr>
                <m:sty m:val="p"/>
              </m:rPr>
              <m:t>,</m:t>
            </m:r>
            <m:r>
              <m:t>t</m:t>
            </m:r>
          </m:sub>
        </m:sSub>
      </m:oMath>
      <w:r>
        <w:t xml:space="preserve"> </w:t>
      </w:r>
      <w:r>
        <w:t xml:space="preserve">is the Sense of Place score for region</w:t>
      </w:r>
      <w:r>
        <w:t xml:space="preserve"> </w:t>
      </w:r>
      <m:oMath>
        <m:r>
          <m:t>r</m:t>
        </m:r>
      </m:oMath>
      <w:r>
        <w:t xml:space="preserve"> </w:t>
      </w:r>
      <w:r>
        <w:t xml:space="preserve">in year</w:t>
      </w:r>
      <w:r>
        <w:t xml:space="preserve"> </w:t>
      </w:r>
      <m:oMath>
        <m:r>
          <m:t>t</m:t>
        </m:r>
      </m:oMath>
    </w:p>
    <w:p>
      <w:pPr>
        <w:numPr>
          <w:ilvl w:val="0"/>
          <w:numId w:val="1002"/>
        </w:numPr>
        <w:pStyle w:val="Compact"/>
      </w:pPr>
      <m:oMath>
        <m:r>
          <m:t>C</m:t>
        </m:r>
        <m:r>
          <m:t>C</m:t>
        </m:r>
        <m:sSub>
          <m:e>
            <m:r>
              <m:t>E</m:t>
            </m:r>
          </m:e>
          <m:sub>
            <m:r>
              <m:t>r</m:t>
            </m:r>
            <m:r>
              <m:rPr>
                <m:sty m:val="p"/>
              </m:rPr>
              <m:t>,</m:t>
            </m:r>
            <m:r>
              <m:t>t</m:t>
            </m:r>
          </m:sub>
        </m:sSub>
      </m:oMath>
      <w:r>
        <w:t xml:space="preserve"> </w:t>
      </w:r>
      <w:r>
        <w:t xml:space="preserve">is the Coastal Community Engagement score (beach adoptions and non-natural cultural places)</w:t>
      </w:r>
    </w:p>
    <w:p>
      <w:pPr>
        <w:numPr>
          <w:ilvl w:val="0"/>
          <w:numId w:val="1002"/>
        </w:numPr>
        <w:pStyle w:val="Compact"/>
      </w:pPr>
      <m:oMath>
        <m:r>
          <m:t>L</m:t>
        </m:r>
        <m:r>
          <m:t>S</m:t>
        </m:r>
        <m:sSub>
          <m:e>
            <m:r>
              <m:t>P</m:t>
            </m:r>
          </m:e>
          <m:sub>
            <m:r>
              <m:t>r</m:t>
            </m:r>
            <m:r>
              <m:rPr>
                <m:sty m:val="p"/>
              </m:rPr>
              <m:t>,</m:t>
            </m:r>
            <m:r>
              <m:t>t</m:t>
            </m:r>
          </m:sub>
        </m:sSub>
      </m:oMath>
      <w:r>
        <w:t xml:space="preserve"> </w:t>
      </w:r>
      <w:r>
        <w:t xml:space="preserve">is the Lasting Special Places score</w:t>
      </w:r>
    </w:p>
    <w:p>
      <w:pPr>
        <w:numPr>
          <w:ilvl w:val="0"/>
          <w:numId w:val="1002"/>
        </w:numPr>
        <w:pStyle w:val="Compact"/>
      </w:pPr>
      <m:oMath>
        <m:r>
          <m:t>I</m:t>
        </m:r>
        <m:r>
          <m:t>C</m:t>
        </m:r>
        <m:sSub>
          <m:e>
            <m:r>
              <m:t>O</m:t>
            </m:r>
          </m:e>
          <m:sub>
            <m:r>
              <m:t>r</m:t>
            </m:r>
            <m:r>
              <m:rPr>
                <m:sty m:val="p"/>
              </m:rPr>
              <m:t>,</m:t>
            </m:r>
            <m:r>
              <m:t>t</m:t>
            </m:r>
          </m:sub>
        </m:sSub>
      </m:oMath>
      <w:r>
        <w:t xml:space="preserve"> </w:t>
      </w:r>
      <w:r>
        <w:t xml:space="preserve">is the Iconic Species score</w:t>
      </w:r>
    </w:p>
    <w:tbl>
      <w:tblPr>
        <w:tblStyle w:val="Table"/>
        <w:tblW w:type="pct" w:w="5000"/>
        <w:tblLook w:firstRow="1" w:lastRow="0" w:firstColumn="0" w:lastColumn="0" w:noHBand="0" w:noVBand="0" w:val="0020"/>
        <w:jc w:val="start"/>
        <w:tblLayout w:type="fixed"/>
      </w:tblPr>
      <w:tblGrid>
        <w:gridCol w:w="2640"/>
        <w:gridCol w:w="5280"/>
      </w:tblGrid>
      <w:tr>
        <w:trPr>
          <w:tblHeader w:val="true"/>
        </w:trPr>
        <w:tc>
          <w:tcPr/>
          <w:p>
            <w:pPr>
              <w:pStyle w:val="Compact"/>
              <w:jc w:val="left"/>
            </w:pPr>
            <w:r>
              <w:t xml:space="preserve">Subgoal</w:t>
            </w:r>
          </w:p>
        </w:tc>
        <w:tc>
          <w:tcPr/>
          <w:p>
            <w:pPr>
              <w:pStyle w:val="Compact"/>
              <w:jc w:val="left"/>
            </w:pPr>
            <w:r>
              <w:t xml:space="preserve">What it measures</w:t>
            </w:r>
          </w:p>
        </w:tc>
      </w:tr>
      <w:tr>
        <w:tc>
          <w:tcPr/>
          <w:p>
            <w:pPr>
              <w:pStyle w:val="Compact"/>
              <w:jc w:val="left"/>
            </w:pPr>
            <w:r>
              <w:rPr>
                <w:bCs/>
                <w:b/>
              </w:rPr>
              <w:t xml:space="preserve">CCE</w:t>
            </w:r>
          </w:p>
        </w:tc>
        <w:tc>
          <w:tcPr/>
          <w:p>
            <w:pPr>
              <w:pStyle w:val="Compact"/>
              <w:jc w:val="left"/>
            </w:pPr>
            <w:r>
              <w:t xml:space="preserve">Coastal Community Engagement: beach adoptions (Ama tu Playa beach adoption program) and non-natural cultural places scaled to coastal population</w:t>
            </w:r>
          </w:p>
        </w:tc>
      </w:tr>
      <w:tr>
        <w:tc>
          <w:tcPr/>
          <w:p>
            <w:pPr>
              <w:pStyle w:val="Compact"/>
              <w:jc w:val="left"/>
            </w:pPr>
            <w:r>
              <w:rPr>
                <w:bCs/>
                <w:b/>
              </w:rPr>
              <w:t xml:space="preserve">LSP</w:t>
            </w:r>
          </w:p>
        </w:tc>
        <w:tc>
          <w:tcPr/>
          <w:p>
            <w:pPr>
              <w:pStyle w:val="Compact"/>
              <w:jc w:val="left"/>
            </w:pPr>
            <w:r>
              <w:t xml:space="preserve">Lasting Special Places: condition of EWG identified special places (protected areas, dive sites, fishing spots, archaeology, habitats, and other places)</w:t>
            </w:r>
          </w:p>
        </w:tc>
      </w:tr>
      <w:tr>
        <w:tc>
          <w:tcPr/>
          <w:p>
            <w:pPr>
              <w:pStyle w:val="Compact"/>
              <w:jc w:val="left"/>
            </w:pPr>
            <w:r>
              <w:rPr>
                <w:bCs/>
                <w:b/>
              </w:rPr>
              <w:t xml:space="preserve">ICO</w:t>
            </w:r>
          </w:p>
        </w:tc>
        <w:tc>
          <w:tcPr/>
          <w:p>
            <w:pPr>
              <w:pStyle w:val="Compact"/>
              <w:jc w:val="left"/>
            </w:pPr>
            <w:r>
              <w:t xml:space="preserve">Iconic Species: mean risk status of culturally iconic species occurring in each region</w:t>
            </w:r>
          </w:p>
        </w:tc>
      </w:tr>
    </w:tbl>
    <w:p>
      <w:pPr>
        <w:pStyle w:val="BodyText"/>
      </w:pPr>
      <w:r>
        <w:t xml:space="preserve">Scores are calculated for each of the nine OHI Gulf of California regions. A score of 100 represents the reference point (ideal sustainable state). Where a subgoal has no value for a region year, the arithmetic mean uses the available subgoals (</w:t>
      </w:r>
      <w:r>
        <w:rPr>
          <w:rStyle w:val="VerbatimChar"/>
        </w:rPr>
        <w:t xml:space="preserve">na.rm = TRUE</w:t>
      </w:r>
      <w:r>
        <w:t xml:space="preserve">).</w:t>
      </w:r>
    </w:p>
    <w:p>
      <w:pPr>
        <w:pStyle w:val="BodyText"/>
      </w:pPr>
      <w:r>
        <w:t xml:space="preserve">Equal weights for CCE, LSP, and ICO are the current working choice. See</w:t>
      </w:r>
      <w:r>
        <w:t xml:space="preserve"> </w:t>
      </w:r>
      <w:hyperlink w:anchor="topics-for-discussion">
        <w:r>
          <w:rPr>
            <w:rStyle w:val="Hyperlink"/>
          </w:rPr>
          <w:t xml:space="preserve">Topics for discussion</w:t>
        </w:r>
      </w:hyperlink>
      <w:r>
        <w:t xml:space="preserve"> </w:t>
      </w:r>
      <w:r>
        <w:t xml:space="preserve">for confirmation with the group.</w:t>
      </w:r>
    </w:p>
    <w:bookmarkEnd w:id="28"/>
    <w:bookmarkStart w:id="29" w:name="a-note-on-english-and-spanish-naming"/>
    <w:p>
      <w:pPr>
        <w:pStyle w:val="Heading2"/>
      </w:pPr>
      <w:r>
        <w:t xml:space="preserve">2.4 A note on English and Spanish naming</w:t>
      </w:r>
    </w:p>
    <w:p>
      <w:pPr>
        <w:pStyle w:val="FirstParagraph"/>
      </w:pPr>
      <w:r>
        <w:t xml:space="preserve">You may have noticed that we use</w:t>
      </w:r>
      <w:r>
        <w:t xml:space="preserve"> </w:t>
      </w:r>
      <w:r>
        <w:rPr>
          <w:bCs/>
          <w:b/>
        </w:rPr>
        <w:t xml:space="preserve">Sense of Place</w:t>
      </w:r>
      <w:r>
        <w:t xml:space="preserve"> </w:t>
      </w:r>
      <w:r>
        <w:t xml:space="preserve">and</w:t>
      </w:r>
      <w:r>
        <w:t xml:space="preserve"> </w:t>
      </w:r>
      <w:r>
        <w:rPr>
          <w:bCs/>
          <w:b/>
        </w:rPr>
        <w:t xml:space="preserve">Sentido de Pertenencia</w:t>
      </w:r>
      <w:r>
        <w:t xml:space="preserve"> </w:t>
      </w:r>
      <w:r>
        <w:t xml:space="preserve">together, even though</w:t>
      </w:r>
      <w:r>
        <w:t xml:space="preserve"> </w:t>
      </w:r>
      <w:r>
        <w:rPr>
          <w:iCs/>
          <w:i/>
        </w:rPr>
        <w:t xml:space="preserve">pertenencia</w:t>
      </w:r>
      <w:r>
        <w:t xml:space="preserve"> </w:t>
      </w:r>
      <w:r>
        <w:t xml:space="preserve">typically translates as</w:t>
      </w:r>
      <w:r>
        <w:t xml:space="preserve"> </w:t>
      </w:r>
      <w:r>
        <w:t xml:space="preserve">“</w:t>
      </w:r>
      <w:r>
        <w:t xml:space="preserve">belonging.</w:t>
      </w:r>
      <w:r>
        <w:t xml:space="preserve">”</w:t>
      </w:r>
    </w:p>
    <w:p>
      <w:pPr>
        <w:pStyle w:val="BodyText"/>
      </w:pPr>
      <w:r>
        <w:t xml:space="preserve">Early in a Goalkeeper meeting, we found a regional difference in what</w:t>
      </w:r>
      <w:r>
        <w:t xml:space="preserve"> </w:t>
      </w:r>
      <w:r>
        <w:t xml:space="preserve">“</w:t>
      </w:r>
      <w:r>
        <w:t xml:space="preserve">Sense of Place</w:t>
      </w:r>
      <w:r>
        <w:t xml:space="preserve">”</w:t>
      </w:r>
      <w:r>
        <w:t xml:space="preserve"> </w:t>
      </w:r>
      <w:r>
        <w:t xml:space="preserve">and</w:t>
      </w:r>
      <w:r>
        <w:t xml:space="preserve"> </w:t>
      </w:r>
      <w:r>
        <w:t xml:space="preserve">“</w:t>
      </w:r>
      <w:r>
        <w:t xml:space="preserve">Sense of Belonging</w:t>
      </w:r>
      <w:r>
        <w:t xml:space="preserve">”</w:t>
      </w:r>
      <w:r>
        <w:t xml:space="preserve"> </w:t>
      </w:r>
      <w:r>
        <w:t xml:space="preserve">convey. Historically, the Global Ocean Health Index has used</w:t>
      </w:r>
      <w:r>
        <w:t xml:space="preserve"> </w:t>
      </w:r>
      <w:r>
        <w:rPr>
          <w:bCs/>
          <w:b/>
        </w:rPr>
        <w:t xml:space="preserve">Sense of Place</w:t>
      </w:r>
      <w:r>
        <w:t xml:space="preserve"> </w:t>
      </w:r>
      <w:r>
        <w:t xml:space="preserve">for maintaining and promoting local communities’ identity and connection to the ocean. Based on feedback from the group,</w:t>
      </w:r>
      <w:r>
        <w:t xml:space="preserve"> </w:t>
      </w:r>
      <w:r>
        <w:rPr>
          <w:bCs/>
          <w:b/>
        </w:rPr>
        <w:t xml:space="preserve">Sense of Belonging</w:t>
      </w:r>
      <w:r>
        <w:t xml:space="preserve"> </w:t>
      </w:r>
      <w:r>
        <w:t xml:space="preserve">better reflected that same concept in Mexico.</w:t>
      </w:r>
    </w:p>
    <w:p>
      <w:pPr>
        <w:pStyle w:val="BodyText"/>
      </w:pPr>
      <w:r>
        <w:t xml:space="preserve">We considered renaming the goal to Sense of Belonging to match the regional definition, but decided against it. In U.S. literature, Sense of Belonging usually describes the connection of individuals to their community, not the community’s connection to a place. Using that English goal name would risk losing the link to the ocean, which is what we want to evaluate.</w:t>
      </w:r>
    </w:p>
    <w:p>
      <w:pPr>
        <w:pStyle w:val="BodyText"/>
      </w:pPr>
      <w:r>
        <w:t xml:space="preserve">With that in mind, the Goalkeeper group decided:</w:t>
      </w:r>
    </w:p>
    <w:p>
      <w:pPr>
        <w:numPr>
          <w:ilvl w:val="0"/>
          <w:numId w:val="1003"/>
        </w:numPr>
        <w:pStyle w:val="Compact"/>
      </w:pPr>
      <w:r>
        <w:t xml:space="preserve">In</w:t>
      </w:r>
      <w:r>
        <w:t xml:space="preserve"> </w:t>
      </w:r>
      <w:r>
        <w:rPr>
          <w:bCs/>
          <w:b/>
        </w:rPr>
        <w:t xml:space="preserve">English</w:t>
      </w:r>
      <w:r>
        <w:t xml:space="preserve">, we still call it</w:t>
      </w:r>
      <w:r>
        <w:t xml:space="preserve"> </w:t>
      </w:r>
      <w:r>
        <w:rPr>
          <w:bCs/>
          <w:b/>
        </w:rPr>
        <w:t xml:space="preserve">Sense of Place</w:t>
      </w:r>
      <w:r>
        <w:t xml:space="preserve">, to match the literature and English language understanding of the phrase.</w:t>
      </w:r>
    </w:p>
    <w:p>
      <w:pPr>
        <w:numPr>
          <w:ilvl w:val="0"/>
          <w:numId w:val="1003"/>
        </w:numPr>
        <w:pStyle w:val="Compact"/>
      </w:pPr>
      <w:r>
        <w:t xml:space="preserve">In</w:t>
      </w:r>
      <w:r>
        <w:t xml:space="preserve"> </w:t>
      </w:r>
      <w:r>
        <w:rPr>
          <w:bCs/>
          <w:b/>
        </w:rPr>
        <w:t xml:space="preserve">Spanish</w:t>
      </w:r>
      <w:r>
        <w:t xml:space="preserve">, we call it</w:t>
      </w:r>
      <w:r>
        <w:t xml:space="preserve"> </w:t>
      </w:r>
      <w:r>
        <w:rPr>
          <w:bCs/>
          <w:b/>
        </w:rPr>
        <w:t xml:space="preserve">Sentido de Pertenencia</w:t>
      </w:r>
      <w:r>
        <w:t xml:space="preserve">, to reflect the connection between a community and its</w:t>
      </w:r>
      <w:r>
        <w:t xml:space="preserve"> </w:t>
      </w:r>
      <w:r>
        <w:rPr>
          <w:iCs/>
          <w:i/>
        </w:rPr>
        <w:t xml:space="preserve">lugar</w:t>
      </w:r>
      <w:r>
        <w:t xml:space="preserve">.</w:t>
      </w:r>
    </w:p>
    <w:p>
      <w:pPr>
        <w:pStyle w:val="FirstParagraph"/>
      </w:pPr>
      <w:r>
        <w:t xml:space="preserve">This naming choice was developed and supported by the Goalkeeper Group and was confirmed at the Expert Working Group meeting in January.</w:t>
      </w:r>
    </w:p>
    <w:bookmarkEnd w:id="29"/>
    <w:bookmarkEnd w:id="30"/>
    <w:bookmarkStart w:id="38" w:name="overall-sense-of-place-scores"/>
    <w:p>
      <w:pPr>
        <w:pStyle w:val="Heading1"/>
      </w:pPr>
      <w:r>
        <w:t xml:space="preserve">3. Overall Sense of Place scores</w:t>
      </w:r>
    </w:p>
    <w:p>
      <w:pPr>
        <w:pStyle w:val="FirstParagraph"/>
      </w:pPr>
      <w:r>
        <w:t xml:space="preserve">The overall SP current status score for each region and year is the arithmetic mean of that region’s CCE, LSP, and ICO scores.</w:t>
      </w:r>
    </w:p>
    <w:p>
      <w:pPr>
        <w:pStyle w:val="BodyText"/>
      </w:pPr>
      <w:r>
        <w:rPr>
          <w:bCs/>
          <w:b/>
        </w:rPr>
        <w:t xml:space="preserve">Reporting years for overall SP:</w:t>
      </w:r>
      <w:r>
        <w:t xml:space="preserve"> </w:t>
      </w:r>
      <w:r>
        <w:rPr>
          <w:bCs/>
          <w:b/>
        </w:rPr>
        <w:t xml:space="preserve">2019-2025</w:t>
      </w:r>
      <w:r>
        <w:t xml:space="preserve">. We will not update overall scores past 2025 until all data sources have been updated through 2026.</w:t>
      </w:r>
    </w:p>
    <w:p>
      <w:pPr>
        <w:pStyle w:val="CaptionedFigure"/>
      </w:pPr>
      <w:r>
        <w:drawing>
          <wp:inline>
            <wp:extent cx="5334000" cy="5334000"/>
            <wp:effectExtent b="0" l="0" r="0" t="0"/>
            <wp:docPr descr="Figure 1. Regional Sense of Place current status scores over time for each of the nine OHI Gulf of California regions. For every region and year, Sense of Place is the equal-weight average of three subgoals: Coastal Community Engagement (CCE), Lasting Special Places (LSP), and Iconic Species (ICO). A score of 100 represents the reference condition we treat as an ideal status; lower values represent lower estimated condition. Years shown are 2019 through 2025." title="" id="32" name="Picture"/>
            <a:graphic>
              <a:graphicData uri="http://schemas.openxmlformats.org/drawingml/2006/picture">
                <pic:pic>
                  <pic:nvPicPr>
                    <pic:cNvPr descr="ewg32_sp_docx_files/figure-docx/unnamed-chunk-3-1.png" id="33" name="Picture"/>
                    <pic:cNvPicPr>
                      <a:picLocks noChangeArrowheads="1" noChangeAspect="1"/>
                    </pic:cNvPicPr>
                  </pic:nvPicPr>
                  <pic:blipFill>
                    <a:blip r:embed="rId3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1. Regional Sense of Place current status scores over time for each of the nine OHI Gulf of California regions. For every region and year, Sense of Place is the equal-weight average of three subgoals: Coastal Community Engagement (CCE), Lasting Special Places (LSP), and Iconic Species (ICO). A score of 100 represents the reference condition we treat as an ideal status; lower values represent lower estimated condition. Years shown are 2019 through 2025.</w:t>
      </w:r>
    </w:p>
    <w:bookmarkStart w:id="37" w:name="gulf-wide-average-sp-current-status"/>
    <w:p>
      <w:pPr>
        <w:pStyle w:val="Heading2"/>
      </w:pPr>
      <w:r>
        <w:t xml:space="preserve">3.1 Gulf-wide average SP current status</w:t>
      </w:r>
    </w:p>
    <w:p>
      <w:pPr>
        <w:pStyle w:val="FirstParagraph"/>
      </w:pPr>
      <w:r>
        <w:t xml:space="preserve">The same overall SP score averaged across all nine OHI Gulf of California regions for each year:</w:t>
      </w:r>
    </w:p>
    <w:p>
      <w:pPr>
        <w:pStyle w:val="BodyText"/>
      </w:pPr>
      <m:oMathPara>
        <m:oMathParaPr>
          <m:jc m:val="center"/>
        </m:oMathParaPr>
        <m:oMath>
          <m:sSubSup>
            <m:e>
              <m:r>
                <m:rPr>
                  <m:nor/>
                  <m:sty m:val="p"/>
                </m:rPr>
                <m:t>SP</m:t>
              </m:r>
            </m:e>
            <m:sub>
              <m:r>
                <m:t>t</m:t>
              </m:r>
            </m:sub>
            <m:sup>
              <m:r>
                <m:rPr>
                  <m:nor/>
                  <m:sty m:val="p"/>
                </m:rPr>
                <m:t>GOC</m:t>
              </m:r>
            </m:sup>
          </m:sSubSup>
          <m:r>
            <m:rPr>
              <m:sty m:val="p"/>
            </m:rPr>
            <m:t>=</m:t>
          </m:r>
          <m:f>
            <m:fPr>
              <m:type m:val="bar"/>
            </m:fPr>
            <m:num>
              <m:r>
                <m:t>1</m:t>
              </m:r>
            </m:num>
            <m:den>
              <m:r>
                <m:t>9</m:t>
              </m:r>
            </m:den>
          </m:f>
          <m:nary>
            <m:naryPr>
              <m:chr m:val="∑"/>
              <m:limLoc m:val="undOvr"/>
              <m:subHide m:val="off"/>
              <m:supHide m:val="off"/>
            </m:naryPr>
            <m:sub>
              <m:r>
                <m:t>r</m:t>
              </m:r>
              <m:r>
                <m:rPr>
                  <m:sty m:val="p"/>
                </m:rPr>
                <m:t>=</m:t>
              </m:r>
              <m:r>
                <m:t>1</m:t>
              </m:r>
            </m:sub>
            <m:sup>
              <m:r>
                <m:t>9</m:t>
              </m:r>
            </m:sup>
            <m:e>
              <m:r>
                <m:t>S</m:t>
              </m:r>
            </m:e>
          </m:nary>
          <m:sSub>
            <m:e>
              <m:r>
                <m:t>P</m:t>
              </m:r>
            </m:e>
            <m:sub>
              <m:r>
                <m:t>r</m:t>
              </m:r>
              <m:r>
                <m:rPr>
                  <m:sty m:val="p"/>
                </m:rPr>
                <m:t>,</m:t>
              </m:r>
              <m:r>
                <m:t>t</m:t>
              </m:r>
            </m:sub>
          </m:sSub>
        </m:oMath>
      </m:oMathPara>
    </w:p>
    <w:p>
      <w:pPr>
        <w:pStyle w:val="FirstParagraph"/>
      </w:pPr>
      <w:r>
        <w:t xml:space="preserve">where</w:t>
      </w:r>
      <w:r>
        <w:t xml:space="preserve"> </w:t>
      </w:r>
      <m:oMath>
        <m:r>
          <m:t>S</m:t>
        </m:r>
        <m:sSub>
          <m:e>
            <m:r>
              <m:t>P</m:t>
            </m:r>
          </m:e>
          <m:sub>
            <m:r>
              <m:t>r</m:t>
            </m:r>
            <m:r>
              <m:rPr>
                <m:sty m:val="p"/>
              </m:rPr>
              <m:t>,</m:t>
            </m:r>
            <m:r>
              <m:t>t</m:t>
            </m:r>
          </m:sub>
        </m:sSub>
      </m:oMath>
      <w:r>
        <w:t xml:space="preserve"> </w:t>
      </w:r>
      <w:r>
        <w:t xml:space="preserve">is the regional Sense of Place score and the Gulf-wide line is their simple mean for year</w:t>
      </w:r>
      <w:r>
        <w:t xml:space="preserve"> </w:t>
      </w:r>
      <m:oMath>
        <m:r>
          <m:t>t</m:t>
        </m:r>
      </m:oMath>
      <w:r>
        <w:t xml:space="preserve">. Compare this with the regional chart above to see whether Gulf-wide patterns are driven by a few regions or shared across the coast.</w:t>
      </w:r>
    </w:p>
    <w:p>
      <w:pPr>
        <w:pStyle w:val="CaptionedFigure"/>
      </w:pPr>
      <w:r>
        <w:drawing>
          <wp:inline>
            <wp:extent cx="5334000" cy="5334000"/>
            <wp:effectExtent b="0" l="0" r="0" t="0"/>
            <wp:docPr descr="Figure 2. Gulf-wide Sense of Place current status: one line that averages the nine regional SP scores for each year from 2019 to 2025. This is a simple mean across regions (not weighted by area or population), so each OHI region contributes equally. Use this plot with Figure 1 to see whether a Gulf-wide rise or fall is shared widely or driven by a few regions only. The dashed reference at 100 is the goal condition." title="" id="35" name="Picture"/>
            <a:graphic>
              <a:graphicData uri="http://schemas.openxmlformats.org/drawingml/2006/picture">
                <pic:pic>
                  <pic:nvPicPr>
                    <pic:cNvPr descr="ewg32_sp_docx_files/figure-docx/unnamed-chunk-4-1.png" id="36" name="Picture"/>
                    <pic:cNvPicPr>
                      <a:picLocks noChangeArrowheads="1" noChangeAspect="1"/>
                    </pic:cNvPicPr>
                  </pic:nvPicPr>
                  <pic:blipFill>
                    <a:blip r:embed="rId3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 Gulf-wide Sense of Place current status: one line that averages the nine regional SP scores for each year from 2019 to 2025. This is a simple mean across regions (not weighted by area or population), so each OHI region contributes equally. Use this plot with Figure 1 to see whether a Gulf-wide rise or fall is shared widely or driven by a few regions only. The dashed reference at 100 is the goal condition.</w:t>
      </w:r>
    </w:p>
    <w:p>
      <w:r>
        <w:pict>
          <v:rect style="width:0;height:1.5pt" o:hralign="center" o:hrstd="t" o:hr="t"/>
        </w:pict>
      </w:r>
    </w:p>
    <w:bookmarkEnd w:id="37"/>
    <w:bookmarkEnd w:id="38"/>
    <w:bookmarkStart w:id="61" w:name="coastal-community-engagement-cce"/>
    <w:p>
      <w:pPr>
        <w:pStyle w:val="Heading1"/>
      </w:pPr>
      <w:r>
        <w:t xml:space="preserve">4. Coastal Community Engagement (CCE)</w:t>
      </w:r>
    </w:p>
    <w:p>
      <w:pPr>
        <w:pStyle w:val="FirstParagraph"/>
      </w:pPr>
      <w:r>
        <w:t xml:space="preserve">CCE captures coastal community engagement with beaches and non-natural cultural places that help people connect to the Gulf.</w:t>
      </w:r>
    </w:p>
    <w:p>
      <w:pPr>
        <w:pStyle w:val="BodyText"/>
      </w:pPr>
      <w:r>
        <w:t xml:space="preserve">In the most recent Expert Working Group discussion, beach cleanups and adoption and the continued presence of non-natural cultural places were affirmed as appropriate CCE components. Indicators of support for coastal Indigenous communities were also considered, but are</w:t>
      </w:r>
      <w:r>
        <w:t xml:space="preserve"> </w:t>
      </w:r>
      <w:r>
        <w:rPr>
          <w:bCs/>
          <w:b/>
        </w:rPr>
        <w:t xml:space="preserve">not</w:t>
      </w:r>
      <w:r>
        <w:t xml:space="preserve"> </w:t>
      </w:r>
      <w:r>
        <w:t xml:space="preserve">included in the current score. See</w:t>
      </w:r>
      <w:r>
        <w:t xml:space="preserve"> </w:t>
      </w:r>
      <w:hyperlink w:anchor="looking-forward-pueblos">
        <w:r>
          <w:rPr>
            <w:rStyle w:val="Hyperlink"/>
          </w:rPr>
          <w:t xml:space="preserve">Acknowledgment: Pueblos originarios</w:t>
        </w:r>
      </w:hyperlink>
      <w:r>
        <w:t xml:space="preserve">.</w:t>
      </w:r>
    </w:p>
    <w:p>
      <w:pPr>
        <w:pStyle w:val="BodyText"/>
      </w:pPr>
      <m:oMathPara>
        <m:oMathParaPr>
          <m:jc m:val="center"/>
        </m:oMathParaPr>
        <m:oMath>
          <m:r>
            <m:t>C</m:t>
          </m:r>
          <m:r>
            <m:t>C</m:t>
          </m:r>
          <m:sSub>
            <m:e>
              <m:r>
                <m:t>E</m:t>
              </m:r>
            </m:e>
            <m:sub>
              <m:r>
                <m:t>r</m:t>
              </m:r>
              <m:r>
                <m:rPr>
                  <m:sty m:val="p"/>
                </m:rPr>
                <m:t>,</m:t>
              </m:r>
              <m:r>
                <m:t>t</m:t>
              </m:r>
            </m:sub>
          </m:sSub>
          <m:r>
            <m:rPr>
              <m:sty m:val="p"/>
            </m:rPr>
            <m:t>=</m:t>
          </m:r>
          <m:r>
            <m:rPr>
              <m:sty m:val="p"/>
            </m:rPr>
            <m:t>a</m:t>
          </m:r>
          <m:r>
            <m:rPr>
              <m:sty m:val="p"/>
            </m:rPr>
            <m:t>v</m:t>
          </m:r>
          <m:r>
            <m:rPr>
              <m:sty m:val="p"/>
            </m:rPr>
            <m:t>e</m:t>
          </m:r>
          <m:r>
            <m:rPr>
              <m:sty m:val="p"/>
            </m:rPr>
            <m:t>r</m:t>
          </m:r>
          <m:r>
            <m:rPr>
              <m:sty m:val="p"/>
            </m:rPr>
            <m:t>a</m:t>
          </m:r>
          <m:r>
            <m:rPr>
              <m:sty m:val="p"/>
            </m:rPr>
            <m:t>g</m:t>
          </m:r>
          <m:r>
            <m:rPr>
              <m:sty m:val="p"/>
            </m:rPr>
            <m:t>e</m:t>
          </m:r>
          <m:d>
            <m:dPr>
              <m:begChr m:val="("/>
              <m:endChr m:val=")"/>
              <m:sepChr m:val=""/>
              <m:grow/>
            </m:dPr>
            <m:e>
              <m:r>
                <m:t>A</m:t>
              </m:r>
              <m:r>
                <m:t>m</m:t>
              </m:r>
              <m:sSub>
                <m:e>
                  <m:r>
                    <m:t>a</m:t>
                  </m:r>
                </m:e>
                <m:sub>
                  <m:r>
                    <m:t>r</m:t>
                  </m:r>
                  <m:r>
                    <m:rPr>
                      <m:sty m:val="p"/>
                    </m:rPr>
                    <m:t>,</m:t>
                  </m:r>
                  <m:r>
                    <m:t>t</m:t>
                  </m:r>
                </m:sub>
              </m:sSub>
              <m:r>
                <m:rPr>
                  <m:sty m:val="p"/>
                </m:rPr>
                <m:t>,</m:t>
              </m:r>
              <m:r>
                <m:t> </m:t>
              </m:r>
              <m:r>
                <m:t>C</m:t>
              </m:r>
              <m:r>
                <m:t>u</m:t>
              </m:r>
              <m:r>
                <m:t>l</m:t>
              </m:r>
              <m:sSub>
                <m:e>
                  <m:r>
                    <m:t>t</m:t>
                  </m:r>
                </m:e>
                <m:sub>
                  <m:r>
                    <m:t>r</m:t>
                  </m:r>
                  <m:r>
                    <m:rPr>
                      <m:sty m:val="p"/>
                    </m:rPr>
                    <m:t>,</m:t>
                  </m:r>
                  <m:r>
                    <m:t>t</m:t>
                  </m:r>
                </m:sub>
              </m:sSub>
            </m:e>
          </m:d>
        </m:oMath>
      </m:oMathPara>
    </w:p>
    <w:p>
      <w:pPr>
        <w:pStyle w:val="FirstParagraph"/>
      </w:pPr>
      <w:r>
        <w:t xml:space="preserve">where:</w:t>
      </w:r>
    </w:p>
    <w:p>
      <w:pPr>
        <w:numPr>
          <w:ilvl w:val="0"/>
          <w:numId w:val="1004"/>
        </w:numPr>
        <w:pStyle w:val="Compact"/>
      </w:pPr>
      <m:oMath>
        <m:r>
          <m:t>C</m:t>
        </m:r>
        <m:r>
          <m:t>C</m:t>
        </m:r>
        <m:sSub>
          <m:e>
            <m:r>
              <m:t>E</m:t>
            </m:r>
          </m:e>
          <m:sub>
            <m:r>
              <m:t>r</m:t>
            </m:r>
            <m:r>
              <m:rPr>
                <m:sty m:val="p"/>
              </m:rPr>
              <m:t>,</m:t>
            </m:r>
            <m:r>
              <m:t>t</m:t>
            </m:r>
          </m:sub>
        </m:sSub>
      </m:oMath>
      <w:r>
        <w:t xml:space="preserve"> </w:t>
      </w:r>
      <w:r>
        <w:t xml:space="preserve">is the Coastal Community Engagement score for region</w:t>
      </w:r>
      <w:r>
        <w:t xml:space="preserve"> </w:t>
      </w:r>
      <m:oMath>
        <m:r>
          <m:t>r</m:t>
        </m:r>
      </m:oMath>
      <w:r>
        <w:t xml:space="preserve"> </w:t>
      </w:r>
      <w:r>
        <w:t xml:space="preserve">in year</w:t>
      </w:r>
      <w:r>
        <w:t xml:space="preserve"> </w:t>
      </w:r>
      <m:oMath>
        <m:r>
          <m:t>t</m:t>
        </m:r>
      </m:oMath>
    </w:p>
    <w:p>
      <w:pPr>
        <w:numPr>
          <w:ilvl w:val="0"/>
          <w:numId w:val="1004"/>
        </w:numPr>
        <w:pStyle w:val="Compact"/>
      </w:pPr>
      <m:oMath>
        <m:r>
          <m:t>A</m:t>
        </m:r>
        <m:r>
          <m:t>m</m:t>
        </m:r>
        <m:sSub>
          <m:e>
            <m:r>
              <m:t>a</m:t>
            </m:r>
          </m:e>
          <m:sub>
            <m:r>
              <m:t>r</m:t>
            </m:r>
            <m:r>
              <m:rPr>
                <m:sty m:val="p"/>
              </m:rPr>
              <m:t>,</m:t>
            </m:r>
            <m:r>
              <m:t>t</m:t>
            </m:r>
          </m:sub>
        </m:sSub>
      </m:oMath>
      <w:r>
        <w:t xml:space="preserve"> </w:t>
      </w:r>
      <w:r>
        <w:t xml:space="preserve">is the beach adoptions score (Ama tu Playa beach adoption program)</w:t>
      </w:r>
    </w:p>
    <w:p>
      <w:pPr>
        <w:numPr>
          <w:ilvl w:val="0"/>
          <w:numId w:val="1004"/>
        </w:numPr>
        <w:pStyle w:val="Compact"/>
      </w:pPr>
      <m:oMath>
        <m:r>
          <m:t>C</m:t>
        </m:r>
        <m:r>
          <m:t>u</m:t>
        </m:r>
        <m:r>
          <m:t>l</m:t>
        </m:r>
        <m:sSub>
          <m:e>
            <m:r>
              <m:t>t</m:t>
            </m:r>
          </m:e>
          <m:sub>
            <m:r>
              <m:t>r</m:t>
            </m:r>
            <m:r>
              <m:rPr>
                <m:sty m:val="p"/>
              </m:rPr>
              <m:t>,</m:t>
            </m:r>
            <m:r>
              <m:t>t</m:t>
            </m:r>
          </m:sub>
        </m:sSub>
      </m:oMath>
      <w:r>
        <w:t xml:space="preserve"> </w:t>
      </w:r>
      <w:r>
        <w:t xml:space="preserve">is the non-natural cultural places score</w:t>
      </w:r>
    </w:p>
    <w:p>
      <w:pPr>
        <w:pStyle w:val="FirstParagraph"/>
      </w:pPr>
      <w:r>
        <w:t xml:space="preserve">Missing values are ignored in the average. For example, Region 2 has no Ama tu Playa inventory beaches, so its CCE is driven by the cultural places layer alone.</w:t>
      </w:r>
    </w:p>
    <w:p>
      <w:pPr>
        <w:pStyle w:val="BodyText"/>
      </w:pPr>
      <w:r>
        <w:t xml:space="preserve">Overall CCE current status is shown for</w:t>
      </w:r>
      <w:r>
        <w:t xml:space="preserve"> </w:t>
      </w:r>
      <w:r>
        <w:rPr>
          <w:bCs/>
          <w:b/>
        </w:rPr>
        <w:t xml:space="preserve">2019-2025</w:t>
      </w:r>
      <w:r>
        <w:t xml:space="preserve"> </w:t>
      </w:r>
      <w:r>
        <w:t xml:space="preserve">only (see the note under</w:t>
      </w:r>
      <w:r>
        <w:t xml:space="preserve"> </w:t>
      </w:r>
      <w:hyperlink w:anchor="overall-sense-of-place-scores">
        <w:r>
          <w:rPr>
            <w:rStyle w:val="Hyperlink"/>
          </w:rPr>
          <w:t xml:space="preserve">Overall Sense of Place scores</w:t>
        </w:r>
      </w:hyperlink>
      <w:r>
        <w:t xml:space="preserve">). The cultural places layer still plots through 2026 below so the group can see recent DENUE based change without including incomplete beach adoption coverage in the composite.</w:t>
      </w:r>
    </w:p>
    <w:p>
      <w:pPr>
        <w:pStyle w:val="CaptionedFigure"/>
      </w:pPr>
      <w:r>
        <w:drawing>
          <wp:inline>
            <wp:extent cx="5334000" cy="5334000"/>
            <wp:effectExtent b="0" l="0" r="0" t="0"/>
            <wp:docPr descr="Figure 3. Coastal Community Engagement (CCE) current status by region and year (2019-2025). CCE is the mean of two layers: beach adoptions under Mexico’s Ama tu Playa program, and non-natural cultural places scaled by coastal population. Missing values are dropped from the average, so a region without beaches in the Ama inventory (for example Region 2) is scored from the cultural-places layer alone when that layer is available." title="" id="40" name="Picture"/>
            <a:graphic>
              <a:graphicData uri="http://schemas.openxmlformats.org/drawingml/2006/picture">
                <pic:pic>
                  <pic:nvPicPr>
                    <pic:cNvPr descr="ewg32_sp_docx_files/figure-docx/unnamed-chunk-5-1.png" id="41" name="Picture"/>
                    <pic:cNvPicPr>
                      <a:picLocks noChangeArrowheads="1" noChangeAspect="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3. Coastal Community Engagement (CCE) current status by region and year (2019-2025). CCE is the mean of two layers: beach adoptions under Mexico’s Ama tu Playa program, and non-natural cultural places scaled by coastal population. Missing values are dropped from the average, so a region without beaches in the Ama inventory (for example Region 2) is scored from the cultural-places layer alone when that layer is available.</w:t>
      </w:r>
    </w:p>
    <w:bookmarkStart w:id="49" w:name="beach-adoptions"/>
    <w:p>
      <w:pPr>
        <w:pStyle w:val="Heading2"/>
      </w:pPr>
      <w:r>
        <w:t xml:space="preserve">4.1 Beach adoptions</w:t>
      </w:r>
    </w:p>
    <w:p>
      <w:pPr>
        <w:pStyle w:val="FirstParagraph"/>
      </w:pPr>
      <w:r>
        <w:t xml:space="preserve">The</w:t>
      </w:r>
      <w:r>
        <w:t xml:space="preserve"> </w:t>
      </w:r>
      <w:r>
        <w:rPr>
          <w:bCs/>
          <w:b/>
        </w:rPr>
        <w:t xml:space="preserve">Ama tu Playa beach adoption program</w:t>
      </w:r>
      <w:r>
        <w:t xml:space="preserve"> </w:t>
      </w:r>
      <w:r>
        <w:t xml:space="preserve">is part of Mexico’s</w:t>
      </w:r>
      <w:r>
        <w:t xml:space="preserve"> </w:t>
      </w:r>
      <w:r>
        <w:rPr>
          <w:iCs/>
          <w:i/>
        </w:rPr>
        <w:t xml:space="preserve">Estrategia Nacional de Limpieza y Conservación de Playas y Costas de México 2025-2030</w:t>
      </w:r>
      <w:r>
        <w:t xml:space="preserve">, coordinated with SEMARNAT and partners. Organizations adopt a beach or coastal stretch and commit to keeping it clean through 2030, with the national goal of beaches free of plastic waste.</w:t>
      </w:r>
    </w:p>
    <w:p>
      <w:pPr>
        <w:pStyle w:val="BodyText"/>
      </w:pPr>
      <w:r>
        <w:rPr>
          <w:bCs/>
          <w:b/>
        </w:rPr>
        <w:t xml:space="preserve">What we score:</w:t>
      </w:r>
      <w:r>
        <w:t xml:space="preserve"> </w:t>
      </w:r>
      <w:r>
        <w:t xml:space="preserve">percent of SEMARNAT program inventory beaches that are already adopted in each OHI region (not kilograms of trash collected). More trash collected can mean either dirtier beaches or stronger cleanup effort, so adoption share is closer to the program’s own stewardship target.</w:t>
      </w:r>
    </w:p>
    <w:p>
      <w:pPr>
        <w:pStyle w:val="BodyText"/>
      </w:pPr>
      <m:oMathPara>
        <m:oMathParaPr>
          <m:jc m:val="center"/>
        </m:oMathParaPr>
        <m:oMath>
          <m:r>
            <m:t>A</m:t>
          </m:r>
          <m:r>
            <m:t>m</m:t>
          </m:r>
          <m:sSub>
            <m:e>
              <m:r>
                <m:t>a</m:t>
              </m:r>
            </m:e>
            <m:sub>
              <m:r>
                <m:t>r</m:t>
              </m:r>
              <m:r>
                <m:rPr>
                  <m:sty m:val="p"/>
                </m:rPr>
                <m:t>,</m:t>
              </m:r>
              <m:r>
                <m:t>2025</m:t>
              </m:r>
            </m:sub>
          </m:sSub>
          <m:r>
            <m:rPr>
              <m:sty m:val="p"/>
            </m:rPr>
            <m:t>=</m:t>
          </m:r>
          <m:r>
            <m:t>100</m:t>
          </m:r>
          <m:r>
            <m:rPr>
              <m:sty m:val="p"/>
            </m:rPr>
            <m:t>×</m:t>
          </m:r>
          <m:f>
            <m:fPr>
              <m:type m:val="bar"/>
            </m:fPr>
            <m:num>
              <m:sSub>
                <m:e>
                  <m:r>
                    <m:rPr>
                      <m:nor/>
                      <m:sty m:val="p"/>
                    </m:rPr>
                    <m:t>adopted beaches</m:t>
                  </m:r>
                </m:e>
                <m:sub>
                  <m:r>
                    <m:t>r</m:t>
                  </m:r>
                </m:sub>
              </m:sSub>
            </m:num>
            <m:den>
              <m:sSub>
                <m:e>
                  <m:r>
                    <m:rPr>
                      <m:nor/>
                      <m:sty m:val="p"/>
                    </m:rPr>
                    <m:t>total inventory beaches</m:t>
                  </m:r>
                </m:e>
                <m:sub>
                  <m:r>
                    <m:t>r</m:t>
                  </m:r>
                </m:sub>
              </m:sSub>
            </m:den>
          </m:f>
        </m:oMath>
      </m:oMathPara>
    </w:p>
    <w:p>
      <w:pPr>
        <w:pStyle w:val="FirstParagraph"/>
      </w:pPr>
      <w:r>
        <w:t xml:space="preserve">where:</w:t>
      </w:r>
    </w:p>
    <w:p>
      <w:pPr>
        <w:numPr>
          <w:ilvl w:val="0"/>
          <w:numId w:val="1005"/>
        </w:numPr>
        <w:pStyle w:val="Compact"/>
      </w:pPr>
      <m:oMath>
        <m:r>
          <m:t>A</m:t>
        </m:r>
        <m:r>
          <m:t>m</m:t>
        </m:r>
        <m:sSub>
          <m:e>
            <m:r>
              <m:t>a</m:t>
            </m:r>
          </m:e>
          <m:sub>
            <m:r>
              <m:t>r</m:t>
            </m:r>
            <m:r>
              <m:rPr>
                <m:sty m:val="p"/>
              </m:rPr>
              <m:t>,</m:t>
            </m:r>
            <m:r>
              <m:t>2025</m:t>
            </m:r>
          </m:sub>
        </m:sSub>
      </m:oMath>
      <w:r>
        <w:t xml:space="preserve"> </w:t>
      </w:r>
      <w:r>
        <w:t xml:space="preserve">is the beach adoptions score for region</w:t>
      </w:r>
      <w:r>
        <w:t xml:space="preserve"> </w:t>
      </w:r>
      <m:oMath>
        <m:r>
          <m:t>r</m:t>
        </m:r>
      </m:oMath>
      <w:r>
        <w:t xml:space="preserve"> </w:t>
      </w:r>
      <w:r>
        <w:t xml:space="preserve">in 2025</w:t>
      </w:r>
    </w:p>
    <w:p>
      <w:pPr>
        <w:numPr>
          <w:ilvl w:val="0"/>
          <w:numId w:val="1005"/>
        </w:numPr>
        <w:pStyle w:val="Compact"/>
      </w:pPr>
      <m:oMath>
        <m:sSub>
          <m:e>
            <m:r>
              <m:rPr>
                <m:nor/>
                <m:sty m:val="p"/>
              </m:rPr>
              <m:t>adopted beaches</m:t>
            </m:r>
          </m:e>
          <m:sub>
            <m:r>
              <m:t>r</m:t>
            </m:r>
          </m:sub>
        </m:sSub>
      </m:oMath>
      <w:r>
        <w:t xml:space="preserve"> </w:t>
      </w:r>
      <w:r>
        <w:t xml:space="preserve">is the number of inventory beaches in that region that are already adopted</w:t>
      </w:r>
    </w:p>
    <w:p>
      <w:pPr>
        <w:numPr>
          <w:ilvl w:val="0"/>
          <w:numId w:val="1005"/>
        </w:numPr>
        <w:pStyle w:val="Compact"/>
      </w:pPr>
      <m:oMath>
        <m:sSub>
          <m:e>
            <m:r>
              <m:rPr>
                <m:nor/>
                <m:sty m:val="p"/>
              </m:rPr>
              <m:t>total inventory beaches</m:t>
            </m:r>
          </m:e>
          <m:sub>
            <m:r>
              <m:t>r</m:t>
            </m:r>
          </m:sub>
        </m:sSub>
      </m:oMath>
      <w:r>
        <w:t xml:space="preserve"> </w:t>
      </w:r>
      <w:r>
        <w:t xml:space="preserve">is the number of inventory beaches in that region</w:t>
      </w:r>
    </w:p>
    <w:p>
      <w:pPr>
        <w:pStyle w:val="FirstParagraph"/>
      </w:pPr>
      <w:r>
        <w:t xml:space="preserve">For 2019-2024,</w:t>
      </w:r>
      <w:r>
        <w:t xml:space="preserve"> </w:t>
      </w:r>
      <m:oMath>
        <m:r>
          <m:t>A</m:t>
        </m:r>
        <m:r>
          <m:t>m</m:t>
        </m:r>
        <m:sSub>
          <m:e>
            <m:r>
              <m:t>a</m:t>
            </m:r>
          </m:e>
          <m:sub>
            <m:r>
              <m:t>r</m:t>
            </m:r>
            <m:r>
              <m:rPr>
                <m:sty m:val="p"/>
              </m:rPr>
              <m:t>,</m:t>
            </m:r>
            <m:r>
              <m:t>t</m:t>
            </m:r>
          </m:sub>
        </m:sSub>
        <m:r>
          <m:rPr>
            <m:sty m:val="p"/>
          </m:rPr>
          <m:t>=</m:t>
        </m:r>
        <m:r>
          <m:t>0</m:t>
        </m:r>
      </m:oMath>
      <w:r>
        <w:t xml:space="preserve"> </w:t>
      </w:r>
      <w:r>
        <w:t xml:space="preserve">because the campaign begins with the 2025-2030 strategy. Region 2 has</w:t>
      </w:r>
      <w:r>
        <w:t xml:space="preserve"> </w:t>
      </w:r>
      <w:r>
        <w:rPr>
          <w:bCs/>
          <w:b/>
        </w:rPr>
        <w:t xml:space="preserve">no beaches in the program inventory</w:t>
      </w:r>
      <w:r>
        <w:t xml:space="preserve"> </w:t>
      </w:r>
      <w:r>
        <w:t xml:space="preserve">after the spatial join to OHI regions and the inland 10 km buffer. That is</w:t>
      </w:r>
      <w:r>
        <w:t xml:space="preserve"> </w:t>
      </w:r>
      <w:r>
        <w:rPr>
          <w:bCs/>
          <w:b/>
        </w:rPr>
        <w:t xml:space="preserve">not</w:t>
      </w:r>
      <w:r>
        <w:t xml:space="preserve"> </w:t>
      </w:r>
      <w:r>
        <w:t xml:space="preserve">treated as a perfect score of 100 (absence from the inventory is not the same as plastic free). It is stored as</w:t>
      </w:r>
      <w:r>
        <w:t xml:space="preserve"> </w:t>
      </w:r>
      <w:r>
        <w:rPr>
          <w:rStyle w:val="VerbatimChar"/>
        </w:rPr>
        <w:t xml:space="preserve">NA</w:t>
      </w:r>
      <w:r>
        <w:t xml:space="preserve"> </w:t>
      </w:r>
      <w:r>
        <w:t xml:space="preserve">with reason</w:t>
      </w:r>
      <w:r>
        <w:t xml:space="preserve"> </w:t>
      </w:r>
      <w:r>
        <w:rPr>
          <w:rStyle w:val="VerbatimChar"/>
        </w:rPr>
        <w:t xml:space="preserve">"no beaches in program inventory"</w:t>
      </w:r>
      <w:r>
        <w:t xml:space="preserve">.</w:t>
      </w:r>
    </w:p>
    <w:p>
      <w:pPr>
        <w:pStyle w:val="BodyText"/>
      </w:pPr>
      <w:r>
        <w:rPr>
          <w:bCs/>
          <w:b/>
        </w:rPr>
        <w:t xml:space="preserve">Data sources</w:t>
      </w:r>
    </w:p>
    <w:p>
      <w:pPr>
        <w:numPr>
          <w:ilvl w:val="0"/>
          <w:numId w:val="1006"/>
        </w:numPr>
        <w:pStyle w:val="Compact"/>
      </w:pPr>
      <w:r>
        <w:t xml:space="preserve">SEMARNAT Ama tu Playa beach inventory and adoption status from the national beach cleanup and conservation strategy catalog; adoption percent by OHI region</w:t>
      </w:r>
    </w:p>
    <w:p>
      <w:pPr>
        <w:numPr>
          <w:ilvl w:val="0"/>
          <w:numId w:val="1006"/>
        </w:numPr>
        <w:pStyle w:val="Compact"/>
      </w:pPr>
      <w:r>
        <w:t xml:space="preserve">Platform:</w:t>
      </w:r>
      <w:r>
        <w:t xml:space="preserve"> </w:t>
      </w:r>
      <w:hyperlink r:id="rId42">
        <w:r>
          <w:rPr>
            <w:rStyle w:val="Hyperlink"/>
          </w:rPr>
          <w:t xml:space="preserve">adoptaunaplaya.com</w:t>
        </w:r>
      </w:hyperlink>
    </w:p>
    <w:p>
      <w:pPr>
        <w:pStyle w:val="CaptionedFigure"/>
      </w:pPr>
      <w:r>
        <w:drawing>
          <wp:inline>
            <wp:extent cx="5334000" cy="5334000"/>
            <wp:effectExtent b="0" l="0" r="0" t="0"/>
            <wp:docPr descr="Figure 4. Beach adoptions layer of CCE: the share of SEMARNAT Ama tu Playa inventory beaches in each region that have already been formally adopted. Adoption means an organization has committed to keep that beach or coastal stretch clean under the 2025-2030 national beach strategy; we score stewardship through adoption share, not kilos of trash collected. For 2019-2024, the campaign had not started yet, so adoptions are recorded as 0. The Western Midriff Islands OHI region has no beaches in the program inventory." title="" id="44" name="Picture"/>
            <a:graphic>
              <a:graphicData uri="http://schemas.openxmlformats.org/drawingml/2006/picture">
                <pic:pic>
                  <pic:nvPicPr>
                    <pic:cNvPr descr="ewg32_sp_docx_files/figure-docx/unnamed-chunk-6-1.png" id="45" name="Picture"/>
                    <pic:cNvPicPr>
                      <a:picLocks noChangeArrowheads="1" noChangeAspect="1"/>
                    </pic:cNvPicPr>
                  </pic:nvPicPr>
                  <pic:blipFill>
                    <a:blip r:embed="rId4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4. Beach adoptions layer of CCE: the share of SEMARNAT Ama tu Playa inventory beaches in each region that have already been formally adopted. Adoption means an organization has committed to keep that beach or coastal stretch clean under the 2025-2030 national beach strategy; we score stewardship through adoption share, not kilos of trash collected. For 2019-2024, the campaign had not started yet, so adoptions are recorded as 0. The Western Midriff Islands OHI region has no beaches in the program inventory.</w:t>
      </w:r>
    </w:p>
    <w:p>
      <w:pPr>
        <w:pStyle w:val="CaptionedFigure"/>
      </w:pPr>
      <w:r>
        <w:drawing>
          <wp:inline>
            <wp:extent cx="5334000" cy="5334000"/>
            <wp:effectExtent b="0" l="0" r="0" t="0"/>
            <wp:docPr descr="Figure 5. Beach adoptions in the 2025 reporting year only, compared across OHI regions as vertical bars. Each bar is the percent of Ama tu Playa inventory beaches in that region that are already adopted (0 to 100). The dashed line at 100 marks full adoption of every inventory beach in a region." title="" id="47" name="Picture"/>
            <a:graphic>
              <a:graphicData uri="http://schemas.openxmlformats.org/drawingml/2006/picture">
                <pic:pic>
                  <pic:nvPicPr>
                    <pic:cNvPr descr="ewg32_sp_docx_files/figure-docx/unnamed-chunk-7-1.pn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5. Beach adoptions in the 2025 reporting year only, compared across OHI regions as vertical bars. Each bar is the percent of Ama tu Playa inventory beaches in that region that are already adopted (0 to 100). The dashed line at 100 marks full adoption of every inventory beach in a region.</w:t>
      </w:r>
    </w:p>
    <w:bookmarkEnd w:id="49"/>
    <w:bookmarkStart w:id="60" w:name="non-natural-cultural-places"/>
    <w:p>
      <w:pPr>
        <w:pStyle w:val="Heading2"/>
      </w:pPr>
      <w:r>
        <w:t xml:space="preserve">4.2 Non-natural cultural places</w:t>
      </w:r>
    </w:p>
    <w:p>
      <w:pPr>
        <w:pStyle w:val="FirstParagraph"/>
      </w:pPr>
      <w:r>
        <w:t xml:space="preserve">This CCE layer measures human-made cultural establishments near the Gulf coast that support community connection to place.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usr/lib/rstudio-server/bin/quarto/share/formats/docx/note.png" id="52"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Which cultural establishments are included?</w:t>
            </w:r>
          </w:p>
        </w:tc>
      </w:tr>
      <w:tr>
        <w:trPr>
          <w:cantSplit/>
        </w:trPr>
        <w:tc>
          <w:tcPr>
            <w:tcMar>
              <w:top w:w="108" w:type="dxa"/>
              <w:bottom w:w="108" w:type="dxa"/>
            </w:tcMar>
          </w:tcPr>
          <w:p>
            <w:pPr>
              <w:pStyle w:val="BodyText"/>
            </w:pPr>
            <w:pPr>
              <w:spacing w:before="16"/>
            </w:pPr>
            <w:r>
              <w:t xml:space="preserve">We start from INEGI DENUE sector 71 (</w:t>
            </w:r>
            <w:r>
              <w:rPr>
                <w:iCs/>
                <w:i/>
              </w:rPr>
              <w:t xml:space="preserve">servicios de esparcimiento culturales y deportivos, y otros servicios recreativos</w:t>
            </w:r>
            <w:r>
              <w:t xml:space="preserve">) and keep establishments that function as cultural economic units with a meaningful coastal connection, within the inland 10 km coastal buffer of the six Gulf of California states.</w:t>
            </w:r>
          </w:p>
          <w:p>
            <w:pPr>
              <w:pStyle w:val="BodyText"/>
            </w:pPr>
            <w:r>
              <w:rPr>
                <w:bCs/>
                <w:b/>
              </w:rPr>
              <w:t xml:space="preserve">Examples of establishment types retained</w:t>
            </w:r>
          </w:p>
          <w:p>
            <w:pPr>
              <w:numPr>
                <w:ilvl w:val="0"/>
                <w:numId w:val="1007"/>
              </w:numPr>
              <w:pStyle w:val="Compact"/>
            </w:pPr>
            <w:r>
              <w:t xml:space="preserve">Theaters and other performing arts venues</w:t>
            </w:r>
          </w:p>
          <w:p>
            <w:pPr>
              <w:numPr>
                <w:ilvl w:val="0"/>
                <w:numId w:val="1007"/>
              </w:numPr>
              <w:pStyle w:val="Compact"/>
            </w:pPr>
            <w:r>
              <w:t xml:space="preserve">Museums and cultural exhibition spaces</w:t>
            </w:r>
          </w:p>
          <w:p>
            <w:pPr>
              <w:numPr>
                <w:ilvl w:val="0"/>
                <w:numId w:val="1007"/>
              </w:numPr>
              <w:pStyle w:val="Compact"/>
            </w:pPr>
            <w:r>
              <w:t xml:space="preserve">Historic sites and related heritage establishments</w:t>
            </w:r>
          </w:p>
          <w:p>
            <w:pPr>
              <w:numPr>
                <w:ilvl w:val="0"/>
                <w:numId w:val="1007"/>
              </w:numPr>
              <w:pStyle w:val="Compact"/>
            </w:pPr>
            <w:r>
              <w:t xml:space="preserve">Botanical gardens and similar nature-culture venues</w:t>
            </w:r>
          </w:p>
          <w:p>
            <w:pPr>
              <w:numPr>
                <w:ilvl w:val="0"/>
                <w:numId w:val="1007"/>
              </w:numPr>
              <w:pStyle w:val="Compact"/>
            </w:pPr>
            <w:r>
              <w:t xml:space="preserve">Public parks and recreation spaces with cultural connection</w:t>
            </w:r>
          </w:p>
          <w:p>
            <w:pPr>
              <w:numPr>
                <w:ilvl w:val="0"/>
                <w:numId w:val="1007"/>
              </w:numPr>
              <w:pStyle w:val="Compact"/>
            </w:pPr>
            <w:r>
              <w:t xml:space="preserve">Coastal recreation establishments that support place-based coastal use</w:t>
            </w:r>
          </w:p>
          <w:p>
            <w:pPr>
              <w:pStyle w:val="FirstParagraph"/>
            </w:pPr>
            <w:r>
              <w:rPr>
                <w:bCs/>
                <w:b/>
              </w:rPr>
              <w:t xml:space="preserve">Examples excluded</w:t>
            </w:r>
          </w:p>
          <w:p>
            <w:pPr>
              <w:numPr>
                <w:ilvl w:val="0"/>
                <w:numId w:val="1008"/>
              </w:numPr>
              <w:pStyle w:val="Compact"/>
            </w:pPr>
            <w:r>
              <w:t xml:space="preserve">Charreadas (for example establishments named LIENZO CHARRO)</w:t>
            </w:r>
          </w:p>
          <w:p>
            <w:pPr>
              <w:numPr>
                <w:ilvl w:val="0"/>
                <w:numId w:val="1008"/>
              </w:numPr>
              <w:pStyle w:val="Compact"/>
            </w:pPr>
            <w:r>
              <w:t xml:space="preserve">Cockfighting venues (for example GALLERA)</w:t>
            </w:r>
          </w:p>
          <w:p>
            <w:pPr>
              <w:numPr>
                <w:ilvl w:val="0"/>
                <w:numId w:val="1008"/>
              </w:numPr>
              <w:pStyle w:val="Compact"/>
            </w:pPr>
            <w:r>
              <w:t xml:space="preserve">Selected administrative businesses identified by name that do not represent community cultural engagement with the coast</w:t>
            </w:r>
          </w:p>
          <w:p>
            <w:pPr>
              <w:pStyle w:val="FirstParagraph"/>
            </w:pPr>
            <w:pPr>
              <w:spacing w:after="16"/>
            </w:pPr>
            <w:r>
              <w:t xml:space="preserve">The intent is to count places where people gather around coastal culture, heritage, and recreation, not every establishment that happens to fall under the broad DENUE culture and recreation sector.</w:t>
            </w:r>
          </w:p>
        </w:tc>
      </w:tr>
    </w:tbl>
    <w:p>
      <w:pPr>
        <w:pStyle w:val="BodyText"/>
      </w:pPr>
      <w:r>
        <w:rPr>
          <w:bCs/>
          <w:b/>
        </w:rPr>
        <w:t xml:space="preserve">How the layer was built</w:t>
      </w:r>
    </w:p>
    <w:p>
      <w:pPr>
        <w:numPr>
          <w:ilvl w:val="0"/>
          <w:numId w:val="1009"/>
        </w:numPr>
        <w:pStyle w:val="Compact"/>
      </w:pPr>
      <w:r>
        <w:t xml:space="preserve">Start with INEGI DENUE sector 71 for</w:t>
      </w:r>
      <w:r>
        <w:t xml:space="preserve"> </w:t>
      </w:r>
      <w:r>
        <w:rPr>
          <w:bCs/>
          <w:b/>
        </w:rPr>
        <w:t xml:space="preserve">2019-2026</w:t>
      </w:r>
      <w:r>
        <w:t xml:space="preserve">.</w:t>
      </w:r>
    </w:p>
    <w:p>
      <w:pPr>
        <w:numPr>
          <w:ilvl w:val="0"/>
          <w:numId w:val="1009"/>
        </w:numPr>
        <w:pStyle w:val="Compact"/>
      </w:pPr>
      <w:r>
        <w:t xml:space="preserve">Restrict to the six GoC states and keep only establishments inside the inland 10 km coastal buffer.</w:t>
      </w:r>
    </w:p>
    <w:p>
      <w:pPr>
        <w:numPr>
          <w:ilvl w:val="0"/>
          <w:numId w:val="1009"/>
        </w:numPr>
        <w:pStyle w:val="Compact"/>
      </w:pPr>
      <w:r>
        <w:t xml:space="preserve">Limit to cultural economic units with a meaningful coastal connection (see list above for what is included and excluded).</w:t>
      </w:r>
    </w:p>
    <w:p>
      <w:pPr>
        <w:numPr>
          <w:ilvl w:val="0"/>
          <w:numId w:val="1009"/>
        </w:numPr>
        <w:pStyle w:val="Compact"/>
      </w:pPr>
      <w:r>
        <w:t xml:space="preserve">Estimate employees from DENUE employment size classes, aggregate by region and year, and divide by coastal locality population within the same 10 km buffer.</w:t>
      </w:r>
    </w:p>
    <w:p>
      <w:pPr>
        <w:numPr>
          <w:ilvl w:val="0"/>
          <w:numId w:val="1009"/>
        </w:numPr>
        <w:pStyle w:val="Compact"/>
      </w:pPr>
      <w:r>
        <w:t xml:space="preserve">Convert the per capita rate to a 0 to 100 status using the</w:t>
      </w:r>
      <w:r>
        <w:t xml:space="preserve"> </w:t>
      </w:r>
      <w:r>
        <w:rPr>
          <w:bCs/>
          <w:b/>
        </w:rPr>
        <w:t xml:space="preserve">75th quantile</w:t>
      </w:r>
      <w:r>
        <w:t xml:space="preserve"> </w:t>
      </w:r>
      <w:r>
        <w:t xml:space="preserve">of employees per capita across all regions and years as the reference:</w:t>
      </w:r>
    </w:p>
    <w:p>
      <w:pPr>
        <w:pStyle w:val="FirstParagraph"/>
      </w:pPr>
      <m:oMathPara>
        <m:oMathParaPr>
          <m:jc m:val="center"/>
        </m:oMathParaPr>
        <m:oMath>
          <m:r>
            <m:t>C</m:t>
          </m:r>
          <m:r>
            <m:t>u</m:t>
          </m:r>
          <m:r>
            <m:t>l</m:t>
          </m:r>
          <m:sSub>
            <m:e>
              <m:r>
                <m:t>t</m:t>
              </m:r>
            </m:e>
            <m:sub>
              <m:r>
                <m:t>r</m:t>
              </m:r>
              <m:r>
                <m:rPr>
                  <m:sty m:val="p"/>
                </m:rPr>
                <m:t>,</m:t>
              </m:r>
              <m:r>
                <m:t>t</m:t>
              </m:r>
            </m:sub>
          </m:sSub>
          <m:r>
            <m:rPr>
              <m:sty m:val="p"/>
            </m:rPr>
            <m:t>=</m:t>
          </m:r>
          <m:r>
            <m:rPr>
              <m:sty m:val="p"/>
            </m:rPr>
            <m:t>min</m:t>
          </m:r>
          <m:d>
            <m:dPr>
              <m:begChr m:val="("/>
              <m:endChr m:val=")"/>
              <m:sepChr m:val=""/>
              <m:grow/>
            </m:dPr>
            <m:e>
              <m:r>
                <m:t>100</m:t>
              </m:r>
              <m:r>
                <m:rPr>
                  <m:sty m:val="p"/>
                </m:rPr>
                <m:t>,</m:t>
              </m:r>
              <m:r>
                <m:t> </m:t>
              </m:r>
              <m:r>
                <m:t>100</m:t>
              </m:r>
              <m:r>
                <m:rPr>
                  <m:sty m:val="p"/>
                </m:rPr>
                <m:t>×</m:t>
              </m:r>
              <m:f>
                <m:fPr>
                  <m:type m:val="bar"/>
                </m:fPr>
                <m:num>
                  <m:sSub>
                    <m:e>
                      <m:r>
                        <m:rPr>
                          <m:nor/>
                          <m:sty m:val="p"/>
                        </m:rPr>
                        <m:t>employees per coastal pop</m:t>
                      </m:r>
                    </m:e>
                    <m:sub>
                      <m:r>
                        <m:t>r</m:t>
                      </m:r>
                      <m:r>
                        <m:rPr>
                          <m:sty m:val="p"/>
                        </m:rPr>
                        <m:t>,</m:t>
                      </m:r>
                      <m:r>
                        <m:t>t</m:t>
                      </m:r>
                    </m:sub>
                  </m:sSub>
                </m:num>
                <m:den>
                  <m:sSub>
                    <m:e>
                      <m:r>
                        <m:t>Q</m:t>
                      </m:r>
                    </m:e>
                    <m:sub>
                      <m:r>
                        <m:t>0.75</m:t>
                      </m:r>
                    </m:sub>
                  </m:sSub>
                  <m:d>
                    <m:dPr>
                      <m:begChr m:val="("/>
                      <m:endChr m:val=")"/>
                      <m:sepChr m:val=""/>
                      <m:grow/>
                    </m:dPr>
                    <m:e>
                      <m:r>
                        <m:rPr>
                          <m:nor/>
                          <m:sty m:val="p"/>
                        </m:rPr>
                        <m:t>employees per coastal pop</m:t>
                      </m:r>
                    </m:e>
                  </m:d>
                </m:den>
              </m:f>
            </m:e>
          </m:d>
        </m:oMath>
      </m:oMathPara>
    </w:p>
    <w:p>
      <w:pPr>
        <w:pStyle w:val="FirstParagraph"/>
      </w:pPr>
      <w:r>
        <w:t xml:space="preserve">where:</w:t>
      </w:r>
    </w:p>
    <w:p>
      <w:pPr>
        <w:numPr>
          <w:ilvl w:val="0"/>
          <w:numId w:val="1010"/>
        </w:numPr>
        <w:pStyle w:val="Compact"/>
      </w:pPr>
      <m:oMath>
        <m:r>
          <m:t>C</m:t>
        </m:r>
        <m:r>
          <m:t>u</m:t>
        </m:r>
        <m:r>
          <m:t>l</m:t>
        </m:r>
        <m:sSub>
          <m:e>
            <m:r>
              <m:t>t</m:t>
            </m:r>
          </m:e>
          <m:sub>
            <m:r>
              <m:t>r</m:t>
            </m:r>
            <m:r>
              <m:rPr>
                <m:sty m:val="p"/>
              </m:rPr>
              <m:t>,</m:t>
            </m:r>
            <m:r>
              <m:t>t</m:t>
            </m:r>
          </m:sub>
        </m:sSub>
      </m:oMath>
      <w:r>
        <w:t xml:space="preserve"> </w:t>
      </w:r>
      <w:r>
        <w:t xml:space="preserve">is the non-natural cultural places score for region</w:t>
      </w:r>
      <w:r>
        <w:t xml:space="preserve"> </w:t>
      </w:r>
      <m:oMath>
        <m:r>
          <m:t>r</m:t>
        </m:r>
      </m:oMath>
      <w:r>
        <w:t xml:space="preserve"> </w:t>
      </w:r>
      <w:r>
        <w:t xml:space="preserve">in year</w:t>
      </w:r>
      <w:r>
        <w:t xml:space="preserve"> </w:t>
      </w:r>
      <m:oMath>
        <m:r>
          <m:t>t</m:t>
        </m:r>
      </m:oMath>
    </w:p>
    <w:p>
      <w:pPr>
        <w:numPr>
          <w:ilvl w:val="0"/>
          <w:numId w:val="1010"/>
        </w:numPr>
        <w:pStyle w:val="Compact"/>
      </w:pPr>
      <m:oMath>
        <m:sSub>
          <m:e>
            <m:r>
              <m:rPr>
                <m:nor/>
                <m:sty m:val="p"/>
              </m:rPr>
              <m:t>employees per coastal pop</m:t>
            </m:r>
          </m:e>
          <m:sub>
            <m:r>
              <m:t>r</m:t>
            </m:r>
            <m:r>
              <m:rPr>
                <m:sty m:val="p"/>
              </m:rPr>
              <m:t>,</m:t>
            </m:r>
            <m:r>
              <m:t>t</m:t>
            </m:r>
          </m:sub>
        </m:sSub>
      </m:oMath>
      <w:r>
        <w:t xml:space="preserve"> </w:t>
      </w:r>
      <w:r>
        <w:t xml:space="preserve">is estimated cultural-establishment employees divided by coastal locality population in the inland 10 km buffer</w:t>
      </w:r>
    </w:p>
    <w:p>
      <w:pPr>
        <w:numPr>
          <w:ilvl w:val="0"/>
          <w:numId w:val="1010"/>
        </w:numPr>
        <w:pStyle w:val="Compact"/>
      </w:pPr>
      <m:oMath>
        <m:sSub>
          <m:e>
            <m:r>
              <m:t>Q</m:t>
            </m:r>
          </m:e>
          <m:sub>
            <m:r>
              <m:t>0.75</m:t>
            </m:r>
          </m:sub>
        </m:sSub>
        <m:d>
          <m:dPr>
            <m:begChr m:val="("/>
            <m:endChr m:val=")"/>
            <m:sepChr m:val=""/>
            <m:grow/>
          </m:dPr>
          <m:e>
            <m:r>
              <m:rPr>
                <m:nor/>
                <m:sty m:val="p"/>
              </m:rPr>
              <m:t>employees per coastal pop</m:t>
            </m:r>
          </m:e>
        </m:d>
      </m:oMath>
      <w:r>
        <w:t xml:space="preserve"> </w:t>
      </w:r>
      <w:r>
        <w:t xml:space="preserve">is the 75th quantile of that rate across all regions and years</w:t>
      </w:r>
    </w:p>
    <w:p>
      <w:pPr>
        <w:numPr>
          <w:ilvl w:val="0"/>
          <w:numId w:val="1010"/>
        </w:numPr>
        <w:pStyle w:val="Compact"/>
      </w:pPr>
      <w:r>
        <w:t xml:space="preserve">Scores above 100 are capped at 100</w:t>
      </w:r>
    </w:p>
    <w:p>
      <w:pPr>
        <w:pStyle w:val="FirstParagraph"/>
      </w:pPr>
      <w:r>
        <w:rPr>
          <w:bCs/>
          <w:b/>
        </w:rPr>
        <w:t xml:space="preserve">Yes, both the establishments and the population are coastal.</w:t>
      </w:r>
      <w:r>
        <w:t xml:space="preserve"> </w:t>
      </w:r>
      <w:r>
        <w:t xml:space="preserve">Establishments are restricted to the inland 10 km coastal buffer, and population is from localities intersecting that same buffer (not whole municipalities inland of the Gulf).</w:t>
      </w:r>
    </w:p>
    <w:p>
      <w:pPr>
        <w:pStyle w:val="BodyText"/>
      </w:pPr>
      <w:r>
        <w:rPr>
          <w:bCs/>
          <w:b/>
        </w:rPr>
        <w:t xml:space="preserve">Years:</w:t>
      </w:r>
      <w:r>
        <w:t xml:space="preserve"> </w:t>
      </w:r>
      <w:r>
        <w:t xml:space="preserve">The full cultural places series is</w:t>
      </w:r>
      <w:r>
        <w:t xml:space="preserve"> </w:t>
      </w:r>
      <w:r>
        <w:rPr>
          <w:bCs/>
          <w:b/>
        </w:rPr>
        <w:t xml:space="preserve">2019-2026</w:t>
      </w:r>
      <w:r>
        <w:t xml:space="preserve"> </w:t>
      </w:r>
      <w:r>
        <w:t xml:space="preserve">(updated DENUE prep for the inland 10 km coastal buffer). We show 2026 here on purpose, so the group can see recent direction of change for this subcomponent.</w:t>
      </w:r>
      <w:r>
        <w:t xml:space="preserve"> </w:t>
      </w:r>
      <w:r>
        <w:rPr>
          <w:bCs/>
          <w:b/>
        </w:rPr>
        <w:t xml:space="preserve">2026 is not yet included in overall CCE or SP</w:t>
      </w:r>
      <w:r>
        <w:t xml:space="preserve">, because Ama tu Playa adoption inventory is not yet a reliable 2026 observation (see the note under overall scores). Note that we are able to include 2026 because we use the release of the economic unit inventory released yearly, as a snapshot to represent the annual economic units and number of employees.</w:t>
      </w:r>
    </w:p>
    <w:p>
      <w:pPr>
        <w:pStyle w:val="BodyText"/>
      </w:pPr>
      <w:r>
        <w:rPr>
          <w:bCs/>
          <w:b/>
        </w:rPr>
        <w:t xml:space="preserve">What stands out in 2025 and 2026 for non-natural cultural places.</w:t>
      </w:r>
      <w:r>
        <w:t xml:space="preserve"> </w:t>
      </w:r>
      <w:r>
        <w:t xml:space="preserve">Two regions show interesting increases that matter for interpreting the CCE cultural layer (and the series through 2026, even though 2026 is not yet included in overall CCE or SP).</w:t>
      </w:r>
    </w:p>
    <w:p>
      <w:pPr>
        <w:numPr>
          <w:ilvl w:val="0"/>
          <w:numId w:val="1011"/>
        </w:numPr>
        <w:pStyle w:val="Compact"/>
      </w:pPr>
      <w:r>
        <w:rPr>
          <w:bCs/>
          <w:b/>
        </w:rPr>
        <w:t xml:space="preserve">Western Upper Gulf (San Felipe area):</w:t>
      </w:r>
      <w:r>
        <w:t xml:space="preserve"> </w:t>
      </w:r>
      <w:r>
        <w:t xml:space="preserve">community cultural capacity grew. DENUE records shifted from only one small art studio (roughly 0-5 employees) toward</w:t>
      </w:r>
      <w:r>
        <w:t xml:space="preserve"> </w:t>
      </w:r>
      <w:r>
        <w:rPr>
          <w:bCs/>
          <w:b/>
        </w:rPr>
        <w:t xml:space="preserve">three places</w:t>
      </w:r>
      <w:r>
        <w:t xml:space="preserve">, including a</w:t>
      </w:r>
      <w:r>
        <w:t xml:space="preserve"> </w:t>
      </w:r>
      <w:r>
        <w:rPr>
          <w:iCs/>
          <w:i/>
        </w:rPr>
        <w:t xml:space="preserve">casa de cultura</w:t>
      </w:r>
      <w:r>
        <w:t xml:space="preserve"> </w:t>
      </w:r>
      <w:r>
        <w:t xml:space="preserve">and a children’s cultural and sports center, with estimated cultural jobs rising from about</w:t>
      </w:r>
      <w:r>
        <w:t xml:space="preserve"> </w:t>
      </w:r>
      <w:r>
        <w:rPr>
          <w:bCs/>
          <w:b/>
        </w:rPr>
        <w:t xml:space="preserve">3 to about 20</w:t>
      </w:r>
      <w:r>
        <w:t xml:space="preserve">.</w:t>
      </w:r>
    </w:p>
    <w:p>
      <w:pPr>
        <w:numPr>
          <w:ilvl w:val="0"/>
          <w:numId w:val="1011"/>
        </w:numPr>
        <w:pStyle w:val="Compact"/>
      </w:pPr>
      <w:r>
        <w:rPr>
          <w:bCs/>
          <w:b/>
        </w:rPr>
        <w:t xml:space="preserve">Western Central Gulf (Mulegé area):</w:t>
      </w:r>
      <w:r>
        <w:t xml:space="preserve"> </w:t>
      </w:r>
      <w:r>
        <w:t xml:space="preserve">the count of places stayed similar (about four to five museums and cultural centers, including the</w:t>
      </w:r>
      <w:r>
        <w:t xml:space="preserve"> </w:t>
      </w:r>
      <w:r>
        <w:rPr>
          <w:iCs/>
          <w:i/>
        </w:rPr>
        <w:t xml:space="preserve">Casa de la Cultura</w:t>
      </w:r>
      <w:r>
        <w:t xml:space="preserve"> </w:t>
      </w:r>
      <w:r>
        <w:t xml:space="preserve">and the</w:t>
      </w:r>
      <w:r>
        <w:t xml:space="preserve"> </w:t>
      </w:r>
      <w:r>
        <w:rPr>
          <w:iCs/>
          <w:i/>
        </w:rPr>
        <w:t xml:space="preserve">Museo Comunitario de Mulegé</w:t>
      </w:r>
      <w:r>
        <w:t xml:space="preserve">), but estimated employment grew from about</w:t>
      </w:r>
      <w:r>
        <w:t xml:space="preserve"> </w:t>
      </w:r>
      <w:r>
        <w:rPr>
          <w:bCs/>
          <w:b/>
        </w:rPr>
        <w:t xml:space="preserve">30 to about 50</w:t>
      </w:r>
      <w:r>
        <w:t xml:space="preserve"> </w:t>
      </w:r>
      <w:r>
        <w:t xml:space="preserve">staff. More staff is a signal of more activity at existing community cultural places, not only of new sites opening.</w:t>
      </w:r>
    </w:p>
    <w:p>
      <w:pPr>
        <w:pStyle w:val="FirstParagraph"/>
      </w:pPr>
      <w:r>
        <w:t xml:space="preserve">Both cases suggest that recent score movement can reflect real growth in coastal cultural infrastructure and jobs.</w:t>
      </w:r>
    </w:p>
    <w:p>
      <w:pPr>
        <w:pStyle w:val="BodyText"/>
      </w:pPr>
      <w:r>
        <w:rPr>
          <w:bCs/>
          <w:b/>
        </w:rPr>
        <w:t xml:space="preserve">Data sources</w:t>
      </w:r>
    </w:p>
    <w:p>
      <w:pPr>
        <w:numPr>
          <w:ilvl w:val="0"/>
          <w:numId w:val="1012"/>
        </w:numPr>
        <w:pStyle w:val="Compact"/>
      </w:pPr>
      <w:r>
        <w:t xml:space="preserve">INEGI DENUE sector 71 cultural and recreation establishments within the inland 10 km coastal buffer; employees estimated from DENUE size classes, scaled to coastal locality population, referenced to the 75th quantile; series through 2026</w:t>
      </w:r>
    </w:p>
    <w:bookmarkStart w:id="59" w:name="X24aa8cc7a592263575ffad37f70c7d6f1f2af4c"/>
    <w:p>
      <w:pPr>
        <w:pStyle w:val="Heading3"/>
      </w:pPr>
      <w:r>
        <w:t xml:space="preserve">4.2.1 Why we use the 75th quantile (compared with the 90th)</w:t>
      </w:r>
    </w:p>
    <w:p>
      <w:pPr>
        <w:pStyle w:val="FirstParagraph"/>
      </w:pPr>
      <w:r>
        <w:t xml:space="preserve">Before converting to a current status score, the raw rates of employees per coastal resident already show that the</w:t>
      </w:r>
      <w:r>
        <w:t xml:space="preserve"> </w:t>
      </w:r>
      <w:r>
        <w:rPr>
          <w:bCs/>
          <w:b/>
        </w:rPr>
        <w:t xml:space="preserve">Western Midriff Islands (Region 2)</w:t>
      </w:r>
      <w:r>
        <w:t xml:space="preserve"> </w:t>
      </w:r>
      <w:r>
        <w:t xml:space="preserve">sit far above the other regions. Using a high reference like the 90th quantile would make that outlier dominate the benchmark and pull most other regions toward very low scores. We therefore use the</w:t>
      </w:r>
      <w:r>
        <w:t xml:space="preserve"> </w:t>
      </w:r>
      <w:r>
        <w:rPr>
          <w:bCs/>
          <w:b/>
        </w:rPr>
        <w:t xml:space="preserve">75th quantile</w:t>
      </w:r>
      <w:r>
        <w:t xml:space="preserve"> </w:t>
      </w:r>
      <w:r>
        <w:t xml:space="preserve">as the reference. It still rewards higher cultural employment density, but is less driven by Region 2 alone. Alternatives we considered (and set aside) include the 80th and 90th quantiles and a 2019 regional baseline.</w:t>
      </w:r>
    </w:p>
    <w:p>
      <w:pPr>
        <w:pStyle w:val="BodyText"/>
      </w:pPr>
      <w:r>
        <w:t xml:space="preserve">The plot below shows the raw rate (not yet scaled to 0-100). Horizontal lines mark the pooled 75th and 90th quantiles across all region-year observations so you can see why the 75th is the more balanced choice for this Gulf data.</w:t>
      </w:r>
    </w:p>
    <w:p>
      <w:pPr>
        <w:pStyle w:val="CaptionedFigure"/>
      </w:pPr>
      <w:r>
        <w:drawing>
          <wp:inline>
            <wp:extent cx="5334000" cy="5334000"/>
            <wp:effectExtent b="0" l="0" r="0" t="0"/>
            <wp:docPr descr="Figure 6. Raw non-natural cultural places rate used before conversion to a 0-100 status score. We estimate cultural-establishment employees from INEGI DENUE size classes for curated sector 71 workplaces that sit inside a 10 km inland coastal buffer, then divide by coastal locality population in the same buffer. The green dashed line is the pooled 75th quantile of this rate across all region-years (our chosen reference). The red dotted line is the 90th quantile. Region 2 (Western Midriff Islands) sits far above the others; the 75th quantile still rewards high density while being less dominated by that single outlier than a 90th-quantile reference would be." title="" id="54" name="Picture"/>
            <a:graphic>
              <a:graphicData uri="http://schemas.openxmlformats.org/drawingml/2006/picture">
                <pic:pic>
                  <pic:nvPicPr>
                    <pic:cNvPr descr="ewg32_sp_docx_files/figure-docx/unnamed-chunk-8-1.png" id="55" name="Picture"/>
                    <pic:cNvPicPr>
                      <a:picLocks noChangeArrowheads="1" noChangeAspect="1"/>
                    </pic:cNvPicPr>
                  </pic:nvPicPr>
                  <pic:blipFill>
                    <a:blip r:embed="rId5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6. Raw non-natural cultural places rate used before conversion to a 0-100 status score. We estimate cultural-establishment employees from INEGI DENUE size classes for curated sector 71 workplaces that sit inside a 10 km inland coastal buffer, then divide by coastal locality population in the same buffer. The green dashed line is the pooled 75th quantile of this rate across all region-years (our chosen reference). The red dotted line is the 90th quantile. Region 2 (Western Midriff Islands) sits far above the others; the 75th quantile still rewards high density while being less dominated by that single outlier than a 90th-quantile reference would be.</w:t>
      </w:r>
    </w:p>
    <w:p>
      <w:pPr>
        <w:pStyle w:val="BodyText"/>
      </w:pPr>
      <w:r>
        <w:t xml:space="preserve">The 75th quantile is our chosen reference for this assessment cycle.</w:t>
      </w:r>
    </w:p>
    <w:p>
      <w:pPr>
        <w:pStyle w:val="CaptionedFigure"/>
      </w:pPr>
      <w:r>
        <w:drawing>
          <wp:inline>
            <wp:extent cx="5334000" cy="5334000"/>
            <wp:effectExtent b="0" l="0" r="0" t="0"/>
            <wp:docPr descr="Figure 7. Non-natural cultural places status after scaling the Figure 6 rate to the 75th quantile reference and capping at 100. A region at the 75th quantile of employees per coastal resident scores 100; regions with lower rates score proportionally lower. This series shows 2019 through 2026 so experts can see recent DENUE-based change, but 2026 is not yet included in overall CCE or SP because beach-adoption inventory for 2026 is not yet reliable." title="" id="57" name="Picture"/>
            <a:graphic>
              <a:graphicData uri="http://schemas.openxmlformats.org/drawingml/2006/picture">
                <pic:pic>
                  <pic:nvPicPr>
                    <pic:cNvPr descr="ewg32_sp_docx_files/figure-docx/unnamed-chunk-9-1.png" id="58" name="Picture"/>
                    <pic:cNvPicPr>
                      <a:picLocks noChangeArrowheads="1" noChangeAspect="1"/>
                    </pic:cNvPicPr>
                  </pic:nvPicPr>
                  <pic:blipFill>
                    <a:blip r:embed="rId5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7. Non-natural cultural places status after scaling the Figure 6 rate to the 75th quantile reference and capping at 100. A region at the 75th quantile of employees per coastal resident scores 100; regions with lower rates score proportionally lower. This series shows 2019 through 2026 so experts can see recent DENUE-based change, but 2026 is not yet included in overall CCE or SP because beach-adoption inventory for 2026 is not yet reliable.</w:t>
      </w:r>
    </w:p>
    <w:p>
      <w:r>
        <w:pict>
          <v:rect style="width:0;height:1.5pt" o:hralign="center" o:hrstd="t" o:hr="t"/>
        </w:pict>
      </w:r>
    </w:p>
    <w:bookmarkEnd w:id="59"/>
    <w:bookmarkEnd w:id="60"/>
    <w:bookmarkEnd w:id="61"/>
    <w:bookmarkStart w:id="66" w:name="looking-forward-pueblos"/>
    <w:p>
      <w:pPr>
        <w:pStyle w:val="Heading1"/>
      </w:pPr>
      <w:r>
        <w:t xml:space="preserve">5. Acknowledgment: Pueblos originarios</w:t>
      </w:r>
    </w:p>
    <w:bookmarkStart w:id="62" w:name="why-this-section-exists"/>
    <w:p>
      <w:pPr>
        <w:pStyle w:val="Heading2"/>
      </w:pPr>
      <w:r>
        <w:t xml:space="preserve">5.1 Why this section exists</w:t>
      </w:r>
    </w:p>
    <w:p>
      <w:pPr>
        <w:pStyle w:val="FirstParagraph"/>
      </w:pPr>
      <w:r>
        <w:t xml:space="preserve">This section records a methodological and ethical decision: coastal Indigenous communities are central to the Gulf of California, but we did not feel comfortable scoring their Sense of Place and connection to the ocean with indicators we designed without sustained partnership with community representatives.</w:t>
      </w:r>
    </w:p>
    <w:p>
      <w:pPr>
        <w:pStyle w:val="BodyText"/>
      </w:pPr>
      <w:r>
        <w:t xml:space="preserve">Pueblos originarios and other First Nations communities of the Gulf of California hold deep, living relationships with coastal and marine places. Those relationships are not a side note to Sense of Place. They are part of what Sense of Place means in this region.</w:t>
      </w:r>
    </w:p>
    <w:p>
      <w:pPr>
        <w:pStyle w:val="BodyText"/>
      </w:pPr>
      <w:r>
        <w:t xml:space="preserve">At the same time, Indigenous peoples are not a single box. They are also coastal residents, fishers, knowledge holders, and neighbors within the same seascapes that the Index tries to describe. We do not want to isolate them from the Index, and we also do not want to impose an outside framework for assessing the condition of their connection to the ocean.</w:t>
      </w:r>
    </w:p>
    <w:bookmarkEnd w:id="62"/>
    <w:bookmarkStart w:id="63" w:name="what-we-considered-for-cce"/>
    <w:p>
      <w:pPr>
        <w:pStyle w:val="Heading2"/>
      </w:pPr>
      <w:r>
        <w:t xml:space="preserve">5.2 What we considered for CCE</w:t>
      </w:r>
    </w:p>
    <w:p>
      <w:pPr>
        <w:pStyle w:val="FirstParagraph"/>
      </w:pPr>
      <w:r>
        <w:t xml:space="preserve">During goal development, we explored indicators of support for coastal Indigenous communities, including ideas such as:</w:t>
      </w:r>
    </w:p>
    <w:p>
      <w:pPr>
        <w:numPr>
          <w:ilvl w:val="0"/>
          <w:numId w:val="1013"/>
        </w:numPr>
        <w:pStyle w:val="Compact"/>
      </w:pPr>
      <w:r>
        <w:rPr>
          <w:bCs/>
          <w:b/>
        </w:rPr>
        <w:t xml:space="preserve">Recognition</w:t>
      </w:r>
      <w:r>
        <w:t xml:space="preserve">, for example whether there are government documents that provide translations between coastal pueblo originario languages and español (as a possible signal of recognition).</w:t>
      </w:r>
    </w:p>
    <w:p>
      <w:pPr>
        <w:numPr>
          <w:ilvl w:val="0"/>
          <w:numId w:val="1013"/>
        </w:numPr>
        <w:pStyle w:val="Compact"/>
      </w:pPr>
      <w:r>
        <w:rPr>
          <w:bCs/>
          <w:b/>
        </w:rPr>
        <w:t xml:space="preserve">Planes de justicia</w:t>
      </w:r>
      <w:r>
        <w:t xml:space="preserve"> </w:t>
      </w:r>
      <w:r>
        <w:t xml:space="preserve">and Justice and Integral Development Plans from INPI for coastal pueblos originarios, described by INPI as planning exercises carried out by Traditional Authorities through their own forms of government and decision making, with INPI support for regional diagnoses, proposals from community visions of well-being and justice, and follow-up on agreements with government agencies.</w:t>
      </w:r>
    </w:p>
    <w:p>
      <w:pPr>
        <w:numPr>
          <w:ilvl w:val="0"/>
          <w:numId w:val="1013"/>
        </w:numPr>
        <w:pStyle w:val="Compact"/>
      </w:pPr>
      <w:r>
        <w:rPr>
          <w:bCs/>
          <w:b/>
        </w:rPr>
        <w:t xml:space="preserve">Indigenous development centers</w:t>
      </w:r>
      <w:r>
        <w:t xml:space="preserve"> </w:t>
      </w:r>
      <w:r>
        <w:t xml:space="preserve">that receive federal funding, compared with the population size of First Nations (INEGI), as a possible signal of institutional support.</w:t>
      </w:r>
    </w:p>
    <w:p>
      <w:pPr>
        <w:pStyle w:val="FirstParagraph"/>
      </w:pPr>
      <w:r>
        <w:t xml:space="preserve">It was also proposed to frame the metric around two practical questions: (1) is the community recognized by the government, and (2) do they have funding support and centers?</w:t>
      </w:r>
    </w:p>
    <w:bookmarkEnd w:id="63"/>
    <w:bookmarkStart w:id="64" w:name="X2b37dfd54cfe88a6705d26d079125455031cbf8"/>
    <w:p>
      <w:pPr>
        <w:pStyle w:val="Heading2"/>
      </w:pPr>
      <w:r>
        <w:t xml:space="preserve">5.3 Why these indicators are not in the current score</w:t>
      </w:r>
    </w:p>
    <w:p>
      <w:pPr>
        <w:pStyle w:val="FirstParagraph"/>
      </w:pPr>
      <w:r>
        <w:t xml:space="preserve">After discussion, we decided not to include these indicators in the published CCE score for this assessment cycle, because:</w:t>
      </w:r>
    </w:p>
    <w:p>
      <w:pPr>
        <w:numPr>
          <w:ilvl w:val="0"/>
          <w:numId w:val="1014"/>
        </w:numPr>
        <w:pStyle w:val="Compact"/>
      </w:pPr>
      <w:r>
        <w:t xml:space="preserve">We did not have the time and resources to keep Indigenous groups in continuous conversation throughout Index development in the way this topic requires.</w:t>
      </w:r>
    </w:p>
    <w:p>
      <w:pPr>
        <w:numPr>
          <w:ilvl w:val="0"/>
          <w:numId w:val="1014"/>
        </w:numPr>
        <w:pStyle w:val="Compact"/>
      </w:pPr>
      <w:r>
        <w:t xml:space="preserve">We do not want to presuppose community condition or speak for them, or publish a score that implies a community</w:t>
      </w:r>
      <w:r>
        <w:t xml:space="preserve"> </w:t>
      </w:r>
      <w:r>
        <w:t xml:space="preserve">“</w:t>
      </w:r>
      <w:r>
        <w:t xml:space="preserve">should</w:t>
      </w:r>
      <w:r>
        <w:t xml:space="preserve">”</w:t>
      </w:r>
      <w:r>
        <w:t xml:space="preserve"> </w:t>
      </w:r>
      <w:r>
        <w:t xml:space="preserve">want a particular form of recognition (for example, language policy) when we have not heard that from their representatives.</w:t>
      </w:r>
    </w:p>
    <w:p>
      <w:pPr>
        <w:numPr>
          <w:ilvl w:val="0"/>
          <w:numId w:val="1014"/>
        </w:numPr>
        <w:pStyle w:val="Compact"/>
      </w:pPr>
      <w:r>
        <w:t xml:space="preserve">There are important nuances. For example, the Tohono O’odham communicated to one of the experts in our working group, as part of a separate project, that it does not want to be considered a pueblo originario. Any indicator built only on official categories would miss that kind of self-determination.</w:t>
      </w:r>
    </w:p>
    <w:p>
      <w:pPr>
        <w:numPr>
          <w:ilvl w:val="0"/>
          <w:numId w:val="1014"/>
        </w:numPr>
        <w:pStyle w:val="Compact"/>
      </w:pPr>
      <w:r>
        <w:t xml:space="preserve">We received pushback against counting the number of Indigenous resource centers. That framing would treat government financial support for a community meeting and resource location as automatically</w:t>
      </w:r>
      <w:r>
        <w:t xml:space="preserve"> </w:t>
      </w:r>
      <w:r>
        <w:t xml:space="preserve">“</w:t>
      </w:r>
      <w:r>
        <w:t xml:space="preserve">positive,</w:t>
      </w:r>
      <w:r>
        <w:t xml:space="preserve">”</w:t>
      </w:r>
      <w:r>
        <w:t xml:space="preserve"> </w:t>
      </w:r>
      <w:r>
        <w:t xml:space="preserve">but we do not know whether that is a good thing unless we speak with the pueblos originarios themselves. Expert Working Group discussion confirmed beach cleanups and continued presence of non-natural cultural places for CCE, while use of Indigenous development centers remained in question.</w:t>
      </w:r>
    </w:p>
    <w:p>
      <w:pPr>
        <w:pStyle w:val="FirstParagraph"/>
      </w:pPr>
      <w:r>
        <w:t xml:space="preserve">Because of this, the language recognition, justice plans, and Indigenous development center components were moved to</w:t>
      </w:r>
      <w:r>
        <w:t xml:space="preserve"> </w:t>
      </w:r>
      <w:r>
        <w:rPr>
          <w:bCs/>
          <w:b/>
        </w:rPr>
        <w:t xml:space="preserve">Tier 3</w:t>
      </w:r>
      <w:r>
        <w:t xml:space="preserve">: ideas that would ideally be incorporated in the next time the assessment is run, but currently are not indicators we are ready to score as if they represent community values.</w:t>
      </w:r>
    </w:p>
    <w:bookmarkEnd w:id="64"/>
    <w:bookmarkStart w:id="65" w:name="looking-forward"/>
    <w:p>
      <w:pPr>
        <w:pStyle w:val="Heading2"/>
      </w:pPr>
      <w:r>
        <w:t xml:space="preserve">5.4 Looking forward</w:t>
      </w:r>
    </w:p>
    <w:p>
      <w:pPr>
        <w:pStyle w:val="FirstParagraph"/>
      </w:pPr>
      <w:r>
        <w:t xml:space="preserve">We hope that future iterations of the Gulf of California Ocean Health Index can incorporate co-developed indicators if communities choose to participate. The Index is meant to be reassessed over time, and methods should keep improving as relationships and capacity grow. We welcome guidance from the Expert Working Group on how to keep acknowledging pueblos originarios clearly on the website and in communications without extracting or scoring what we have not been invited to score.</w:t>
      </w:r>
    </w:p>
    <w:p>
      <w:pPr>
        <w:pStyle w:val="BodyText"/>
      </w:pPr>
      <w:r>
        <w:t xml:space="preserve">If you have contacts, cautions, or preferred language for this acknowledgment, please email me.</w:t>
      </w:r>
    </w:p>
    <w:p>
      <w:r>
        <w:pict>
          <v:rect style="width:0;height:1.5pt" o:hralign="center" o:hrstd="t" o:hr="t"/>
        </w:pict>
      </w:r>
    </w:p>
    <w:bookmarkEnd w:id="65"/>
    <w:bookmarkEnd w:id="66"/>
    <w:bookmarkStart w:id="139" w:name="lasting-special-places-lsp"/>
    <w:p>
      <w:pPr>
        <w:pStyle w:val="Heading1"/>
      </w:pPr>
      <w:r>
        <w:t xml:space="preserve">6. Lasting Special Places (LSP)</w:t>
      </w:r>
    </w:p>
    <w:p>
      <w:pPr>
        <w:pStyle w:val="FirstParagraph"/>
      </w:pPr>
      <w:r>
        <w:t xml:space="preserve">LSP measures how well we are protecting places that the Expert Working Group identified as lasting special places for ecological, cultural, recreational, spiritual, or aesthetic reasons.</w:t>
      </w:r>
    </w:p>
    <w:bookmarkStart w:id="70" w:name="how-lsp-was-built"/>
    <w:p>
      <w:pPr>
        <w:pStyle w:val="Heading2"/>
      </w:pPr>
      <w:r>
        <w:t xml:space="preserve">6.1 How LSP was built</w:t>
      </w:r>
    </w:p>
    <w:p>
      <w:pPr>
        <w:numPr>
          <w:ilvl w:val="0"/>
          <w:numId w:val="1015"/>
        </w:numPr>
      </w:pPr>
      <w:r>
        <w:rPr>
          <w:bCs/>
          <w:b/>
        </w:rPr>
        <w:t xml:space="preserve">Experts identified special places.</w:t>
      </w:r>
      <w:r>
        <w:t xml:space="preserve"> </w:t>
      </w:r>
      <w:r>
        <w:t xml:space="preserve">The Expert Working Group identified lasting special places across the Gulf. We then grouped those places into types (special protected areas, priority dive sites, iconic fishing spots, archaeological sites, special habitats, and all other special places).</w:t>
      </w:r>
    </w:p>
    <w:p>
      <w:pPr>
        <w:numPr>
          <w:ilvl w:val="0"/>
          <w:numId w:val="1015"/>
        </w:numPr>
      </w:pPr>
      <w:r>
        <w:rPr>
          <w:bCs/>
          <w:b/>
        </w:rPr>
        <w:t xml:space="preserve">We overlaid protections.</w:t>
      </w:r>
      <w:r>
        <w:t xml:space="preserve"> </w:t>
      </w:r>
      <w:r>
        <w:t xml:space="preserve">We overlaid the coordinates of those special places with the potential protections that would keep them preserved, available, and well managed for future generations (for example CONANP and Ramsar protected areas, fishing refuges, cooperative fishing territories, INAH regulation, and other legal protections).</w:t>
      </w:r>
    </w:p>
    <w:p>
      <w:pPr>
        <w:numPr>
          <w:ilvl w:val="0"/>
          <w:numId w:val="1015"/>
        </w:numPr>
      </w:pPr>
      <w:r>
        <w:rPr>
          <w:bCs/>
          <w:b/>
        </w:rPr>
        <w:t xml:space="preserve">Not all protections are equal.</w:t>
      </w:r>
      <w:r>
        <w:t xml:space="preserve"> </w:t>
      </w:r>
      <w:r>
        <w:t xml:space="preserve">Legal protections alone were generally given lower condition scores than stronger on-the-ground management. Protected areas were scored using SIMEC i-efectividad (and Ramsar management plan presence where relevant). In other words, the score reflects how well a place is protected, not only whether a protection label exists on paper.</w:t>
      </w:r>
    </w:p>
    <w:p>
      <w:pPr>
        <w:pStyle w:val="FirstParagraph"/>
      </w:pPr>
      <m:oMathPara>
        <m:oMathParaPr>
          <m:jc m:val="center"/>
        </m:oMathParaPr>
        <m:oMath>
          <m:r>
            <m:t>L</m:t>
          </m:r>
          <m:r>
            <m:t>S</m:t>
          </m:r>
          <m:sSub>
            <m:e>
              <m:r>
                <m:t>P</m:t>
              </m:r>
            </m:e>
            <m:sub>
              <m:r>
                <m:t>r</m:t>
              </m:r>
            </m:sub>
          </m:sSub>
          <m:r>
            <m:rPr>
              <m:sty m:val="p"/>
            </m:rPr>
            <m:t>=</m:t>
          </m:r>
          <m:r>
            <m:rPr>
              <m:sty m:val="p"/>
            </m:rPr>
            <m:t>a</m:t>
          </m:r>
          <m:r>
            <m:rPr>
              <m:sty m:val="p"/>
            </m:rPr>
            <m:t>v</m:t>
          </m:r>
          <m:r>
            <m:rPr>
              <m:sty m:val="p"/>
            </m:rPr>
            <m:t>e</m:t>
          </m:r>
          <m:r>
            <m:rPr>
              <m:sty m:val="p"/>
            </m:rPr>
            <m:t>r</m:t>
          </m:r>
          <m:r>
            <m:rPr>
              <m:sty m:val="p"/>
            </m:rPr>
            <m:t>a</m:t>
          </m:r>
          <m:r>
            <m:rPr>
              <m:sty m:val="p"/>
            </m:rPr>
            <m:t>g</m:t>
          </m:r>
          <m:r>
            <m:rPr>
              <m:sty m:val="p"/>
            </m:rPr>
            <m:t>e</m:t>
          </m:r>
          <m:d>
            <m:dPr>
              <m:begChr m:val="("/>
              <m:endChr m:val=")"/>
              <m:sepChr m:val=""/>
              <m:grow/>
            </m:dPr>
            <m:e>
              <m:r>
                <m:rPr>
                  <m:nor/>
                  <m:sty m:val="p"/>
                </m:rPr>
                <m:t>condition of LSP categories present in region </m:t>
              </m:r>
              <m:r>
                <m:t>r</m:t>
              </m:r>
            </m:e>
          </m:d>
        </m:oMath>
      </m:oMathPara>
    </w:p>
    <w:p>
      <w:pPr>
        <w:pStyle w:val="FirstParagraph"/>
      </w:pPr>
      <w:r>
        <w:t xml:space="preserve">where:</w:t>
      </w:r>
    </w:p>
    <w:p>
      <w:pPr>
        <w:numPr>
          <w:ilvl w:val="0"/>
          <w:numId w:val="1016"/>
        </w:numPr>
        <w:pStyle w:val="Compact"/>
      </w:pPr>
      <m:oMath>
        <m:r>
          <m:t>L</m:t>
        </m:r>
        <m:r>
          <m:t>S</m:t>
        </m:r>
        <m:sSub>
          <m:e>
            <m:r>
              <m:t>P</m:t>
            </m:r>
          </m:e>
          <m:sub>
            <m:r>
              <m:t>r</m:t>
            </m:r>
          </m:sub>
        </m:sSub>
      </m:oMath>
      <w:r>
        <w:t xml:space="preserve"> </w:t>
      </w:r>
      <w:r>
        <w:t xml:space="preserve">is the Lasting Special Places score for region</w:t>
      </w:r>
      <w:r>
        <w:t xml:space="preserve"> </w:t>
      </w:r>
      <m:oMath>
        <m:r>
          <m:t>r</m:t>
        </m:r>
      </m:oMath>
    </w:p>
    <w:p>
      <w:pPr>
        <w:numPr>
          <w:ilvl w:val="0"/>
          <w:numId w:val="1016"/>
        </w:numPr>
        <w:pStyle w:val="Compact"/>
      </w:pPr>
      <w:r>
        <w:t xml:space="preserve">Each category condition is the protection condition assigned to that category’s special places in the region</w:t>
      </w:r>
    </w:p>
    <w:p>
      <w:pPr>
        <w:numPr>
          <w:ilvl w:val="0"/>
          <w:numId w:val="1016"/>
        </w:numPr>
        <w:pStyle w:val="Compact"/>
      </w:pPr>
      <w:r>
        <w:t xml:space="preserve">The region score is the unweighted arithmetic mean across the LSP categories that have features in that region</w:t>
      </w:r>
    </w:p>
    <w:p>
      <w:pPr>
        <w:pStyle w:val="FirstParagraph"/>
      </w:pPr>
      <w:r>
        <w:rPr>
          <w:bCs/>
          <w:b/>
        </w:rPr>
        <w:t xml:space="preserve">Assessment year:</w:t>
      </w:r>
      <w:r>
        <w:t xml:space="preserve"> </w:t>
      </w:r>
      <w:r>
        <w:t xml:space="preserve">2025 snapshot.</w:t>
      </w:r>
    </w:p>
    <w:p>
      <w:pPr>
        <w:pStyle w:val="BodyText"/>
      </w:pPr>
      <w:r>
        <w:t xml:space="preserve">The map below shows the</w:t>
      </w:r>
      <w:r>
        <w:t xml:space="preserve"> </w:t>
      </w:r>
      <w:r>
        <w:rPr>
          <w:bCs/>
          <w:b/>
        </w:rPr>
        <w:t xml:space="preserve">overall LSP current status for 2025</w:t>
      </w:r>
      <w:r>
        <w:t xml:space="preserve"> </w:t>
      </w:r>
      <w:r>
        <w:t xml:space="preserve">by OHI marine region (static export from LSP prep visualization on Mazu). Colors run from lower scores (warmer colors) to higher scores (cooler colors) on a fixed 0 to 100 scale. White regions have no combined score, and are NA.</w:t>
      </w:r>
    </w:p>
    <w:p>
      <w:pPr>
        <w:pStyle w:val="CaptionedFigure"/>
      </w:pPr>
      <w:r>
        <w:drawing>
          <wp:inline>
            <wp:extent cx="4800600" cy="4800600"/>
            <wp:effectExtent b="0" l="0" r="0" t="0"/>
            <wp:docPr descr="Figure 8. Overall Lasting Special Places (LSP) current status by OHI marine region for the 2025 assessment snapshot. LSP is the mean condition of expert-identified special places once each place has been scored from management and legal protections. Colors run from lower scores (warmer) to higher scores (cooler) on a fixed 0 to 100 scale. White means that region has no combined LSP score for this year." title="" id="68" name="Picture"/>
            <a:graphic>
              <a:graphicData uri="http://schemas.openxmlformats.org/drawingml/2006/picture">
                <pic:pic>
                  <pic:nvPicPr>
                    <pic:cNvPr descr="../images/sp_lsp_figs/lsp_overall_2025.png" id="69" name="Picture"/>
                    <pic:cNvPicPr>
                      <a:picLocks noChangeArrowheads="1" noChangeAspect="1"/>
                    </pic:cNvPicPr>
                  </pic:nvPicPr>
                  <pic:blipFill>
                    <a:blip r:embed="rId67"/>
                    <a:stretch>
                      <a:fillRect/>
                    </a:stretch>
                  </pic:blipFill>
                  <pic:spPr bwMode="auto">
                    <a:xfrm>
                      <a:off x="0" y="0"/>
                      <a:ext cx="4800600" cy="4800600"/>
                    </a:xfrm>
                    <a:prstGeom prst="rect">
                      <a:avLst/>
                    </a:prstGeom>
                    <a:noFill/>
                    <a:ln w="9525">
                      <a:noFill/>
                      <a:headEnd/>
                      <a:tailEnd/>
                    </a:ln>
                  </pic:spPr>
                </pic:pic>
              </a:graphicData>
            </a:graphic>
          </wp:inline>
        </w:drawing>
      </w:r>
    </w:p>
    <w:p>
      <w:pPr>
        <w:pStyle w:val="ImageCaption"/>
      </w:pPr>
      <w:r>
        <w:t xml:space="preserve">Figure 8. Overall Lasting Special Places (LSP) current status by OHI marine region for the 2025 assessment snapshot. LSP is the mean condition of expert-identified special places once each place has been scored from management and legal protections. Colors run from lower scores (warmer) to higher scores (cooler) on a fixed 0 to 100 scale. White means that region has no combined LSP score for this year.</w:t>
      </w:r>
    </w:p>
    <w:bookmarkEnd w:id="70"/>
    <w:bookmarkStart w:id="77" w:name="spreadsheets-for-expert-review"/>
    <w:p>
      <w:pPr>
        <w:pStyle w:val="Heading2"/>
      </w:pPr>
      <w:r>
        <w:t xml:space="preserve">6.2 Spreadsheets for expert review</w:t>
      </w:r>
    </w:p>
    <w:p>
      <w:pPr>
        <w:pStyle w:val="FirstParagraph"/>
      </w:pPr>
      <w:r>
        <w:t xml:space="preserve">Rather than embedding long inventories as dropdowns here, please use these Google Sheets (same workbook; open the tab named in the link):</w:t>
      </w:r>
    </w:p>
    <w:p>
      <w:pPr>
        <w:numPr>
          <w:ilvl w:val="0"/>
          <w:numId w:val="1017"/>
        </w:numPr>
        <w:pStyle w:val="Compact"/>
      </w:pPr>
      <w:hyperlink r:id="rId71">
        <w:r>
          <w:rPr>
            <w:rStyle w:val="Hyperlink"/>
          </w:rPr>
          <w:t xml:space="preserve">LSPs identified by the Expert Working Group</w:t>
        </w:r>
      </w:hyperlink>
    </w:p>
    <w:p>
      <w:pPr>
        <w:numPr>
          <w:ilvl w:val="0"/>
          <w:numId w:val="1017"/>
        </w:numPr>
        <w:pStyle w:val="Compact"/>
      </w:pPr>
      <w:hyperlink r:id="rId72">
        <w:r>
          <w:rPr>
            <w:rStyle w:val="Hyperlink"/>
          </w:rPr>
          <w:t xml:space="preserve">SIMEC i-efectividad scores and links to the reports</w:t>
        </w:r>
      </w:hyperlink>
    </w:p>
    <w:p>
      <w:pPr>
        <w:numPr>
          <w:ilvl w:val="0"/>
          <w:numId w:val="1017"/>
        </w:numPr>
        <w:pStyle w:val="Compact"/>
      </w:pPr>
      <w:hyperlink r:id="rId73">
        <w:r>
          <w:rPr>
            <w:rStyle w:val="Hyperlink"/>
          </w:rPr>
          <w:t xml:space="preserve">INAH archaeological sites</w:t>
        </w:r>
      </w:hyperlink>
    </w:p>
    <w:p>
      <w:pPr>
        <w:numPr>
          <w:ilvl w:val="0"/>
          <w:numId w:val="1017"/>
        </w:numPr>
        <w:pStyle w:val="Compact"/>
      </w:pPr>
      <w:hyperlink r:id="rId74">
        <w:r>
          <w:rPr>
            <w:rStyle w:val="Hyperlink"/>
          </w:rPr>
          <w:t xml:space="preserve">Ramsar management plan presence</w:t>
        </w:r>
      </w:hyperlink>
    </w:p>
    <w:p>
      <w:pPr>
        <w:numPr>
          <w:ilvl w:val="0"/>
          <w:numId w:val="1017"/>
        </w:numPr>
        <w:pStyle w:val="Compact"/>
      </w:pPr>
      <w:hyperlink r:id="rId75">
        <w:r>
          <w:rPr>
            <w:rStyle w:val="Hyperlink"/>
          </w:rPr>
          <w:t xml:space="preserve">LSP codified protection scores for expert review</w:t>
        </w:r>
      </w:hyperlink>
    </w:p>
    <w:p>
      <w:pPr>
        <w:numPr>
          <w:ilvl w:val="0"/>
          <w:numId w:val="1017"/>
        </w:numPr>
        <w:pStyle w:val="Compact"/>
      </w:pPr>
      <w:hyperlink r:id="rId76">
        <w:r>
          <w:rPr>
            <w:rStyle w:val="Hyperlink"/>
          </w:rPr>
          <w:t xml:space="preserve">LSP current status scores for each region to review</w:t>
        </w:r>
      </w:hyperlink>
    </w:p>
    <w:bookmarkEnd w:id="77"/>
    <w:bookmarkStart w:id="138" w:name="condition-approach-by-lsp-category"/>
    <w:p>
      <w:pPr>
        <w:pStyle w:val="Heading2"/>
      </w:pPr>
      <w:r>
        <w:t xml:space="preserve">6.3 Condition approach by LSP category</w:t>
      </w:r>
    </w:p>
    <w:p>
      <w:pPr>
        <w:pStyle w:val="FirstParagraph"/>
      </w:pPr>
      <w:r>
        <w:t xml:space="preserve">Within each category, we check for the strongest applicable protection first, then move to weaker or more general protections if needed. For each category below we show:</w:t>
      </w:r>
    </w:p>
    <w:p>
      <w:pPr>
        <w:numPr>
          <w:ilvl w:val="0"/>
          <w:numId w:val="1018"/>
        </w:numPr>
        <w:pStyle w:val="Compact"/>
      </w:pPr>
      <w:r>
        <w:rPr>
          <w:bCs/>
          <w:b/>
        </w:rPr>
        <w:t xml:space="preserve">Method map(s).</w:t>
      </w:r>
      <w:r>
        <w:t xml:space="preserve"> </w:t>
      </w:r>
      <w:r>
        <w:t xml:space="preserve">A method map is a figure that walks through an example of how that LSP type is scored. It shows the places, protections, or condition layers we used so you can see the method in space, not only as a list of rules.</w:t>
      </w:r>
    </w:p>
    <w:p>
      <w:pPr>
        <w:numPr>
          <w:ilvl w:val="0"/>
          <w:numId w:val="1018"/>
        </w:numPr>
        <w:pStyle w:val="Compact"/>
      </w:pPr>
      <w:r>
        <w:rPr>
          <w:bCs/>
          <w:b/>
        </w:rPr>
        <w:t xml:space="preserve">Regional category score</w:t>
      </w:r>
      <w:r>
        <w:t xml:space="preserve"> </w:t>
      </w:r>
      <w:r>
        <w:t xml:space="preserve">on the same 0 to 100 scale (white means no score for that category in the region)</w:t>
      </w:r>
    </w:p>
    <w:p>
      <w:pPr>
        <w:pStyle w:val="FirstParagraph"/>
      </w:pPr>
      <w:r>
        <w:t xml:space="preserve">A multi-panel of all category scores is also at the end of this section.</w:t>
      </w:r>
    </w:p>
    <w:bookmarkStart w:id="85" w:name="special-protected-areas"/>
    <w:p>
      <w:pPr>
        <w:pStyle w:val="Heading3"/>
      </w:pPr>
      <w:r>
        <w:t xml:space="preserve">6.3.1 Special Protected Areas</w:t>
      </w:r>
    </w:p>
    <w:p>
      <w:pPr>
        <w:pStyle w:val="FirstParagraph"/>
      </w:pPr>
      <w:r>
        <w:t xml:space="preserve">These are CONANP and Ramsar areas that experts indicated as special because they are very important ecologically, culturally, or aesthetically. They are</w:t>
      </w:r>
      <w:r>
        <w:t xml:space="preserve"> </w:t>
      </w:r>
      <w:r>
        <w:rPr>
          <w:bCs/>
          <w:b/>
        </w:rPr>
        <w:t xml:space="preserve">not</w:t>
      </w:r>
      <w:r>
        <w:t xml:space="preserve"> </w:t>
      </w:r>
      <w:r>
        <w:t xml:space="preserve">the full set of every protected area boundary in the Gulf. Experts selected places that matter as lasting special places for communities and nature, rather than areas that may exist on paper mainly from political design processes without that place-based meaning.</w:t>
      </w:r>
    </w:p>
    <w:p>
      <w:pPr>
        <w:pStyle w:val="BodyText"/>
      </w:pPr>
      <w:r>
        <w:rPr>
          <w:bCs/>
          <w:b/>
        </w:rPr>
        <w:t xml:space="preserve">What is SIMEC i-efectividad?</w:t>
      </w:r>
      <w:r>
        <w:t xml:space="preserve"> </w:t>
      </w:r>
      <w:r>
        <w:t xml:space="preserve">CONANP reports management effectiveness through</w:t>
      </w:r>
      <w:r>
        <w:t xml:space="preserve"> </w:t>
      </w:r>
      <w:r>
        <w:rPr>
          <w:bCs/>
          <w:b/>
        </w:rPr>
        <w:t xml:space="preserve">SIMEC</w:t>
      </w:r>
      <w:r>
        <w:t xml:space="preserve"> </w:t>
      </w:r>
      <w:r>
        <w:t xml:space="preserve">(</w:t>
      </w:r>
      <w:r>
        <w:rPr>
          <w:iCs/>
          <w:i/>
        </w:rPr>
        <w:t xml:space="preserve">Sistema de Información, Monitoreo y Evaluación para la Conservación</w:t>
      </w:r>
      <w:r>
        <w:t xml:space="preserve">). The</w:t>
      </w:r>
      <w:r>
        <w:t xml:space="preserve"> </w:t>
      </w:r>
      <w:r>
        <w:rPr>
          <w:bCs/>
          <w:b/>
        </w:rPr>
        <w:t xml:space="preserve">i-efectividad</w:t>
      </w:r>
      <w:r>
        <w:t xml:space="preserve"> </w:t>
      </w:r>
      <w:r>
        <w:t xml:space="preserve">score summarizes how well a natural protected area is managed toward its conservation goals. It is not simply an</w:t>
      </w:r>
      <w:r>
        <w:t xml:space="preserve"> </w:t>
      </w:r>
      <w:r>
        <w:t xml:space="preserve">“</w:t>
      </w:r>
      <w:r>
        <w:t xml:space="preserve">is the special place located within a protected area?</w:t>
      </w:r>
      <w:r>
        <w:t xml:space="preserve">”</w:t>
      </w:r>
      <w:r>
        <w:t xml:space="preserve"> </w:t>
      </w:r>
      <w:r>
        <w:t xml:space="preserve">indicator. Effective management depends on suitable design, governance, staffing and budgets, day-to-day processes, and whether outcomes match site objectives. CONANP’s reporting sits in the broader international tradition of protected-area management effectiveness evaluation (for example frameworks used by the IUCN World Commission on Protected Areas). Details of the current method are in CONANP’s</w:t>
      </w:r>
      <w:r>
        <w:t xml:space="preserve"> </w:t>
      </w:r>
      <w:hyperlink r:id="rId78">
        <w:r>
          <w:rPr>
            <w:rStyle w:val="Hyperlink"/>
          </w:rPr>
          <w:t xml:space="preserve">2025 technical document for i-efectividad</w:t>
        </w:r>
      </w:hyperlink>
      <w:r>
        <w:t xml:space="preserve">. We use reported i-efectividad values as the preferred condition when an expert-listed site has them, because higher management effectiveness is a stronger claim that the place will remain protected for future generations.</w:t>
      </w:r>
    </w:p>
    <w:p>
      <w:pPr>
        <w:pStyle w:val="BodyText"/>
      </w:pPr>
      <w:r>
        <w:rPr>
          <w:bCs/>
          <w:b/>
        </w:rPr>
        <w:t xml:space="preserve">Ramsar</w:t>
      </w:r>
      <w:r>
        <w:t xml:space="preserve"> </w:t>
      </w:r>
      <w:r>
        <w:t xml:space="preserve">sites are wetlands of international importance under the Ramsar Convention. When a Ramsar site does not have a usable SIMEC score, we score management-plan status instead: a completed plan is treated as stronger, a plan in progress receives a mid-level score, and no plan is treated as weaker.</w:t>
      </w:r>
    </w:p>
    <w:p>
      <w:pPr>
        <w:numPr>
          <w:ilvl w:val="0"/>
          <w:numId w:val="1019"/>
        </w:numPr>
        <w:pStyle w:val="Compact"/>
      </w:pPr>
      <w:r>
        <w:t xml:space="preserve">Prefer SIMEC i-efectividad (management effectiveness among CONANP reporting areas) when available.</w:t>
      </w:r>
    </w:p>
    <w:p>
      <w:pPr>
        <w:numPr>
          <w:ilvl w:val="0"/>
          <w:numId w:val="1019"/>
        </w:numPr>
        <w:pStyle w:val="Compact"/>
      </w:pPr>
      <w:r>
        <w:t xml:space="preserve">For Ramsar sites, also account for management plan presence:</w:t>
      </w:r>
    </w:p>
    <w:p>
      <w:pPr>
        <w:numPr>
          <w:ilvl w:val="1"/>
          <w:numId w:val="1020"/>
        </w:numPr>
        <w:pStyle w:val="Compact"/>
      </w:pPr>
      <w:r>
        <w:t xml:space="preserve">Plan exists: use the maximum i-efectividad value used for this comparison</w:t>
      </w:r>
    </w:p>
    <w:p>
      <w:pPr>
        <w:numPr>
          <w:ilvl w:val="1"/>
          <w:numId w:val="1020"/>
        </w:numPr>
        <w:pStyle w:val="Compact"/>
      </w:pPr>
      <w:r>
        <w:t xml:space="preserve">Plan in progress: score = 60</w:t>
      </w:r>
    </w:p>
    <w:p>
      <w:pPr>
        <w:numPr>
          <w:ilvl w:val="1"/>
          <w:numId w:val="1020"/>
        </w:numPr>
        <w:pStyle w:val="Compact"/>
      </w:pPr>
      <w:r>
        <w:t xml:space="preserve">No plan: use the minimum i-efectividad value used for this comparison</w:t>
      </w:r>
    </w:p>
    <w:p>
      <w:pPr>
        <w:pStyle w:val="FirstParagraph"/>
      </w:pPr>
      <w:r>
        <w:t xml:space="preserve">The method map fills each expert-listed special protected area by its overall condition. Grey outlines show the broader protected area network for context.</w:t>
      </w:r>
    </w:p>
    <w:p>
      <w:pPr>
        <w:pStyle w:val="CaptionedFigure"/>
      </w:pPr>
      <w:r>
        <w:drawing>
          <wp:inline>
            <wp:extent cx="4533900" cy="4533900"/>
            <wp:effectExtent b="0" l="0" r="0" t="0"/>
            <wp:docPr descr="Figure 9. Method map for special protected areas within Lasting Special Places. Experts listed CONANP natural protected areas and Ramsar wetland sites that they consider ecologically special. Each filled polygon is colored by the condition score we assign that site. Preference goes to CONANP SIMEC i-efectividad when available: SIMEC is CONANP’s Sistema de Informacion, Monitoreo y Evaluacion para la Conservacion, and i-efectividad is its management-effectiveness score. In plain terms, it asks how well a protected area is being managed to achieve its conservation goals, not simply whether the special place is located within a protected area. For Ramsar sites without a parallel SIMEC score we use management-plan presence (plan exists, plan in progress scoring 60, or no plan). Grey outlines show the broader Gulf protected-area network for spatial context, including areas that are protected but were not listed as special by the Expert Working Group." title="" id="80" name="Picture"/>
            <a:graphic>
              <a:graphicData uri="http://schemas.openxmlformats.org/drawingml/2006/picture">
                <pic:pic>
                  <pic:nvPicPr>
                    <pic:cNvPr descr="../images/sp_lsp_figs/process_special_protected_areas.png" id="81" name="Picture"/>
                    <pic:cNvPicPr>
                      <a:picLocks noChangeArrowheads="1" noChangeAspect="1"/>
                    </pic:cNvPicPr>
                  </pic:nvPicPr>
                  <pic:blipFill>
                    <a:blip r:embed="rId79"/>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Figure 9. Method map for special protected areas within Lasting Special Places. Experts listed CONANP natural protected areas and Ramsar wetland sites that they consider ecologically special. Each filled polygon is colored by the condition score we assign that site. Preference goes to CONANP SIMEC i-efectividad when available: SIMEC is CONANP’s Sistema de Informacion, Monitoreo y Evaluacion para la Conservacion, and i-efectividad is its management-effectiveness score. In plain terms, it asks how well a protected area is being managed to achieve its conservation goals, not simply whether the special place is located within a protected area. For Ramsar sites without a parallel SIMEC score we use management-plan presence (plan exists, plan in progress scoring 60, or no plan). Grey outlines show the broader Gulf protected-area network for spatial context, including areas that are protected but were not listed as special by the Expert Working Group.</w:t>
      </w:r>
    </w:p>
    <w:p>
      <w:pPr>
        <w:pStyle w:val="CaptionedFigure"/>
      </w:pPr>
      <w:r>
        <w:drawing>
          <wp:inline>
            <wp:extent cx="4000500" cy="4000499"/>
            <wp:effectExtent b="0" l="0" r="0" t="0"/>
            <wp:docPr descr="Figure 10. Regional scores for the special protected areas category. Within each OHI region we average the condition scores of the expert-listed special protected areas and Ramsar sites that fall in that region after the SIMEC i-efectividad and Ramsar plan rules in Figure 9. Scores sit on a 0 to 100 scale. White or missing means no scored special protected area contributes in that region for this assessment." title="" id="83" name="Picture"/>
            <a:graphic>
              <a:graphicData uri="http://schemas.openxmlformats.org/drawingml/2006/picture">
                <pic:pic>
                  <pic:nvPicPr>
                    <pic:cNvPr descr="../images/sp_lsp_figs/lsp_special_protected_areas.png" id="84" name="Picture"/>
                    <pic:cNvPicPr>
                      <a:picLocks noChangeArrowheads="1" noChangeAspect="1"/>
                    </pic:cNvPicPr>
                  </pic:nvPicPr>
                  <pic:blipFill>
                    <a:blip r:embed="rId82"/>
                    <a:stretch>
                      <a:fillRect/>
                    </a:stretch>
                  </pic:blipFill>
                  <pic:spPr bwMode="auto">
                    <a:xfrm>
                      <a:off x="0" y="0"/>
                      <a:ext cx="4000500" cy="4000499"/>
                    </a:xfrm>
                    <a:prstGeom prst="rect">
                      <a:avLst/>
                    </a:prstGeom>
                    <a:noFill/>
                    <a:ln w="9525">
                      <a:noFill/>
                      <a:headEnd/>
                      <a:tailEnd/>
                    </a:ln>
                  </pic:spPr>
                </pic:pic>
              </a:graphicData>
            </a:graphic>
          </wp:inline>
        </w:drawing>
      </w:r>
    </w:p>
    <w:p>
      <w:pPr>
        <w:pStyle w:val="ImageCaption"/>
      </w:pPr>
      <w:r>
        <w:t xml:space="preserve">Figure 10. Regional scores for the special protected areas category. Within each OHI region we average the condition scores of the expert-listed special protected areas and Ramsar sites that fall in that region after the SIMEC i-efectividad and Ramsar plan rules in Figure 9. Scores sit on a 0 to 100 scale. White or missing means no scored special protected area contributes in that region for this assessment.</w:t>
      </w:r>
    </w:p>
    <w:p>
      <w:pPr>
        <w:pStyle w:val="BodyText"/>
      </w:pPr>
      <w:r>
        <w:rPr>
          <w:bCs/>
          <w:b/>
        </w:rPr>
        <w:t xml:space="preserve">Data sources</w:t>
      </w:r>
    </w:p>
    <w:p>
      <w:pPr>
        <w:numPr>
          <w:ilvl w:val="0"/>
          <w:numId w:val="1021"/>
        </w:numPr>
        <w:pStyle w:val="Compact"/>
      </w:pPr>
      <w:r>
        <w:t xml:space="preserve">Expert Working Group special protected area list (</w:t>
      </w:r>
      <w:hyperlink r:id="rId71">
        <w:r>
          <w:rPr>
            <w:rStyle w:val="Hyperlink"/>
          </w:rPr>
          <w:t xml:space="preserve">workbook tab</w:t>
        </w:r>
      </w:hyperlink>
      <w:r>
        <w:t xml:space="preserve">)</w:t>
      </w:r>
    </w:p>
    <w:p>
      <w:pPr>
        <w:numPr>
          <w:ilvl w:val="0"/>
          <w:numId w:val="1021"/>
        </w:numPr>
        <w:pStyle w:val="Compact"/>
      </w:pPr>
      <w:r>
        <w:t xml:space="preserve">CONANP SIMEC i-efectividad (</w:t>
      </w:r>
      <w:hyperlink r:id="rId72">
        <w:r>
          <w:rPr>
            <w:rStyle w:val="Hyperlink"/>
          </w:rPr>
          <w:t xml:space="preserve">scores and report links</w:t>
        </w:r>
      </w:hyperlink>
      <w:r>
        <w:t xml:space="preserve">;</w:t>
      </w:r>
      <w:r>
        <w:t xml:space="preserve"> </w:t>
      </w:r>
      <w:hyperlink r:id="rId78">
        <w:r>
          <w:rPr>
            <w:rStyle w:val="Hyperlink"/>
          </w:rPr>
          <w:t xml:space="preserve">2025 technical document</w:t>
        </w:r>
      </w:hyperlink>
      <w:r>
        <w:t xml:space="preserve">)</w:t>
      </w:r>
    </w:p>
    <w:p>
      <w:pPr>
        <w:numPr>
          <w:ilvl w:val="0"/>
          <w:numId w:val="1021"/>
        </w:numPr>
        <w:pStyle w:val="Compact"/>
      </w:pPr>
      <w:r>
        <w:t xml:space="preserve">Ramsar management plan presence (</w:t>
      </w:r>
      <w:hyperlink r:id="rId74">
        <w:r>
          <w:rPr>
            <w:rStyle w:val="Hyperlink"/>
          </w:rPr>
          <w:t xml:space="preserve">tab</w:t>
        </w:r>
      </w:hyperlink>
      <w:r>
        <w:t xml:space="preserve">)</w:t>
      </w:r>
    </w:p>
    <w:p>
      <w:pPr>
        <w:numPr>
          <w:ilvl w:val="0"/>
          <w:numId w:val="1021"/>
        </w:numPr>
        <w:pStyle w:val="Compact"/>
      </w:pPr>
      <w:r>
        <w:t xml:space="preserve">Combined protected area polygons: WDPA (January 2025), CONANP ANP layers, and HEM ANP compilation</w:t>
      </w:r>
    </w:p>
    <w:bookmarkEnd w:id="85"/>
    <w:bookmarkStart w:id="97" w:name="priority-dive-sites"/>
    <w:p>
      <w:pPr>
        <w:pStyle w:val="Heading3"/>
      </w:pPr>
      <w:r>
        <w:t xml:space="preserve">6.3.2 Priority Dive Sites</w:t>
      </w:r>
    </w:p>
    <w:p>
      <w:pPr>
        <w:pStyle w:val="FirstParagraph"/>
      </w:pPr>
      <w:r>
        <w:t xml:space="preserve">These are dive spots from the Arcos-Aguilar et al. (2021) dive-site inventory and the CBMC GCMP prioritization of diving sites that would benefit most from formal protected-area management.</w:t>
      </w:r>
    </w:p>
    <w:p>
      <w:pPr>
        <w:pStyle w:val="BodyText"/>
      </w:pPr>
      <w:r>
        <w:rPr>
          <w:bCs/>
          <w:b/>
        </w:rPr>
        <w:t xml:space="preserve">How Arcos-Aguilar et al. (2021) assembled and characterized dive sites.</w:t>
      </w:r>
      <w:r>
        <w:t xml:space="preserve"> </w:t>
      </w:r>
      <w:hyperlink r:id="rId86">
        <w:r>
          <w:rPr>
            <w:rStyle w:val="Hyperlink"/>
          </w:rPr>
          <w:t xml:space="preserve">Arcos-Aguilar et al. (2021)</w:t>
        </w:r>
      </w:hyperlink>
      <w:r>
        <w:t xml:space="preserve"> </w:t>
      </w:r>
      <w:r>
        <w:t xml:space="preserve">built the most comprehensive national inventory of recreational dive sites in Mexico to document the economic importance of diving tourism and its dependence on healthy marine habitats. Their method:</w:t>
      </w:r>
    </w:p>
    <w:p>
      <w:pPr>
        <w:numPr>
          <w:ilvl w:val="0"/>
          <w:numId w:val="1022"/>
        </w:numPr>
        <w:pStyle w:val="Compact"/>
      </w:pPr>
      <w:r>
        <w:rPr>
          <w:bCs/>
          <w:b/>
        </w:rPr>
        <w:t xml:space="preserve">Web inventory of sites.</w:t>
      </w:r>
      <w:r>
        <w:t xml:space="preserve"> </w:t>
      </w:r>
      <w:r>
        <w:t xml:space="preserve">From January to March 2018 they searched Google in English and Spanish (</w:t>
      </w:r>
      <w:r>
        <w:rPr>
          <w:rStyle w:val="VerbatimChar"/>
        </w:rPr>
        <w:t xml:space="preserve">Diving</w:t>
      </w:r>
      <w:r>
        <w:t xml:space="preserve"> </w:t>
      </w:r>
      <w:r>
        <w:t xml:space="preserve">/</w:t>
      </w:r>
      <w:r>
        <w:t xml:space="preserve"> </w:t>
      </w:r>
      <w:r>
        <w:rPr>
          <w:rStyle w:val="VerbatimChar"/>
        </w:rPr>
        <w:t xml:space="preserve">Dive sites</w:t>
      </w:r>
      <w:r>
        <w:t xml:space="preserve"> </w:t>
      </w:r>
      <w:r>
        <w:t xml:space="preserve">/</w:t>
      </w:r>
      <w:r>
        <w:t xml:space="preserve"> </w:t>
      </w:r>
      <w:r>
        <w:rPr>
          <w:rStyle w:val="VerbatimChar"/>
        </w:rPr>
        <w:t xml:space="preserve">Buceo</w:t>
      </w:r>
      <w:r>
        <w:t xml:space="preserve"> </w:t>
      </w:r>
      <w:r>
        <w:t xml:space="preserve">/</w:t>
      </w:r>
      <w:r>
        <w:t xml:space="preserve"> </w:t>
      </w:r>
      <w:r>
        <w:rPr>
          <w:rStyle w:val="VerbatimChar"/>
        </w:rPr>
        <w:t xml:space="preserve">Sitios de buceo</w:t>
      </w:r>
      <w:r>
        <w:t xml:space="preserve"> </w:t>
      </w:r>
      <w:r>
        <w:t xml:space="preserve">+ Mexico, then each coastal state). They retained results from tourism and diving-operator websites, dive magazines, peer-reviewed papers, and gray literature.</w:t>
      </w:r>
    </w:p>
    <w:p>
      <w:pPr>
        <w:numPr>
          <w:ilvl w:val="0"/>
          <w:numId w:val="1022"/>
        </w:numPr>
        <w:pStyle w:val="Compact"/>
      </w:pPr>
      <w:r>
        <w:rPr>
          <w:bCs/>
          <w:b/>
        </w:rPr>
        <w:t xml:space="preserve">Popularity proxy.</w:t>
      </w:r>
      <w:r>
        <w:t xml:space="preserve"> </w:t>
      </w:r>
      <w:r>
        <w:t xml:space="preserve">Each time a place reappeared in search results was tallied as a</w:t>
      </w:r>
      <w:r>
        <w:t xml:space="preserve"> </w:t>
      </w:r>
      <w:r>
        <w:t xml:space="preserve">“</w:t>
      </w:r>
      <w:r>
        <w:t xml:space="preserve">frequency of appearance,</w:t>
      </w:r>
      <w:r>
        <w:t xml:space="preserve">”</w:t>
      </w:r>
      <w:r>
        <w:t xml:space="preserve"> </w:t>
      </w:r>
      <w:r>
        <w:t xml:space="preserve">used later as a simple popularity signal (more web mentions ≈ more widely advertised/known).</w:t>
      </w:r>
    </w:p>
    <w:p>
      <w:pPr>
        <w:numPr>
          <w:ilvl w:val="0"/>
          <w:numId w:val="1022"/>
        </w:numPr>
        <w:pStyle w:val="Compact"/>
      </w:pPr>
      <w:r>
        <w:rPr>
          <w:bCs/>
          <w:b/>
        </w:rPr>
        <w:t xml:space="preserve">Operators and economics.</w:t>
      </w:r>
      <w:r>
        <w:t xml:space="preserve"> </w:t>
      </w:r>
      <w:r>
        <w:t xml:space="preserve">They also assembled and field-checked active diving operators and surveyed a subset about clients, prices, and costs, showing that national diving revenues are on the same order of magnitude as Mexico’s artisanal and industrial fisheries together.</w:t>
      </w:r>
    </w:p>
    <w:p>
      <w:pPr>
        <w:numPr>
          <w:ilvl w:val="0"/>
          <w:numId w:val="1022"/>
        </w:numPr>
        <w:pStyle w:val="Compact"/>
      </w:pPr>
      <w:r>
        <w:rPr>
          <w:bCs/>
          <w:b/>
        </w:rPr>
        <w:t xml:space="preserve">Protection status overlay.</w:t>
      </w:r>
      <w:r>
        <w:t xml:space="preserve"> </w:t>
      </w:r>
      <w:r>
        <w:t xml:space="preserve">Site coordinates were overlaid on CONANP marine protected-area polygons and no-take sub-zones. Of the inventory, roughly half the sites sat inside some form of natural protected area, a small minority fell inside no-take zones, and a large share (</w:t>
      </w:r>
      <w:r>
        <w:rPr>
          <w:bCs/>
          <w:b/>
        </w:rPr>
        <w:t xml:space="preserve">about 42%</w:t>
      </w:r>
      <w:r>
        <w:t xml:space="preserve">) still lacked any protection designation.</w:t>
      </w:r>
    </w:p>
    <w:p>
      <w:pPr>
        <w:pStyle w:val="FirstParagraph"/>
      </w:pPr>
      <w:r>
        <w:t xml:space="preserve">The paper’s policy message is that many tourism-visible dive places remain outside strong protection even though diving depends on intact reefs and wildlife, and that higher encounter quality (especially in no-take settings) is linked to the experience visitors pay for.</w:t>
      </w:r>
    </w:p>
    <w:p>
      <w:pPr>
        <w:pStyle w:val="BodyText"/>
      </w:pPr>
      <w:r>
        <w:rPr>
          <w:bCs/>
          <w:b/>
        </w:rPr>
        <w:t xml:space="preserve">What</w:t>
      </w:r>
      <w:r>
        <w:rPr>
          <w:bCs/>
          <w:b/>
        </w:rPr>
        <w:t xml:space="preserve"> </w:t>
      </w:r>
      <w:r>
        <w:rPr>
          <w:bCs/>
          <w:b/>
        </w:rPr>
        <w:t xml:space="preserve">“</w:t>
      </w:r>
      <w:r>
        <w:rPr>
          <w:bCs/>
          <w:b/>
        </w:rPr>
        <w:t xml:space="preserve">priority dive sites</w:t>
      </w:r>
      <w:r>
        <w:rPr>
          <w:bCs/>
          <w:b/>
        </w:rPr>
        <w:t xml:space="preserve">”</w:t>
      </w:r>
      <w:r>
        <w:rPr>
          <w:bCs/>
          <w:b/>
        </w:rPr>
        <w:t xml:space="preserve"> </w:t>
      </w:r>
      <w:r>
        <w:rPr>
          <w:bCs/>
          <w:b/>
        </w:rPr>
        <w:t xml:space="preserve">mean in this Index.</w:t>
      </w:r>
      <w:r>
        <w:t xml:space="preserve"> </w:t>
      </w:r>
      <w:r>
        <w:t xml:space="preserve">We do</w:t>
      </w:r>
      <w:r>
        <w:t xml:space="preserve"> </w:t>
      </w:r>
      <w:r>
        <w:rPr>
          <w:bCs/>
          <w:b/>
        </w:rPr>
        <w:t xml:space="preserve">not</w:t>
      </w:r>
      <w:r>
        <w:t xml:space="preserve"> </w:t>
      </w:r>
      <w:r>
        <w:t xml:space="preserve">score every site from the full national inventory. Instead, we restrict sites to the</w:t>
      </w:r>
      <w:r>
        <w:t xml:space="preserve"> </w:t>
      </w:r>
      <w:r>
        <w:rPr>
          <w:bCs/>
          <w:b/>
        </w:rPr>
        <w:t xml:space="preserve">CBMC GCMP prioritization of diving sites</w:t>
      </w:r>
      <w:r>
        <w:t xml:space="preserve"> </w:t>
      </w:r>
      <w:r>
        <w:t xml:space="preserve">table that is an Arcos/GCMP data product: a curated subset of sites with coordinates and priority fields that flags diving locations of particular conservation and tourism importance. That priority subset is what we call</w:t>
      </w:r>
      <w:r>
        <w:t xml:space="preserve"> </w:t>
      </w:r>
      <w:r>
        <w:rPr>
          <w:bCs/>
          <w:b/>
        </w:rPr>
        <w:t xml:space="preserve">priority dive sites</w:t>
      </w:r>
      <w:r>
        <w:t xml:space="preserve"> </w:t>
      </w:r>
      <w:r>
        <w:t xml:space="preserve">here.</w:t>
      </w:r>
    </w:p>
    <w:p>
      <w:pPr>
        <w:pStyle w:val="BodyText"/>
      </w:pPr>
      <w:r>
        <w:rPr>
          <w:bCs/>
          <w:b/>
        </w:rPr>
        <w:t xml:space="preserve">Why we use that subset as lasting special places.</w:t>
      </w:r>
      <w:r>
        <w:t xml:space="preserve"> </w:t>
      </w:r>
      <w:r>
        <w:t xml:space="preserve">Arcos-Aguilar et al. showed that a large share of marketed dive sites still lie outside protected areas, while wildlife encounters that define the dive experience are more likely in managed or no-take waters. We therefore treat the priority list as places that</w:t>
      </w:r>
      <w:r>
        <w:t xml:space="preserve"> </w:t>
      </w:r>
      <w:r>
        <w:rPr>
          <w:bCs/>
          <w:b/>
        </w:rPr>
        <w:t xml:space="preserve">have been isolated as sites that would benefit from lying within a protected area</w:t>
      </w:r>
      <w:r>
        <w:t xml:space="preserve">. For Sense of Place, the</w:t>
      </w:r>
      <w:r>
        <w:t xml:space="preserve"> </w:t>
      </w:r>
      <w:r>
        <w:rPr>
          <w:bCs/>
          <w:b/>
        </w:rPr>
        <w:t xml:space="preserve">ideal reference condition</w:t>
      </w:r>
      <w:r>
        <w:t xml:space="preserve"> </w:t>
      </w:r>
      <w:r>
        <w:t xml:space="preserve">is that</w:t>
      </w:r>
      <w:r>
        <w:t xml:space="preserve"> </w:t>
      </w:r>
      <w:r>
        <w:rPr>
          <w:bCs/>
          <w:b/>
        </w:rPr>
        <w:t xml:space="preserve">all priority dive sites</w:t>
      </w:r>
      <w:r>
        <w:t xml:space="preserve"> </w:t>
      </w:r>
      <w:r>
        <w:t xml:space="preserve">sit inside managed protected areas or equivalent protections (so communities and visitors can still experience the place that made the trip meaningful). Scoring follows that ideal: inside CONANP/Ramsar areas we use SIMEC i-efectividad (and Ramsar plan rules when they apply); outside, only a weaker minimum under national tourism law remains, so unprotected priority sites pull the score down relative to a fully protected network.</w:t>
      </w:r>
    </w:p>
    <w:p>
      <w:pPr>
        <w:pStyle w:val="BodyText"/>
      </w:pPr>
      <w:r>
        <w:rPr>
          <w:bCs/>
          <w:b/>
        </w:rPr>
        <w:t xml:space="preserve">Why protected dive sites score higher (Scoring rules).</w:t>
      </w:r>
      <w:r>
        <w:t xml:space="preserve"> </w:t>
      </w:r>
      <w:r>
        <w:t xml:space="preserve">Priority dive places are lasting special places because people travel specifically to experience them. Protection helps keep the wildlife, reefs, and underwater features that make the trip meaningful, supports dive-based livelihoods when sites stay high quality, and reduces cumulative damage from use and extractive pressure. Managed protected areas and no-take areas increase the chance that the site remains the place communities and visitors valued. Outside of protected areas, there is still the national dive-tourism law (NOM-012-TUR-2016), but that residual duty of care is intentionally weaker than well-managed protection, because it is not the same as active protected area management for a special place. Therefore:</w:t>
      </w:r>
    </w:p>
    <w:p>
      <w:pPr>
        <w:numPr>
          <w:ilvl w:val="0"/>
          <w:numId w:val="1023"/>
        </w:numPr>
        <w:pStyle w:val="Compact"/>
      </w:pPr>
      <w:r>
        <w:t xml:space="preserve">If the dive site falls in a CONANP and/or Ramsar protected area, use SIMEC and Ramsar plan condition for that area.</w:t>
      </w:r>
    </w:p>
    <w:p>
      <w:pPr>
        <w:numPr>
          <w:ilvl w:val="0"/>
          <w:numId w:val="1023"/>
        </w:numPr>
        <w:pStyle w:val="Compact"/>
      </w:pPr>
      <w:r>
        <w:t xml:space="preserve">If it falls in both, take the maximum of the two condition scores.</w:t>
      </w:r>
    </w:p>
    <w:p>
      <w:pPr>
        <w:numPr>
          <w:ilvl w:val="0"/>
          <w:numId w:val="1023"/>
        </w:numPr>
        <w:pStyle w:val="Compact"/>
      </w:pPr>
      <w:r>
        <w:t xml:space="preserve">If it is outside protected areas, use a non-zero floor from NOM-012-TUR-2016 §6.11 (legal dive tourism rules that apply inside and outside protected natural areas). We determined the score by using the minimum observed SIMEC i-efectividad condition among dive sites that do have a protected-area score (currently</w:t>
      </w:r>
      <w:r>
        <w:t xml:space="preserve"> </w:t>
      </w:r>
      <w:r>
        <w:rPr>
          <w:bCs/>
          <w:b/>
        </w:rPr>
        <w:t xml:space="preserve">58</w:t>
      </w:r>
      <w:r>
        <w:t xml:space="preserve">).</w:t>
      </w:r>
    </w:p>
    <w:p>
      <w:pPr>
        <w:pStyle w:val="FirstParagraph"/>
      </w:pPr>
      <w:r>
        <w:t xml:space="preserve">Gulf-wide dive sites by overall condition, then Espíritu Santo zoom (inside protected area vs outside with tourism-rule floor), then regional scores.</w:t>
      </w:r>
    </w:p>
    <w:p>
      <w:pPr>
        <w:pStyle w:val="CaptionedFigure"/>
      </w:pPr>
      <w:r>
        <w:drawing>
          <wp:inline>
            <wp:extent cx="4533900" cy="4533900"/>
            <wp:effectExtent b="0" l="0" r="0" t="0"/>
            <wp:docPr descr="Figure 11. Method map of priority dive sites colored by the overall condition we use in scoring. Dive locations come from published priority analyses (Arcos-Aguilar et al. 2021 and GCMP layers). If a site sits inside a CONANP or Ramsar protected area, its condition is the SIMEC i-efectividad and/or Ramsar management-plan score for that area (the higher of the two when both apply). If a site sits outside protected areas, it still receives a non-zero baseline condition under Mexico’s dive-tourism standard NOM-012-TUR-2016 section 6.11, which sets operating rules for dive tourism both inside and outside natural protected areas. In prep, we set that baseline to the minimum SIMEC i-efectividad condition observed among dive sites that do have a protected-area score (currently 58)." title="" id="88" name="Picture"/>
            <a:graphic>
              <a:graphicData uri="http://schemas.openxmlformats.org/drawingml/2006/picture">
                <pic:pic>
                  <pic:nvPicPr>
                    <pic:cNvPr descr="../images/sp_lsp_figs/process_priority_dive_sites_condition.png" id="89" name="Picture"/>
                    <pic:cNvPicPr>
                      <a:picLocks noChangeArrowheads="1" noChangeAspect="1"/>
                    </pic:cNvPicPr>
                  </pic:nvPicPr>
                  <pic:blipFill>
                    <a:blip r:embed="rId87"/>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Figure 11. Method map of priority dive sites colored by the overall condition we use in scoring. Dive locations come from published priority analyses (Arcos-Aguilar et al. 2021 and GCMP layers). If a site sits inside a CONANP or Ramsar protected area, its condition is the SIMEC i-efectividad and/or Ramsar management-plan score for that area (the higher of the two when both apply). If a site sits outside protected areas, it still receives a non-zero baseline condition under Mexico’s dive-tourism standard NOM-012-TUR-2016 section 6.11, which sets operating rules for dive tourism both inside and outside natural protected areas. In prep, we set that baseline to the minimum SIMEC i-efectividad condition observed among dive sites that do have a protected-area score (currently 58).</w:t>
      </w:r>
    </w:p>
    <w:p>
      <w:pPr>
        <w:pStyle w:val="CaptionedFigure"/>
      </w:pPr>
      <w:r>
        <w:drawing>
          <wp:inline>
            <wp:extent cx="4533900" cy="4533900"/>
            <wp:effectExtent b="0" l="0" r="0" t="0"/>
            <wp:docPr descr="Figure 12. Zoomed method map around Parque Nacional Espíritu Santo to show the inside-versus-outside protected area logic for dive sites more clearly. Sites inside a protected area inherit the SIMEC i-efectividad management condition. Nearby priority sites outside the boundary use the NOM-012-TUR statute-based minimum condition (currently 58) rather than dropping to zero. This illustrates that dive tourism outside a protected area is not treated as no protection, but also not as fully equivalent to being located within a well-managed protected area." title="" id="91" name="Picture"/>
            <a:graphic>
              <a:graphicData uri="http://schemas.openxmlformats.org/drawingml/2006/picture">
                <pic:pic>
                  <pic:nvPicPr>
                    <pic:cNvPr descr="../images/sp_lsp_figs/process_priority_dive_sites.png" id="92" name="Picture"/>
                    <pic:cNvPicPr>
                      <a:picLocks noChangeArrowheads="1" noChangeAspect="1"/>
                    </pic:cNvPicPr>
                  </pic:nvPicPr>
                  <pic:blipFill>
                    <a:blip r:embed="rId90"/>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Figure 12. Zoomed method map around Parque Nacional Espíritu Santo to show the inside-versus-outside protected area logic for dive sites more clearly. Sites inside a protected area inherit the SIMEC i-efectividad management condition. Nearby priority sites outside the boundary use the NOM-012-TUR statute-based minimum condition (currently 58) rather than dropping to zero. This illustrates that dive tourism outside a protected area is not treated as no protection, but also not as fully equivalent to being located within a well-managed protected area.</w:t>
      </w:r>
    </w:p>
    <w:p>
      <w:pPr>
        <w:pStyle w:val="CaptionedFigure"/>
      </w:pPr>
      <w:r>
        <w:drawing>
          <wp:inline>
            <wp:extent cx="4000500" cy="4000499"/>
            <wp:effectExtent b="0" l="0" r="0" t="0"/>
            <wp:docPr descr="Figure 13. Regional priority dive site scores. Each region averages condition across its priority dive sites after the protected-area and statute-based rules in Figures 11 and 12. Higher scores mean the set of priority dive places in that region is, on average, better covered by managed protected areas (SIMEC i-efectividad) or at least by the national dive-tourism legal baseline." title="" id="94" name="Picture"/>
            <a:graphic>
              <a:graphicData uri="http://schemas.openxmlformats.org/drawingml/2006/picture">
                <pic:pic>
                  <pic:nvPicPr>
                    <pic:cNvPr descr="../images/sp_lsp_figs/lsp_priority_dive_sites.png" id="95" name="Picture"/>
                    <pic:cNvPicPr>
                      <a:picLocks noChangeArrowheads="1" noChangeAspect="1"/>
                    </pic:cNvPicPr>
                  </pic:nvPicPr>
                  <pic:blipFill>
                    <a:blip r:embed="rId93"/>
                    <a:stretch>
                      <a:fillRect/>
                    </a:stretch>
                  </pic:blipFill>
                  <pic:spPr bwMode="auto">
                    <a:xfrm>
                      <a:off x="0" y="0"/>
                      <a:ext cx="4000500" cy="4000499"/>
                    </a:xfrm>
                    <a:prstGeom prst="rect">
                      <a:avLst/>
                    </a:prstGeom>
                    <a:noFill/>
                    <a:ln w="9525">
                      <a:noFill/>
                      <a:headEnd/>
                      <a:tailEnd/>
                    </a:ln>
                  </pic:spPr>
                </pic:pic>
              </a:graphicData>
            </a:graphic>
          </wp:inline>
        </w:drawing>
      </w:r>
    </w:p>
    <w:p>
      <w:pPr>
        <w:pStyle w:val="ImageCaption"/>
      </w:pPr>
      <w:r>
        <w:t xml:space="preserve">Figure 13. Regional priority dive site scores. Each region averages condition across its priority dive sites after the protected-area and statute-based rules in Figures 11 and 12. Higher scores mean the set of priority dive places in that region is, on average, better covered by managed protected areas (SIMEC i-efectividad) or at least by the national dive-tourism legal baseline.</w:t>
      </w:r>
    </w:p>
    <w:p>
      <w:pPr>
        <w:pStyle w:val="BodyText"/>
      </w:pPr>
      <w:r>
        <w:rPr>
          <w:bCs/>
          <w:b/>
        </w:rPr>
        <w:t xml:space="preserve">Data sources</w:t>
      </w:r>
    </w:p>
    <w:p>
      <w:pPr>
        <w:numPr>
          <w:ilvl w:val="0"/>
          <w:numId w:val="1024"/>
        </w:numPr>
        <w:pStyle w:val="Compact"/>
      </w:pPr>
      <w:r>
        <w:t xml:space="preserve">Arcos-Aguilar, R., F. Favoretto, J.A. Kumagai, V. Jiménez-Esquivel, A.L. Martínez-Cruz, and O. Aburto-Oropeza. 2021. Diving tourism in Mexico – Economic and conservation importance.</w:t>
      </w:r>
      <w:r>
        <w:t xml:space="preserve"> </w:t>
      </w:r>
      <w:r>
        <w:rPr>
          <w:iCs/>
          <w:i/>
        </w:rPr>
        <w:t xml:space="preserve">Marine Policy</w:t>
      </w:r>
      <w:r>
        <w:t xml:space="preserve"> </w:t>
      </w:r>
      <w:r>
        <w:t xml:space="preserve">126: 104410.</w:t>
      </w:r>
      <w:r>
        <w:t xml:space="preserve"> </w:t>
      </w:r>
      <w:hyperlink r:id="rId86">
        <w:r>
          <w:rPr>
            <w:rStyle w:val="Hyperlink"/>
          </w:rPr>
          <w:t xml:space="preserve">https://doi.org/10.1016/j.marpol.2021.104410</w:t>
        </w:r>
      </w:hyperlink>
    </w:p>
    <w:p>
      <w:pPr>
        <w:numPr>
          <w:ilvl w:val="0"/>
          <w:numId w:val="1024"/>
        </w:numPr>
        <w:pStyle w:val="Compact"/>
      </w:pPr>
      <w:r>
        <w:t xml:space="preserve">CBMC GCMP dive site layers and prioritization of diving sites table (coordinates and priority fields used in prep)</w:t>
      </w:r>
    </w:p>
    <w:p>
      <w:pPr>
        <w:numPr>
          <w:ilvl w:val="0"/>
          <w:numId w:val="1024"/>
        </w:numPr>
        <w:pStyle w:val="Compact"/>
      </w:pPr>
      <w:r>
        <w:t xml:space="preserve">Combined protected areas (WDPA, CONANP, HEM) as above</w:t>
      </w:r>
    </w:p>
    <w:p>
      <w:pPr>
        <w:numPr>
          <w:ilvl w:val="0"/>
          <w:numId w:val="1024"/>
        </w:numPr>
        <w:pStyle w:val="Compact"/>
      </w:pPr>
      <w:r>
        <w:t xml:space="preserve">CONANP SIMEC i-efectividad and Ramsar management plan presence</w:t>
      </w:r>
    </w:p>
    <w:p>
      <w:pPr>
        <w:numPr>
          <w:ilvl w:val="0"/>
          <w:numId w:val="1024"/>
        </w:numPr>
        <w:pStyle w:val="Compact"/>
      </w:pPr>
      <w:hyperlink r:id="rId96">
        <w:r>
          <w:rPr>
            <w:rStyle w:val="Hyperlink"/>
          </w:rPr>
          <w:t xml:space="preserve">NOM-012-TUR-2016</w:t>
        </w:r>
      </w:hyperlink>
      <w:r>
        <w:t xml:space="preserve"> </w:t>
      </w:r>
      <w:r>
        <w:t xml:space="preserve">§6.11 (dive tourism rules inside and outside protected natural areas)</w:t>
      </w:r>
    </w:p>
    <w:bookmarkEnd w:id="97"/>
    <w:bookmarkStart w:id="106" w:name="iconic-fishing-spots"/>
    <w:p>
      <w:pPr>
        <w:pStyle w:val="Heading3"/>
      </w:pPr>
      <w:r>
        <w:t xml:space="preserve">6.3.3 Iconic Fishing Spots</w:t>
      </w:r>
    </w:p>
    <w:p>
      <w:pPr>
        <w:pStyle w:val="FirstParagraph"/>
      </w:pPr>
      <w:r>
        <w:t xml:space="preserve">These are historically important fishing coordinates indicated by experts.</w:t>
      </w:r>
    </w:p>
    <w:p>
      <w:pPr>
        <w:pStyle w:val="BodyText"/>
      </w:pPr>
      <w:r>
        <w:rPr>
          <w:bCs/>
          <w:b/>
        </w:rPr>
        <w:t xml:space="preserve">What is a ZRP?</w:t>
      </w:r>
      <w:r>
        <w:t xml:space="preserve"> </w:t>
      </w:r>
      <w:r>
        <w:t xml:space="preserve">In Mexico, a</w:t>
      </w:r>
      <w:r>
        <w:t xml:space="preserve"> </w:t>
      </w:r>
      <w:r>
        <w:rPr>
          <w:bCs/>
          <w:b/>
        </w:rPr>
        <w:t xml:space="preserve">ZRP</w:t>
      </w:r>
      <w:r>
        <w:t xml:space="preserve"> </w:t>
      </w:r>
      <w:r>
        <w:t xml:space="preserve">is a</w:t>
      </w:r>
      <w:r>
        <w:t xml:space="preserve"> </w:t>
      </w:r>
      <w:r>
        <w:rPr>
          <w:iCs/>
          <w:i/>
        </w:rPr>
        <w:t xml:space="preserve">zona de refugio pesquero</w:t>
      </w:r>
      <w:r>
        <w:t xml:space="preserve"> </w:t>
      </w:r>
      <w:r>
        <w:t xml:space="preserve">(fishing refuge zone): a designated marine or coastal area where fishing is partly or fully restricted. The intent is to protect marine life, allow depleted fish stocks to recover, and support sustainable seafood livelihoods for local communities. In this model, an iconic fishing place that falls inside a mapped ZRP receives a condition of 100.</w:t>
      </w:r>
    </w:p>
    <w:p>
      <w:pPr>
        <w:pStyle w:val="BodyText"/>
      </w:pPr>
      <w:r>
        <w:rPr>
          <w:bCs/>
          <w:b/>
        </w:rPr>
        <w:t xml:space="preserve">What is a TURF?</w:t>
      </w:r>
      <w:r>
        <w:t xml:space="preserve"> </w:t>
      </w:r>
      <w:r>
        <w:t xml:space="preserve">A</w:t>
      </w:r>
      <w:r>
        <w:t xml:space="preserve"> </w:t>
      </w:r>
      <w:r>
        <w:rPr>
          <w:bCs/>
          <w:b/>
        </w:rPr>
        <w:t xml:space="preserve">TURF</w:t>
      </w:r>
      <w:r>
        <w:t xml:space="preserve"> </w:t>
      </w:r>
      <w:r>
        <w:t xml:space="preserve">is a territorial use right in fisheries: fishing rights allocated to a defined cooperative or community territory. We treat confirmed TURF sites as strongly protected for this place-based cultural use (also score 100). Nationwide TURF polygons are not easily available as a single public layer for batch processing, so TURF matches are based on expert review and published maps (Aceves-Bueno et al. 2023 and the associated mapping tools).</w:t>
      </w:r>
    </w:p>
    <w:p>
      <w:pPr>
        <w:numPr>
          <w:ilvl w:val="0"/>
          <w:numId w:val="1025"/>
        </w:numPr>
        <w:pStyle w:val="Compact"/>
      </w:pPr>
      <w:r>
        <w:t xml:space="preserve">If the site is in a zona de refugio pesquero (fishing refuge): score = 100.</w:t>
      </w:r>
    </w:p>
    <w:p>
      <w:pPr>
        <w:numPr>
          <w:ilvl w:val="0"/>
          <w:numId w:val="1025"/>
        </w:numPr>
        <w:pStyle w:val="Compact"/>
      </w:pPr>
      <w:r>
        <w:t xml:space="preserve">Else if the site is in a cooperative fishing territory (TURF): score = 100 (confirmed visually with Aceves-Bueno et al. 2023; national TURF polygons are not easily downloadable for batch use).</w:t>
      </w:r>
    </w:p>
    <w:p>
      <w:pPr>
        <w:numPr>
          <w:ilvl w:val="0"/>
          <w:numId w:val="1025"/>
        </w:numPr>
        <w:pStyle w:val="Compact"/>
      </w:pPr>
      <w:r>
        <w:t xml:space="preserve">Else use SIMEC and Ramsar plan scores if the site overlaps a relevant protected area.</w:t>
      </w:r>
    </w:p>
    <w:p>
      <w:pPr>
        <w:pStyle w:val="FirstParagraph"/>
      </w:pPr>
      <w:r>
        <w:t xml:space="preserve">Method map:</w:t>
      </w:r>
      <w:r>
        <w:t xml:space="preserve"> </w:t>
      </w:r>
      <w:r>
        <w:rPr>
          <w:bCs/>
          <w:b/>
        </w:rPr>
        <w:t xml:space="preserve">ZRP</w:t>
      </w:r>
      <w:r>
        <w:t xml:space="preserve"> </w:t>
      </w:r>
      <w:r>
        <w:t xml:space="preserve">vs</w:t>
      </w:r>
      <w:r>
        <w:t xml:space="preserve"> </w:t>
      </w:r>
      <w:r>
        <w:rPr>
          <w:bCs/>
          <w:b/>
        </w:rPr>
        <w:t xml:space="preserve">TURF</w:t>
      </w:r>
      <w:r>
        <w:t xml:space="preserve"> </w:t>
      </w:r>
      <w:r>
        <w:t xml:space="preserve">vs</w:t>
      </w:r>
      <w:r>
        <w:t xml:space="preserve"> </w:t>
      </w:r>
      <w:r>
        <w:rPr>
          <w:bCs/>
          <w:b/>
        </w:rPr>
        <w:t xml:space="preserve">In PA</w:t>
      </w:r>
      <w:r>
        <w:t xml:space="preserve"> </w:t>
      </w:r>
      <w:r>
        <w:t xml:space="preserve">vs</w:t>
      </w:r>
      <w:r>
        <w:t xml:space="preserve"> </w:t>
      </w:r>
      <w:r>
        <w:rPr>
          <w:bCs/>
          <w:b/>
        </w:rPr>
        <w:t xml:space="preserve">Other</w:t>
      </w:r>
      <w:r>
        <w:t xml:space="preserve">. Then regional fishing scores.</w:t>
      </w:r>
    </w:p>
    <w:p>
      <w:pPr>
        <w:pStyle w:val="CaptionedFigure"/>
      </w:pPr>
      <w:r>
        <w:drawing>
          <wp:inline>
            <wp:extent cx="4533900" cy="4533900"/>
            <wp:effectExtent b="0" l="0" r="0" t="0"/>
            <wp:docPr descr="Figure 14. Method map of iconic fishing places labeled by the protection pathway that sets their score. Coordinates come from the Expert Working Group inventory of historically important fishing places. A ZRP (zona de refugio pesquero, or fishing refuge zone) is a designated Mexican marine or coastal area where fishing is partly or fully restricted to protect marine life, allow depleted stocks to recover, and support sustainable use by local fishers; sites inside a ZRP score 100. A TURF (territorial use right in fisheries) is a cooperative fishing territory where fishing rights are allocated to a defined community; sites confirmed as TURF also score 100 (based on Aceves-Bueno et al. 2023 review, since nationwide TURF polygons are not easily downloaded for batch processing). Other sites inside relevant protected areas use SIMEC i-efectividad or Ramsar plan scores. Remaining sites fall in the Other class under this hierarchy." title="" id="99" name="Picture"/>
            <a:graphic>
              <a:graphicData uri="http://schemas.openxmlformats.org/drawingml/2006/picture">
                <pic:pic>
                  <pic:nvPicPr>
                    <pic:cNvPr descr="../images/sp_lsp_figs/process_iconic_fishing_gulf.png" id="100" name="Picture"/>
                    <pic:cNvPicPr>
                      <a:picLocks noChangeArrowheads="1" noChangeAspect="1"/>
                    </pic:cNvPicPr>
                  </pic:nvPicPr>
                  <pic:blipFill>
                    <a:blip r:embed="rId98"/>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Figure 14. Method map of iconic fishing places labeled by the protection pathway that sets their score. Coordinates come from the Expert Working Group inventory of historically important fishing places. A ZRP (zona de refugio pesquero, or fishing refuge zone) is a designated Mexican marine or coastal area where fishing is partly or fully restricted to protect marine life, allow depleted stocks to recover, and support sustainable use by local fishers; sites inside a ZRP score 100. A TURF (territorial use right in fisheries) is a cooperative fishing territory where fishing rights are allocated to a defined community; sites confirmed as TURF also score 100 (based on Aceves-Bueno et al. 2023 review, since nationwide TURF polygons are not easily downloaded for batch processing). Other sites inside relevant protected areas use SIMEC i-efectividad or Ramsar plan scores. Remaining sites fall in the Other class under this hierarchy.</w:t>
      </w:r>
    </w:p>
    <w:p>
      <w:pPr>
        <w:pStyle w:val="CaptionedFigure"/>
      </w:pPr>
      <w:r>
        <w:drawing>
          <wp:inline>
            <wp:extent cx="4000500" cy="4000499"/>
            <wp:effectExtent b="0" l="0" r="0" t="0"/>
            <wp:docPr descr="Figure 15. Regional iconic fishing scores after applying the ZRP, TURF, and protected-area rules. Higher regional scores mean expert-listed fishing places in that region sit, on average, inside stronger fishery or protected area protections." title="" id="102" name="Picture"/>
            <a:graphic>
              <a:graphicData uri="http://schemas.openxmlformats.org/drawingml/2006/picture">
                <pic:pic>
                  <pic:nvPicPr>
                    <pic:cNvPr descr="../images/sp_lsp_figs/lsp_iconic_fishing_spots.png" id="103" name="Picture"/>
                    <pic:cNvPicPr>
                      <a:picLocks noChangeArrowheads="1" noChangeAspect="1"/>
                    </pic:cNvPicPr>
                  </pic:nvPicPr>
                  <pic:blipFill>
                    <a:blip r:embed="rId101"/>
                    <a:stretch>
                      <a:fillRect/>
                    </a:stretch>
                  </pic:blipFill>
                  <pic:spPr bwMode="auto">
                    <a:xfrm>
                      <a:off x="0" y="0"/>
                      <a:ext cx="4000500" cy="4000499"/>
                    </a:xfrm>
                    <a:prstGeom prst="rect">
                      <a:avLst/>
                    </a:prstGeom>
                    <a:noFill/>
                    <a:ln w="9525">
                      <a:noFill/>
                      <a:headEnd/>
                      <a:tailEnd/>
                    </a:ln>
                  </pic:spPr>
                </pic:pic>
              </a:graphicData>
            </a:graphic>
          </wp:inline>
        </w:drawing>
      </w:r>
    </w:p>
    <w:p>
      <w:pPr>
        <w:pStyle w:val="ImageCaption"/>
      </w:pPr>
      <w:r>
        <w:t xml:space="preserve">Figure 15. Regional iconic fishing scores after applying the ZRP, TURF, and protected-area rules. Higher regional scores mean expert-listed fishing places in that region sit, on average, inside stronger fishery or protected area protections.</w:t>
      </w:r>
    </w:p>
    <w:p>
      <w:pPr>
        <w:pStyle w:val="BodyText"/>
      </w:pPr>
      <w:r>
        <w:rPr>
          <w:bCs/>
          <w:b/>
        </w:rPr>
        <w:t xml:space="preserve">Data sources</w:t>
      </w:r>
    </w:p>
    <w:p>
      <w:pPr>
        <w:numPr>
          <w:ilvl w:val="0"/>
          <w:numId w:val="1026"/>
        </w:numPr>
        <w:pStyle w:val="Compact"/>
      </w:pPr>
      <w:r>
        <w:t xml:space="preserve">Expert Working Group fishing area inventory</w:t>
      </w:r>
    </w:p>
    <w:p>
      <w:pPr>
        <w:numPr>
          <w:ilvl w:val="0"/>
          <w:numId w:val="1026"/>
        </w:numPr>
        <w:pStyle w:val="Compact"/>
      </w:pPr>
      <w:r>
        <w:t xml:space="preserve">TNC geoportal fishing refuge (ZRP) polygons</w:t>
      </w:r>
    </w:p>
    <w:p>
      <w:pPr>
        <w:numPr>
          <w:ilvl w:val="0"/>
          <w:numId w:val="1026"/>
        </w:numPr>
        <w:pStyle w:val="Compact"/>
      </w:pPr>
      <w:r>
        <w:t xml:space="preserve">Aceves-Bueno et al. 2023,</w:t>
      </w:r>
      <w:r>
        <w:t xml:space="preserve"> </w:t>
      </w:r>
      <w:r>
        <w:rPr>
          <w:iCs/>
          <w:i/>
        </w:rPr>
        <w:t xml:space="preserve">Sustaining small-scale fisheries through a nation-wide Territorial Use Rights in Fisheries system</w:t>
      </w:r>
      <w:r>
        <w:t xml:space="preserve"> </w:t>
      </w:r>
      <w:r>
        <w:t xml:space="preserve">(</w:t>
      </w:r>
      <w:hyperlink r:id="rId104">
        <w:r>
          <w:rPr>
            <w:rStyle w:val="Hyperlink"/>
          </w:rPr>
          <w:t xml:space="preserve">PLOS ONE</w:t>
        </w:r>
      </w:hyperlink>
      <w:r>
        <w:t xml:space="preserve">); TURF locations reviewed in that paper and associated</w:t>
      </w:r>
      <w:r>
        <w:t xml:space="preserve"> </w:t>
      </w:r>
      <w:hyperlink r:id="rId105">
        <w:r>
          <w:rPr>
            <w:rStyle w:val="Hyperlink"/>
          </w:rPr>
          <w:t xml:space="preserve">Shiny map</w:t>
        </w:r>
      </w:hyperlink>
    </w:p>
    <w:p>
      <w:pPr>
        <w:numPr>
          <w:ilvl w:val="0"/>
          <w:numId w:val="1026"/>
        </w:numPr>
        <w:pStyle w:val="Compact"/>
      </w:pPr>
      <w:r>
        <w:t xml:space="preserve">SIMEC and Ramsar plan rules when fishing sites overlap protected areas</w:t>
      </w:r>
    </w:p>
    <w:bookmarkEnd w:id="106"/>
    <w:bookmarkStart w:id="117" w:name="archaeological-sites"/>
    <w:p>
      <w:pPr>
        <w:pStyle w:val="Heading3"/>
      </w:pPr>
      <w:r>
        <w:t xml:space="preserve">6.3.4 Archaeological Sites</w:t>
      </w:r>
    </w:p>
    <w:p>
      <w:pPr>
        <w:pStyle w:val="FirstParagraph"/>
      </w:pPr>
      <w:r>
        <w:t xml:space="preserve">These are places where remains make the surrounding natural area culturally and spiritually special (for example shell middens and other coastal archaeological landscapes).</w:t>
      </w:r>
    </w:p>
    <w:p>
      <w:pPr>
        <w:pStyle w:val="BodyText"/>
      </w:pPr>
      <w:r>
        <w:rPr>
          <w:bCs/>
          <w:b/>
        </w:rPr>
        <w:t xml:space="preserve">What is INAH, and why does it count as protection?</w:t>
      </w:r>
      <w:r>
        <w:t xml:space="preserve"> </w:t>
      </w:r>
      <w:r>
        <w:rPr>
          <w:bCs/>
          <w:b/>
        </w:rPr>
        <w:t xml:space="preserve">INAH</w:t>
      </w:r>
      <w:r>
        <w:t xml:space="preserve"> </w:t>
      </w:r>
      <w:r>
        <w:t xml:space="preserve">is Mexico’s</w:t>
      </w:r>
      <w:r>
        <w:t xml:space="preserve"> </w:t>
      </w:r>
      <w:r>
        <w:rPr>
          <w:iCs/>
          <w:i/>
        </w:rPr>
        <w:t xml:space="preserve">Instituto Nacional de Antropología e Historia</w:t>
      </w:r>
      <w:r>
        <w:t xml:space="preserve"> </w:t>
      </w:r>
      <w:r>
        <w:t xml:space="preserve">(National Institute of Anthropology and History), created in 1939 to conserve, study, and share the country’s archaeological, historical, and related heritage. INAH oversees archaeological zones open to the public, historical monuments, research, cataloging, and restoration nationwide. Public-facing entry points include the archaeological zones pages (</w:t>
      </w:r>
      <w:hyperlink r:id="rId107">
        <w:r>
          <w:rPr>
            <w:rStyle w:val="Hyperlink"/>
          </w:rPr>
          <w:t xml:space="preserve">https://www.inah.gob.mx/zonas-arqueologicas</w:t>
        </w:r>
      </w:hyperlink>
      <w:r>
        <w:t xml:space="preserve">) and the historical monuments coordination (</w:t>
      </w:r>
      <w:hyperlink r:id="rId108">
        <w:r>
          <w:rPr>
            <w:rStyle w:val="Hyperlink"/>
          </w:rPr>
          <w:t xml:space="preserve">https://monumentoshistoricos.inah.gob.mx/</w:t>
        </w:r>
      </w:hyperlink>
      <w:r>
        <w:t xml:space="preserve">). For Lasting Special Places, matching an Expert Working Group site to a nearby official INAH inventory point is treated as the strongest heritage-management pathway available in our hierarchy (score 100), because the site is linked to the national institution responsible for that form of protection and stewardship.</w:t>
      </w:r>
    </w:p>
    <w:p>
      <w:pPr>
        <w:numPr>
          <w:ilvl w:val="0"/>
          <w:numId w:val="1027"/>
        </w:numPr>
        <w:pStyle w:val="Compact"/>
      </w:pPr>
      <w:r>
        <w:t xml:space="preserve">If the site matches a nearby INAH inventory point (about 10 km): score = 100.</w:t>
      </w:r>
    </w:p>
    <w:p>
      <w:pPr>
        <w:numPr>
          <w:ilvl w:val="0"/>
          <w:numId w:val="1027"/>
        </w:numPr>
        <w:pStyle w:val="Compact"/>
      </w:pPr>
      <w:r>
        <w:t xml:space="preserve">Else if a nearby natural protected area applies (about 500 m) with a management score: use that score (including special cases such as the Hauxa Manaka pact site).</w:t>
      </w:r>
    </w:p>
    <w:p>
      <w:pPr>
        <w:numPr>
          <w:ilvl w:val="0"/>
          <w:numId w:val="1027"/>
        </w:numPr>
        <w:pStyle w:val="Compact"/>
      </w:pPr>
      <w:r>
        <w:t xml:space="preserve">Else partial legal cover only: score = 30 (</w:t>
      </w:r>
      <w:r>
        <w:rPr>
          <w:iCs/>
          <w:i/>
        </w:rPr>
        <w:t xml:space="preserve">Ley Federal sobre Monumentos y Zonas Arqueológicos, Artísticos e Históricos</w:t>
      </w:r>
      <w:r>
        <w:t xml:space="preserve">).</w:t>
      </w:r>
    </w:p>
    <w:p>
      <w:pPr>
        <w:pStyle w:val="FirstParagraph"/>
      </w:pPr>
      <w:r>
        <w:t xml:space="preserve">Method map: scored sites with</w:t>
      </w:r>
      <w:r>
        <w:t xml:space="preserve"> </w:t>
      </w:r>
      <w:r>
        <w:rPr>
          <w:bCs/>
          <w:b/>
        </w:rPr>
        <w:t xml:space="preserve">INAH</w:t>
      </w:r>
      <w:r>
        <w:t xml:space="preserve"> </w:t>
      </w:r>
      <w:r>
        <w:t xml:space="preserve">/</w:t>
      </w:r>
      <w:r>
        <w:t xml:space="preserve"> </w:t>
      </w:r>
      <w:r>
        <w:rPr>
          <w:bCs/>
          <w:b/>
        </w:rPr>
        <w:t xml:space="preserve">In PA</w:t>
      </w:r>
      <w:r>
        <w:t xml:space="preserve"> </w:t>
      </w:r>
      <w:r>
        <w:t xml:space="preserve">/</w:t>
      </w:r>
      <w:r>
        <w:t xml:space="preserve"> </w:t>
      </w:r>
      <w:r>
        <w:rPr>
          <w:bCs/>
          <w:b/>
        </w:rPr>
        <w:t xml:space="preserve">Legal only</w:t>
      </w:r>
      <w:r>
        <w:t xml:space="preserve"> </w:t>
      </w:r>
      <w:r>
        <w:t xml:space="preserve">rules. Then regional archaeology scores.</w:t>
      </w:r>
    </w:p>
    <w:p>
      <w:pPr>
        <w:pStyle w:val="CaptionedFigure"/>
      </w:pPr>
      <w:r>
        <w:drawing>
          <wp:inline>
            <wp:extent cx="4533900" cy="4533900"/>
            <wp:effectExtent b="0" l="0" r="0" t="0"/>
            <wp:docPr descr="Figure 16. Method map of archaeological and related cultural sites scored for Lasting Special Places. These are places where material remains make the surrounding coast culturally and spiritually special, such as shell middens. INAH is Mexico’s Instituto Nacional de Antropología e Historia (National Institute of Anthropology and History; see https://www.inah.gob.mx/zonas-arqueologicas and https://monumentoshistoricos.inah.gob.mx/). Created in 1939, INAH oversees conservation, research, and public access for archaeological zones, monuments, and related heritage nationwide. If an Expert Working Group site falls within about 10 km of an official INAH inventory point, we treat it as under that heritage-management system and score 100. If not, but the site is near or inside a natural protected area with a management effectiveness score, we use that SIMEC i-efectividad score. Otherwise we assign a lower statute-based minimum of 30, reflecting partial cover under the Federal Law on Archaeological, Artistic, and Historic Monuments and Zones even when a site is not formally managed as an open INAH zone." title="" id="110" name="Picture"/>
            <a:graphic>
              <a:graphicData uri="http://schemas.openxmlformats.org/drawingml/2006/picture">
                <pic:pic>
                  <pic:nvPicPr>
                    <pic:cNvPr descr="../images/sp_lsp_figs/process_archaeological_buffers.png" id="111" name="Picture"/>
                    <pic:cNvPicPr>
                      <a:picLocks noChangeArrowheads="1" noChangeAspect="1"/>
                    </pic:cNvPicPr>
                  </pic:nvPicPr>
                  <pic:blipFill>
                    <a:blip r:embed="rId109"/>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Figure 16. Method map of archaeological and related cultural sites scored for Lasting Special Places. These are places where material remains make the surrounding coast culturally and spiritually special, such as shell middens. INAH is Mexico’s Instituto Nacional de Antropología e Historia (National Institute of Anthropology and History; see https://www.inah.gob.mx/zonas-arqueologicas and https://monumentoshistoricos.inah.gob.mx/). Created in 1939, INAH oversees conservation, research, and public access for archaeological zones, monuments, and related heritage nationwide. If an Expert Working Group site falls within about 10 km of an official INAH inventory point, we treat it as under that heritage-management system and score 100. If not, but the site is near or inside a natural protected area with a management effectiveness score, we use that SIMEC i-efectividad score. Otherwise we assign a lower statute-based minimum of 30, reflecting partial cover under the Federal Law on Archaeological, Artistic, and Historic Monuments and Zones even when a site is not formally managed as an open INAH zone.</w:t>
      </w:r>
    </w:p>
    <w:p>
      <w:pPr>
        <w:pStyle w:val="CaptionedFigure"/>
      </w:pPr>
      <w:r>
        <w:drawing>
          <wp:inline>
            <wp:extent cx="4000500" cy="4000499"/>
            <wp:effectExtent b="0" l="0" r="0" t="0"/>
            <wp:docPr descr="Figure 17. Regional archaeological site scores after the INAH, protected-area, and statute-based hierarchy. Higher scores mean expert-listed heritage places in that region are more often matched to formal INAH inventory or to managed protected area protection (SIMEC i-efectividad) rather than the residual statute-based minimum alone." title="" id="113" name="Picture"/>
            <a:graphic>
              <a:graphicData uri="http://schemas.openxmlformats.org/drawingml/2006/picture">
                <pic:pic>
                  <pic:nvPicPr>
                    <pic:cNvPr descr="../images/sp_lsp_figs/lsp_archaeological_sites.png" id="114" name="Picture"/>
                    <pic:cNvPicPr>
                      <a:picLocks noChangeArrowheads="1" noChangeAspect="1"/>
                    </pic:cNvPicPr>
                  </pic:nvPicPr>
                  <pic:blipFill>
                    <a:blip r:embed="rId112"/>
                    <a:stretch>
                      <a:fillRect/>
                    </a:stretch>
                  </pic:blipFill>
                  <pic:spPr bwMode="auto">
                    <a:xfrm>
                      <a:off x="0" y="0"/>
                      <a:ext cx="4000500" cy="4000499"/>
                    </a:xfrm>
                    <a:prstGeom prst="rect">
                      <a:avLst/>
                    </a:prstGeom>
                    <a:noFill/>
                    <a:ln w="9525">
                      <a:noFill/>
                      <a:headEnd/>
                      <a:tailEnd/>
                    </a:ln>
                  </pic:spPr>
                </pic:pic>
              </a:graphicData>
            </a:graphic>
          </wp:inline>
        </w:drawing>
      </w:r>
    </w:p>
    <w:p>
      <w:pPr>
        <w:pStyle w:val="ImageCaption"/>
      </w:pPr>
      <w:r>
        <w:t xml:space="preserve">Figure 17. Regional archaeological site scores after the INAH, protected-area, and statute-based hierarchy. Higher scores mean expert-listed heritage places in that region are more often matched to formal INAH inventory or to managed protected area protection (SIMEC i-efectividad) rather than the residual statute-based minimum alone.</w:t>
      </w:r>
    </w:p>
    <w:p>
      <w:pPr>
        <w:pStyle w:val="BodyText"/>
      </w:pPr>
      <w:r>
        <w:rPr>
          <w:bCs/>
          <w:b/>
        </w:rPr>
        <w:t xml:space="preserve">Data sources</w:t>
      </w:r>
    </w:p>
    <w:p>
      <w:pPr>
        <w:numPr>
          <w:ilvl w:val="0"/>
          <w:numId w:val="1028"/>
        </w:numPr>
        <w:pStyle w:val="Compact"/>
      </w:pPr>
      <w:r>
        <w:t xml:space="preserve">Expert Working Group archaeological and coastal cultural sites</w:t>
      </w:r>
    </w:p>
    <w:p>
      <w:pPr>
        <w:numPr>
          <w:ilvl w:val="0"/>
          <w:numId w:val="1028"/>
        </w:numPr>
        <w:pStyle w:val="Compact"/>
      </w:pPr>
      <w:hyperlink r:id="rId73">
        <w:r>
          <w:rPr>
            <w:rStyle w:val="Hyperlink"/>
          </w:rPr>
          <w:t xml:space="preserve">INAH archaeological sites table</w:t>
        </w:r>
      </w:hyperlink>
    </w:p>
    <w:p>
      <w:pPr>
        <w:numPr>
          <w:ilvl w:val="0"/>
          <w:numId w:val="1028"/>
        </w:numPr>
        <w:pStyle w:val="Compact"/>
      </w:pPr>
      <w:r>
        <w:rPr>
          <w:iCs/>
          <w:i/>
        </w:rPr>
        <w:t xml:space="preserve">Ley Federal sobre Monumentos y Zonas Arqueológicos, Artísticos e Históricos</w:t>
      </w:r>
      <w:r>
        <w:t xml:space="preserve"> </w:t>
      </w:r>
      <w:r>
        <w:t xml:space="preserve">(1972)</w:t>
      </w:r>
    </w:p>
    <w:p>
      <w:pPr>
        <w:numPr>
          <w:ilvl w:val="0"/>
          <w:numId w:val="1028"/>
        </w:numPr>
        <w:pStyle w:val="Compact"/>
      </w:pPr>
      <w:r>
        <w:t xml:space="preserve">Protected area scores for sites inside ANPs (SIMEC and prep tables)</w:t>
      </w:r>
    </w:p>
    <w:p>
      <w:pPr>
        <w:numPr>
          <w:ilvl w:val="0"/>
          <w:numId w:val="1028"/>
        </w:numPr>
        <w:pStyle w:val="Compact"/>
      </w:pPr>
      <w:r>
        <w:t xml:space="preserve">Regional archaeology context for the Upper Gulf (e.g. </w:t>
      </w:r>
      <w:hyperlink r:id="rId115">
        <w:r>
          <w:rPr>
            <w:rStyle w:val="Hyperlink"/>
          </w:rPr>
          <w:t xml:space="preserve">Prehistoric Adaptation, Identity, and Interaction Along the Northern Gulf of California</w:t>
        </w:r>
      </w:hyperlink>
      <w:r>
        <w:t xml:space="preserve">;</w:t>
      </w:r>
      <w:r>
        <w:t xml:space="preserve"> </w:t>
      </w:r>
      <w:hyperlink r:id="rId116">
        <w:r>
          <w:rPr>
            <w:rStyle w:val="Hyperlink"/>
          </w:rPr>
          <w:t xml:space="preserve">open chapter figure on Manifold / University of Arizona Press</w:t>
        </w:r>
      </w:hyperlink>
      <w:r>
        <w:t xml:space="preserve">)</w:t>
      </w:r>
    </w:p>
    <w:bookmarkEnd w:id="117"/>
    <w:bookmarkStart w:id="127" w:name="special-habitats"/>
    <w:p>
      <w:pPr>
        <w:pStyle w:val="Heading3"/>
      </w:pPr>
      <w:r>
        <w:t xml:space="preserve">6.3.5 Special Habitats</w:t>
      </w:r>
    </w:p>
    <w:p>
      <w:pPr>
        <w:pStyle w:val="FirstParagraph"/>
      </w:pPr>
      <w:r>
        <w:t xml:space="preserve">These include seagrasses, mangroves, coquina reefs, and coral reefs (coral limited to expert-named Region 4 reefs).</w:t>
      </w:r>
    </w:p>
    <w:p>
      <w:pPr>
        <w:numPr>
          <w:ilvl w:val="0"/>
          <w:numId w:val="1029"/>
        </w:numPr>
        <w:pStyle w:val="Compact"/>
      </w:pPr>
      <w:r>
        <w:t xml:space="preserve">Prefer SIMEC and Ramsar plan scores when the habitat polygon touches a managed protected area after a 100 m buffer.</w:t>
      </w:r>
    </w:p>
    <w:p>
      <w:pPr>
        <w:numPr>
          <w:ilvl w:val="0"/>
          <w:numId w:val="1029"/>
        </w:numPr>
        <w:pStyle w:val="Compact"/>
      </w:pPr>
      <w:r>
        <w:t xml:space="preserve">Else use a statute-based minimum by habitat type (about 70 for mangrove, seagrass, and coral; 30 for coquina when there is no dedicated coquina statute). These scores are chosen to reflect how well the codified regulations are protecting the special habitat, comparatively. We will require expert input on this.</w:t>
      </w:r>
    </w:p>
    <w:p>
      <w:pPr>
        <w:numPr>
          <w:ilvl w:val="0"/>
          <w:numId w:val="1029"/>
        </w:numPr>
        <w:pStyle w:val="Compact"/>
      </w:pPr>
      <w:r>
        <w:t xml:space="preserve">Take the better of the protected area score (SIMEC i-efectividad or Ramsar plan rules) and that statute-based minimum.</w:t>
      </w:r>
    </w:p>
    <w:p>
      <w:pPr>
        <w:pStyle w:val="FirstParagraph"/>
      </w:pPr>
      <w:r>
        <w:t xml:space="preserve">Type means by region, coquina example, then regional special-habitats scores.</w:t>
      </w:r>
    </w:p>
    <w:p>
      <w:pPr>
        <w:pStyle w:val="CaptionedFigure"/>
      </w:pPr>
      <w:r>
        <w:drawing>
          <wp:inline>
            <wp:extent cx="4533900" cy="4533900"/>
            <wp:effectExtent b="0" l="0" r="0" t="0"/>
            <wp:docPr descr="Figure 18. Special habitats method map summarizing condition inputs by habitat type (mangrove, seagrass, coral, and coquina). Coral is limited to expert-named reefs in the region where those reefs matter for this assessment. Habitat extents come from mapped layers (for example TNC geoportal habitat layers and mangrove land cover). Colors and means in this map help show how different habitat types contribute before we roll them up to a single regional special-habitats score." title="" id="119" name="Picture"/>
            <a:graphic>
              <a:graphicData uri="http://schemas.openxmlformats.org/drawingml/2006/picture">
                <pic:pic>
                  <pic:nvPicPr>
                    <pic:cNvPr descr="../images/sp_lsp_figs/process_special_habitats_type_means.png" id="120" name="Picture"/>
                    <pic:cNvPicPr>
                      <a:picLocks noChangeArrowheads="1" noChangeAspect="1"/>
                    </pic:cNvPicPr>
                  </pic:nvPicPr>
                  <pic:blipFill>
                    <a:blip r:embed="rId118"/>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Figure 18. Special habitats method map summarizing condition inputs by habitat type (mangrove, seagrass, coral, and coquina). Coral is limited to expert-named reefs in the region where those reefs matter for this assessment. Habitat extents come from mapped layers (for example TNC geoportal habitat layers and mangrove land cover). Colors and means in this map help show how different habitat types contribute before we roll them up to a single regional special-habitats score.</w:t>
      </w:r>
    </w:p>
    <w:p>
      <w:pPr>
        <w:pStyle w:val="CaptionedFigure"/>
      </w:pPr>
      <w:r>
        <w:drawing>
          <wp:inline>
            <wp:extent cx="4533900" cy="4533900"/>
            <wp:effectExtent b="0" l="0" r="0" t="0"/>
            <wp:docPr descr="Figure 19. Special habitats method map focused on whether habitats touch a managed protected area. We expand protected area boundaries slightly (about 100 m) so habitats along a protected area edge can inherit management scores from SIMEC i-efectividad or Ramsar plan rules. If no protected area applies, we use a statute-based minimum by habitat type (about 70 for mangrove, seagrass, and coral under strong habitat and biodiversity laws; about 30 for coquina when there is no dedicated coquina statute). Final site condition is the better of the SIMEC i-efectividad (or Ramsar plan) score and that statute-based minimum, so strong law does not score below what existing statute already implies." title="" id="122" name="Picture"/>
            <a:graphic>
              <a:graphicData uri="http://schemas.openxmlformats.org/drawingml/2006/picture">
                <pic:pic>
                  <pic:nvPicPr>
                    <pic:cNvPr descr="../images/sp_lsp_figs/process_special_habitats_pa_touch.png" id="123" name="Picture"/>
                    <pic:cNvPicPr>
                      <a:picLocks noChangeArrowheads="1" noChangeAspect="1"/>
                    </pic:cNvPicPr>
                  </pic:nvPicPr>
                  <pic:blipFill>
                    <a:blip r:embed="rId121"/>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Figure 19. Special habitats method map focused on whether habitats touch a managed protected area. We expand protected area boundaries slightly (about 100 m) so habitats along a protected area edge can inherit management scores from SIMEC i-efectividad or Ramsar plan rules. If no protected area applies, we use a statute-based minimum by habitat type (about 70 for mangrove, seagrass, and coral under strong habitat and biodiversity laws; about 30 for coquina when there is no dedicated coquina statute). Final site condition is the better of the SIMEC i-efectividad (or Ramsar plan) score and that statute-based minimum, so strong law does not score below what existing statute already implies.</w:t>
      </w:r>
    </w:p>
    <w:p>
      <w:pPr>
        <w:pStyle w:val="CaptionedFigure"/>
      </w:pPr>
      <w:r>
        <w:drawing>
          <wp:inline>
            <wp:extent cx="4000500" cy="4000499"/>
            <wp:effectExtent b="0" l="0" r="0" t="0"/>
            <wp:docPr descr="Figure 20. Regional special habitats scores after averaging across habitat types in each region. Higher values mean the mangroves, seagrasses, corals, and coquina features in that region are, on average, under stronger management (including SIMEC i-efectividad when a habitat touches a protected area) or stronger statute-based protection." title="" id="125" name="Picture"/>
            <a:graphic>
              <a:graphicData uri="http://schemas.openxmlformats.org/drawingml/2006/picture">
                <pic:pic>
                  <pic:nvPicPr>
                    <pic:cNvPr descr="../images/sp_lsp_figs/lsp_special_habitats.png" id="126" name="Picture"/>
                    <pic:cNvPicPr>
                      <a:picLocks noChangeArrowheads="1" noChangeAspect="1"/>
                    </pic:cNvPicPr>
                  </pic:nvPicPr>
                  <pic:blipFill>
                    <a:blip r:embed="rId124"/>
                    <a:stretch>
                      <a:fillRect/>
                    </a:stretch>
                  </pic:blipFill>
                  <pic:spPr bwMode="auto">
                    <a:xfrm>
                      <a:off x="0" y="0"/>
                      <a:ext cx="4000500" cy="4000499"/>
                    </a:xfrm>
                    <a:prstGeom prst="rect">
                      <a:avLst/>
                    </a:prstGeom>
                    <a:noFill/>
                    <a:ln w="9525">
                      <a:noFill/>
                      <a:headEnd/>
                      <a:tailEnd/>
                    </a:ln>
                  </pic:spPr>
                </pic:pic>
              </a:graphicData>
            </a:graphic>
          </wp:inline>
        </w:drawing>
      </w:r>
    </w:p>
    <w:p>
      <w:pPr>
        <w:pStyle w:val="ImageCaption"/>
      </w:pPr>
      <w:r>
        <w:t xml:space="preserve">Figure 20. Regional special habitats scores after averaging across habitat types in each region. Higher values mean the mangroves, seagrasses, corals, and coquina features in that region are, on average, under stronger management (including SIMEC i-efectividad when a habitat touches a protected area) or stronger statute-based protection.</w:t>
      </w:r>
    </w:p>
    <w:p>
      <w:pPr>
        <w:pStyle w:val="BodyText"/>
      </w:pPr>
      <w:r>
        <w:rPr>
          <w:bCs/>
          <w:b/>
        </w:rPr>
        <w:t xml:space="preserve">Data sources</w:t>
      </w:r>
    </w:p>
    <w:p>
      <w:pPr>
        <w:numPr>
          <w:ilvl w:val="0"/>
          <w:numId w:val="1030"/>
        </w:numPr>
        <w:pStyle w:val="Compact"/>
      </w:pPr>
      <w:r>
        <w:t xml:space="preserve">TNC geoportal coquina, coral, and seagrass layers; HEM mangrove land cover</w:t>
      </w:r>
    </w:p>
    <w:p>
      <w:pPr>
        <w:numPr>
          <w:ilvl w:val="0"/>
          <w:numId w:val="1030"/>
        </w:numPr>
        <w:pStyle w:val="Compact"/>
      </w:pPr>
      <w:r>
        <w:t xml:space="preserve">Combined protected areas, SIMEC, and Ramsar plan tables</w:t>
      </w:r>
    </w:p>
    <w:p>
      <w:pPr>
        <w:numPr>
          <w:ilvl w:val="0"/>
          <w:numId w:val="1030"/>
        </w:numPr>
        <w:pStyle w:val="Compact"/>
      </w:pPr>
      <w:r>
        <w:t xml:space="preserve">NOM-022-SEMARNAT-2003, NOM-059, LGEEPA,</w:t>
      </w:r>
      <w:r>
        <w:t xml:space="preserve"> </w:t>
      </w:r>
      <w:r>
        <w:rPr>
          <w:iCs/>
          <w:i/>
        </w:rPr>
        <w:t xml:space="preserve">Ley General de Vida Silvestre</w:t>
      </w:r>
      <w:r>
        <w:t xml:space="preserve"> </w:t>
      </w:r>
      <w:r>
        <w:t xml:space="preserve">Art. 60ter, Código Penal Art. 420bis, LFRA, CITES Appendix II coral (as cited in habitat prep)</w:t>
      </w:r>
    </w:p>
    <w:bookmarkEnd w:id="127"/>
    <w:bookmarkStart w:id="137" w:name="all-other-special-places"/>
    <w:p>
      <w:pPr>
        <w:pStyle w:val="Heading3"/>
      </w:pPr>
      <w:r>
        <w:t xml:space="preserve">6.3.6 All other Special Places</w:t>
      </w:r>
    </w:p>
    <w:p>
      <w:pPr>
        <w:pStyle w:val="FirstParagraph"/>
      </w:pPr>
      <w:r>
        <w:t xml:space="preserve">These are expert-identified marine places of importance that did not fit cleanly into the categories above.</w:t>
      </w:r>
    </w:p>
    <w:p>
      <w:pPr>
        <w:numPr>
          <w:ilvl w:val="0"/>
          <w:numId w:val="1031"/>
        </w:numPr>
        <w:pStyle w:val="Compact"/>
      </w:pPr>
      <w:r>
        <w:t xml:space="preserve">Prefer SIMEC and Ramsar plan scores when a place overlaps a protected area.</w:t>
      </w:r>
    </w:p>
    <w:p>
      <w:pPr>
        <w:numPr>
          <w:ilvl w:val="0"/>
          <w:numId w:val="1031"/>
        </w:numPr>
        <w:pStyle w:val="Compact"/>
      </w:pPr>
      <w:r>
        <w:t xml:space="preserve">Else use curated legal estimates in the</w:t>
      </w:r>
      <w:r>
        <w:t xml:space="preserve"> </w:t>
      </w:r>
      <w:hyperlink r:id="rId75">
        <w:r>
          <w:rPr>
            <w:rStyle w:val="Hyperlink"/>
          </w:rPr>
          <w:t xml:space="preserve">codified protection scores sheet</w:t>
        </w:r>
      </w:hyperlink>
      <w:r>
        <w:t xml:space="preserve">.</w:t>
      </w:r>
    </w:p>
    <w:p>
      <w:pPr>
        <w:pStyle w:val="FirstParagraph"/>
      </w:pPr>
      <w:r>
        <w:t xml:space="preserve">Method map (inside vs outside PA), then regional scores for this category.</w:t>
      </w:r>
    </w:p>
    <w:p>
      <w:pPr>
        <w:pStyle w:val="CaptionedFigure"/>
      </w:pPr>
      <w:r>
        <w:drawing>
          <wp:inline>
            <wp:extent cx="4533900" cy="4533900"/>
            <wp:effectExtent b="0" l="0" r="0" t="0"/>
            <wp:docPr descr="Figure 21. Method map for all other special places: Expert Working Group marine locations that did not fit cleanly into special protected areas, dive, fishing, archaeology, or habitat categories. Places that overlap a protected area take SIMEC i-efectividad or Ramsar plan condition when available. Places outside those managed boundaries use expert-reviewed codified legal protection scores compiled for this assessment (documented in the shared Google workbook). The map distinguishes sites inside versus outside protected areas so reviewers can see which scoring path applies where." title="" id="129" name="Picture"/>
            <a:graphic>
              <a:graphicData uri="http://schemas.openxmlformats.org/drawingml/2006/picture">
                <pic:pic>
                  <pic:nvPicPr>
                    <pic:cNvPr descr="../images/sp_lsp_figs/process_all_other_special_places.png" id="130" name="Picture"/>
                    <pic:cNvPicPr>
                      <a:picLocks noChangeArrowheads="1" noChangeAspect="1"/>
                    </pic:cNvPicPr>
                  </pic:nvPicPr>
                  <pic:blipFill>
                    <a:blip r:embed="rId128"/>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Figure 21. Method map for all other special places: Expert Working Group marine locations that did not fit cleanly into special protected areas, dive, fishing, archaeology, or habitat categories. Places that overlap a protected area take SIMEC i-efectividad or Ramsar plan condition when available. Places outside those managed boundaries use expert-reviewed codified legal protection scores compiled for this assessment (documented in the shared Google workbook). The map distinguishes sites inside versus outside protected areas so reviewers can see which scoring path applies where.</w:t>
      </w:r>
    </w:p>
    <w:p>
      <w:pPr>
        <w:pStyle w:val="CaptionedFigure"/>
      </w:pPr>
      <w:r>
        <w:drawing>
          <wp:inline>
            <wp:extent cx="4000500" cy="4000499"/>
            <wp:effectExtent b="0" l="0" r="0" t="0"/>
            <wp:docPr descr="Figure 22. Regional scores for the all-other-special-places category using the SIMEC i-efectividad and codified-legal rules. This is the residual expert category that still contributes to Lasting Special Places when a location is important but does not fall directly into any of the other five LSP types." title="" id="132" name="Picture"/>
            <a:graphic>
              <a:graphicData uri="http://schemas.openxmlformats.org/drawingml/2006/picture">
                <pic:pic>
                  <pic:nvPicPr>
                    <pic:cNvPr descr="../images/sp_lsp_figs/lsp_all_other_special_places.png" id="133" name="Picture"/>
                    <pic:cNvPicPr>
                      <a:picLocks noChangeArrowheads="1" noChangeAspect="1"/>
                    </pic:cNvPicPr>
                  </pic:nvPicPr>
                  <pic:blipFill>
                    <a:blip r:embed="rId131"/>
                    <a:stretch>
                      <a:fillRect/>
                    </a:stretch>
                  </pic:blipFill>
                  <pic:spPr bwMode="auto">
                    <a:xfrm>
                      <a:off x="0" y="0"/>
                      <a:ext cx="4000500" cy="4000499"/>
                    </a:xfrm>
                    <a:prstGeom prst="rect">
                      <a:avLst/>
                    </a:prstGeom>
                    <a:noFill/>
                    <a:ln w="9525">
                      <a:noFill/>
                      <a:headEnd/>
                      <a:tailEnd/>
                    </a:ln>
                  </pic:spPr>
                </pic:pic>
              </a:graphicData>
            </a:graphic>
          </wp:inline>
        </w:drawing>
      </w:r>
    </w:p>
    <w:p>
      <w:pPr>
        <w:pStyle w:val="ImageCaption"/>
      </w:pPr>
      <w:r>
        <w:t xml:space="preserve">Figure 22. Regional scores for the all-other-special-places category using the SIMEC i-efectividad and codified-legal rules. This is the residual expert category that still contributes to Lasting Special Places when a location is important but does not fall directly into any of the other five LSP types.</w:t>
      </w:r>
    </w:p>
    <w:p>
      <w:pPr>
        <w:pStyle w:val="BodyText"/>
      </w:pPr>
      <w:r>
        <w:rPr>
          <w:bCs/>
          <w:b/>
        </w:rPr>
        <w:t xml:space="preserve">Data sources</w:t>
      </w:r>
    </w:p>
    <w:p>
      <w:pPr>
        <w:numPr>
          <w:ilvl w:val="0"/>
          <w:numId w:val="1032"/>
        </w:numPr>
        <w:pStyle w:val="Compact"/>
      </w:pPr>
      <w:r>
        <w:t xml:space="preserve">Expert Working Group marine location inventory</w:t>
      </w:r>
    </w:p>
    <w:p>
      <w:pPr>
        <w:numPr>
          <w:ilvl w:val="0"/>
          <w:numId w:val="1032"/>
        </w:numPr>
        <w:pStyle w:val="Compact"/>
      </w:pPr>
      <w:r>
        <w:t xml:space="preserve">Protected area overlays (WDPA, CONANP, HEM), SIMEC, Ramsar plan presence</w:t>
      </w:r>
    </w:p>
    <w:p>
      <w:pPr>
        <w:numPr>
          <w:ilvl w:val="0"/>
          <w:numId w:val="1032"/>
        </w:numPr>
        <w:pStyle w:val="Compact"/>
      </w:pPr>
      <w:r>
        <w:t xml:space="preserve">Expert reviewed codified legal scores (Google Sheet above)</w:t>
      </w:r>
    </w:p>
    <w:p>
      <w:pPr>
        <w:pStyle w:val="FirstParagraph"/>
      </w:pPr>
      <w:r>
        <w:t xml:space="preserve">Regional category scores for all six LSP types together (same prep exports).</w:t>
      </w:r>
    </w:p>
    <w:p>
      <w:pPr>
        <w:pStyle w:val="CaptionedFigure"/>
      </w:pPr>
      <w:r>
        <w:drawing>
          <wp:inline>
            <wp:extent cx="5334000" cy="5334000"/>
            <wp:effectExtent b="0" l="0" r="0" t="0"/>
            <wp:docPr descr="Figure 23. Side-by-side regional scores for all six Lasting Special Places categories in the same prep exports and the same 0-100 scale. Panels cover special protected areas, priority dive sites, iconic fishing places, archaeological sites, special habitats, and all other special places. Use this figure to compare how regions perform across place types rather than only the single overall LSP mean in Figure 8." title="" id="135" name="Picture"/>
            <a:graphic>
              <a:graphicData uri="http://schemas.openxmlformats.org/drawingml/2006/picture">
                <pic:pic>
                  <pic:nvPicPr>
                    <pic:cNvPr descr="../images/sp_lsp_figs/lsp_categories_panel.png" id="136" name="Picture"/>
                    <pic:cNvPicPr>
                      <a:picLocks noChangeArrowheads="1" noChangeAspect="1"/>
                    </pic:cNvPicPr>
                  </pic:nvPicPr>
                  <pic:blipFill>
                    <a:blip r:embed="rId13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23. Side-by-side regional scores for all six Lasting Special Places categories in the same prep exports and the same 0-100 scale. Panels cover special protected areas, priority dive sites, iconic fishing places, archaeological sites, special habitats, and all other special places. Use this figure to compare how regions perform across place types rather than only the single overall LSP mean in Figure 8.</w:t>
      </w:r>
    </w:p>
    <w:p>
      <w:pPr>
        <w:pStyle w:val="BodyText"/>
      </w:pPr>
      <w:r>
        <w:t xml:space="preserve">We welcome Expert Working Group feedback on the LSP methods and sources across all categories above.</w:t>
      </w:r>
    </w:p>
    <w:p>
      <w:r>
        <w:pict>
          <v:rect style="width:0;height:1.5pt" o:hralign="center" o:hrstd="t" o:hr="t"/>
        </w:pict>
      </w:r>
    </w:p>
    <w:bookmarkEnd w:id="137"/>
    <w:bookmarkEnd w:id="138"/>
    <w:bookmarkEnd w:id="139"/>
    <w:bookmarkStart w:id="154" w:name="iconic-species-ico"/>
    <w:p>
      <w:pPr>
        <w:pStyle w:val="Heading1"/>
      </w:pPr>
      <w:r>
        <w:t xml:space="preserve">7. Iconic Species (ICO)</w:t>
      </w:r>
    </w:p>
    <w:p>
      <w:pPr>
        <w:pStyle w:val="FirstParagraph"/>
      </w:pPr>
      <w:r>
        <w:t xml:space="preserve">ICO measures the condition of species that are culturally iconic for Gulf communities.</w:t>
      </w:r>
    </w:p>
    <w:bookmarkStart w:id="140" w:name="what-experts-were-asked-to-do"/>
    <w:p>
      <w:pPr>
        <w:pStyle w:val="Heading2"/>
      </w:pPr>
      <w:r>
        <w:t xml:space="preserve">7.1 What experts were asked to do</w:t>
      </w:r>
    </w:p>
    <w:p>
      <w:pPr>
        <w:pStyle w:val="FirstParagraph"/>
      </w:pPr>
      <w:r>
        <w:t xml:space="preserve">When building the iconic species list, experts were asked to review the</w:t>
      </w:r>
      <w:r>
        <w:t xml:space="preserve"> </w:t>
      </w:r>
      <w:r>
        <w:rPr>
          <w:bCs/>
          <w:b/>
        </w:rPr>
        <w:t xml:space="preserve">“</w:t>
      </w:r>
      <w:r>
        <w:rPr>
          <w:bCs/>
          <w:b/>
        </w:rPr>
        <w:t xml:space="preserve">Iconic Species List</w:t>
      </w:r>
      <w:r>
        <w:rPr>
          <w:bCs/>
          <w:b/>
        </w:rPr>
        <w:t xml:space="preserve">”</w:t>
      </w:r>
      <w:r>
        <w:t xml:space="preserve"> </w:t>
      </w:r>
      <w:r>
        <w:t xml:space="preserve">tab and consider three things:</w:t>
      </w:r>
    </w:p>
    <w:p>
      <w:pPr>
        <w:numPr>
          <w:ilvl w:val="0"/>
          <w:numId w:val="1033"/>
        </w:numPr>
        <w:pStyle w:val="Compact"/>
      </w:pPr>
      <w:r>
        <w:t xml:space="preserve">Are all</w:t>
      </w:r>
      <w:r>
        <w:t xml:space="preserve"> </w:t>
      </w:r>
      <w:r>
        <w:t xml:space="preserve">“</w:t>
      </w:r>
      <w:r>
        <w:t xml:space="preserve">iconic species</w:t>
      </w:r>
      <w:r>
        <w:t xml:space="preserve">”</w:t>
      </w:r>
      <w:r>
        <w:t xml:space="preserve"> </w:t>
      </w:r>
      <w:r>
        <w:t xml:space="preserve">in the Gulf of California listed?</w:t>
      </w:r>
    </w:p>
    <w:p>
      <w:pPr>
        <w:numPr>
          <w:ilvl w:val="0"/>
          <w:numId w:val="1033"/>
        </w:numPr>
        <w:pStyle w:val="Compact"/>
      </w:pPr>
      <w:r>
        <w:t xml:space="preserve">If not, please add the species name, common name, and reason for being iconic.</w:t>
      </w:r>
    </w:p>
    <w:p>
      <w:pPr>
        <w:numPr>
          <w:ilvl w:val="0"/>
          <w:numId w:val="1033"/>
        </w:numPr>
        <w:pStyle w:val="Compact"/>
      </w:pPr>
      <w:r>
        <w:t xml:space="preserve">Please write any notes about the species that can help rationalize its inclusion as an iconic species when the final report is written.</w:t>
      </w:r>
    </w:p>
    <w:p>
      <w:pPr>
        <w:pStyle w:val="FirstParagraph"/>
      </w:pPr>
      <w:r>
        <w:rPr>
          <w:bCs/>
          <w:b/>
        </w:rPr>
        <w:t xml:space="preserve">Reasons for being iconic</w:t>
      </w:r>
    </w:p>
    <w:p>
      <w:pPr>
        <w:numPr>
          <w:ilvl w:val="0"/>
          <w:numId w:val="1034"/>
        </w:numPr>
        <w:pStyle w:val="Compact"/>
      </w:pPr>
      <w:r>
        <w:t xml:space="preserve">Local ethnic or religious practices (could include traditional activities such as fishing, hunting, or commerce)</w:t>
      </w:r>
    </w:p>
    <w:p>
      <w:pPr>
        <w:numPr>
          <w:ilvl w:val="0"/>
          <w:numId w:val="1034"/>
        </w:numPr>
        <w:pStyle w:val="Compact"/>
      </w:pPr>
      <w:r>
        <w:t xml:space="preserve">Existence value</w:t>
      </w:r>
    </w:p>
    <w:p>
      <w:pPr>
        <w:numPr>
          <w:ilvl w:val="0"/>
          <w:numId w:val="1034"/>
        </w:numPr>
        <w:pStyle w:val="Compact"/>
      </w:pPr>
      <w:r>
        <w:t xml:space="preserve">Locally recognized aesthetic value (for example touristic attractions or common subjects for art such as whales)</w:t>
      </w:r>
    </w:p>
    <w:p>
      <w:pPr>
        <w:pStyle w:val="FirstParagraph"/>
      </w:pPr>
      <w:r>
        <w:t xml:space="preserve">Habitat forming species and species harvested only for utilitarian commerce are outside this definition.</w:t>
      </w:r>
    </w:p>
    <w:bookmarkEnd w:id="140"/>
    <w:bookmarkStart w:id="153" w:name="how-ico-risk-weights-are-assigned"/>
    <w:p>
      <w:pPr>
        <w:pStyle w:val="Heading2"/>
      </w:pPr>
      <w:r>
        <w:t xml:space="preserve">7.2 How ICO risk weights are assigned</w:t>
      </w:r>
    </w:p>
    <w:p>
      <w:pPr>
        <w:pStyle w:val="FirstParagraph"/>
      </w:pPr>
      <w:r>
        <w:t xml:space="preserve">For each species</w:t>
      </w:r>
      <w:r>
        <w:t xml:space="preserve"> </w:t>
      </w:r>
      <m:oMath>
        <m:r>
          <m:t>s</m:t>
        </m:r>
      </m:oMath>
      <w:r>
        <w:t xml:space="preserve"> </w:t>
      </w:r>
      <w:r>
        <w:t xml:space="preserve">in region</w:t>
      </w:r>
      <w:r>
        <w:t xml:space="preserve"> </w:t>
      </w:r>
      <m:oMath>
        <m:r>
          <m:t>r</m:t>
        </m:r>
      </m:oMath>
      <w:r>
        <w:t xml:space="preserve"> </w:t>
      </w:r>
      <w:r>
        <w:t xml:space="preserve">and year</w:t>
      </w:r>
      <w:r>
        <w:t xml:space="preserve"> </w:t>
      </w:r>
      <m:oMath>
        <m:r>
          <m:t>t</m:t>
        </m:r>
      </m:oMath>
      <w:r>
        <w:t xml:space="preserve">, assign one risk weight</w:t>
      </w:r>
      <w:r>
        <w:t xml:space="preserve"> </w:t>
      </w:r>
      <m:oMath>
        <m:sSub>
          <m:e>
            <m:r>
              <m:t>w</m:t>
            </m:r>
          </m:e>
          <m:sub>
            <m:r>
              <m:t>s</m:t>
            </m:r>
            <m:r>
              <m:rPr>
                <m:sty m:val="p"/>
              </m:rPr>
              <m:t>,</m:t>
            </m:r>
            <m:r>
              <m:t>r</m:t>
            </m:r>
            <m:r>
              <m:rPr>
                <m:sty m:val="p"/>
              </m:rPr>
              <m:t>,</m:t>
            </m:r>
            <m:r>
              <m:t>t</m:t>
            </m:r>
          </m:sub>
        </m:sSub>
      </m:oMath>
      <w:r>
        <w:t xml:space="preserve"> </w:t>
      </w:r>
      <w:r>
        <w:t xml:space="preserve">using this hierarchical decision:</w:t>
      </w:r>
    </w:p>
    <w:p>
      <w:pPr>
        <w:numPr>
          <w:ilvl w:val="0"/>
          <w:numId w:val="1035"/>
        </w:numPr>
        <w:pStyle w:val="Compact"/>
      </w:pPr>
      <w:r>
        <w:t xml:space="preserve">Prefer NOM-059 when the species is listed under a risk category.</w:t>
      </w:r>
    </w:p>
    <w:p>
      <w:pPr>
        <w:numPr>
          <w:ilvl w:val="0"/>
          <w:numId w:val="1035"/>
        </w:numPr>
        <w:pStyle w:val="Compact"/>
      </w:pPr>
      <w:r>
        <w:t xml:space="preserve">If NOM-059 treats the species as not listed (weight 1.0), then prefer IUCN when available.</w:t>
      </w:r>
    </w:p>
    <w:p>
      <w:pPr>
        <w:numPr>
          <w:ilvl w:val="0"/>
          <w:numId w:val="1035"/>
        </w:numPr>
        <w:pStyle w:val="Compact"/>
      </w:pPr>
      <w:r>
        <w:t xml:space="preserve">If IUCN is not available, use CITES.</w:t>
      </w:r>
    </w:p>
    <w:p>
      <w:pPr>
        <w:numPr>
          <w:ilvl w:val="0"/>
          <w:numId w:val="1035"/>
        </w:numPr>
        <w:pStyle w:val="Compact"/>
      </w:pPr>
      <w:r>
        <w:t xml:space="preserve">Special cases were reviewed when lists conflicted (especially Pacific vs Atlantic IUCN assessments, or when NOM-059 says not listed but IUCN or CITES indicate elevated risk for Gulf-relevant populations).</w:t>
      </w:r>
    </w:p>
    <w:p>
      <w:pPr>
        <w:pStyle w:val="FirstParagraph"/>
      </w:pPr>
      <w:r>
        <w:t xml:space="preserve">Then:</w:t>
      </w:r>
    </w:p>
    <w:p>
      <w:pPr>
        <w:pStyle w:val="BodyText"/>
      </w:pPr>
      <m:oMathPara>
        <m:oMathParaPr>
          <m:jc m:val="center"/>
        </m:oMathParaPr>
        <m:oMath>
          <m:r>
            <m:t>I</m:t>
          </m:r>
          <m:r>
            <m:t>C</m:t>
          </m:r>
          <m:sSub>
            <m:e>
              <m:r>
                <m:t>O</m:t>
              </m:r>
            </m:e>
            <m:sub>
              <m:r>
                <m:t>r</m:t>
              </m:r>
              <m:r>
                <m:rPr>
                  <m:sty m:val="p"/>
                </m:rPr>
                <m:t>,</m:t>
              </m:r>
              <m:r>
                <m:t>t</m:t>
              </m:r>
            </m:sub>
          </m:sSub>
          <m:r>
            <m:rPr>
              <m:sty m:val="p"/>
            </m:rPr>
            <m:t>=</m:t>
          </m:r>
          <m:r>
            <m:t>100</m:t>
          </m:r>
          <m:r>
            <m:rPr>
              <m:sty m:val="p"/>
            </m:rPr>
            <m:t>×</m:t>
          </m:r>
          <m:sSub>
            <m:e>
              <m:r>
                <m:rPr>
                  <m:sty m:val="p"/>
                </m:rPr>
                <m:t>m</m:t>
              </m:r>
              <m:r>
                <m:rPr>
                  <m:sty m:val="p"/>
                </m:rPr>
                <m:t>e</m:t>
              </m:r>
              <m:r>
                <m:rPr>
                  <m:sty m:val="p"/>
                </m:rPr>
                <m:t>a</m:t>
              </m:r>
              <m:r>
                <m:rPr>
                  <m:sty m:val="p"/>
                </m:rPr>
                <m:t>n</m:t>
              </m:r>
            </m:e>
            <m:sub>
              <m:r>
                <m:t>s</m:t>
              </m:r>
              <m:r>
                <m:rPr>
                  <m:sty m:val="p"/>
                </m:rPr>
                <m:t>∈</m:t>
              </m:r>
              <m:r>
                <m:t>r</m:t>
              </m:r>
            </m:sub>
          </m:sSub>
          <m:d>
            <m:dPr>
              <m:begChr m:val="("/>
              <m:endChr m:val=")"/>
              <m:sepChr m:val=""/>
              <m:grow/>
            </m:dPr>
            <m:e>
              <m:sSub>
                <m:e>
                  <m:r>
                    <m:t>w</m:t>
                  </m:r>
                </m:e>
                <m:sub>
                  <m:r>
                    <m:t>s</m:t>
                  </m:r>
                  <m:r>
                    <m:rPr>
                      <m:sty m:val="p"/>
                    </m:rPr>
                    <m:t>,</m:t>
                  </m:r>
                  <m:r>
                    <m:t>r</m:t>
                  </m:r>
                  <m:r>
                    <m:rPr>
                      <m:sty m:val="p"/>
                    </m:rPr>
                    <m:t>,</m:t>
                  </m:r>
                  <m:r>
                    <m:t>t</m:t>
                  </m:r>
                </m:sub>
              </m:sSub>
            </m:e>
          </m:d>
        </m:oMath>
      </m:oMathPara>
    </w:p>
    <w:p>
      <w:pPr>
        <w:pStyle w:val="FirstParagraph"/>
      </w:pPr>
      <w:r>
        <w:t xml:space="preserve">where:</w:t>
      </w:r>
    </w:p>
    <w:p>
      <w:pPr>
        <w:numPr>
          <w:ilvl w:val="0"/>
          <w:numId w:val="1036"/>
        </w:numPr>
        <w:pStyle w:val="Compact"/>
      </w:pPr>
      <m:oMath>
        <m:r>
          <m:t>I</m:t>
        </m:r>
        <m:r>
          <m:t>C</m:t>
        </m:r>
        <m:sSub>
          <m:e>
            <m:r>
              <m:t>O</m:t>
            </m:r>
          </m:e>
          <m:sub>
            <m:r>
              <m:t>r</m:t>
            </m:r>
            <m:r>
              <m:rPr>
                <m:sty m:val="p"/>
              </m:rPr>
              <m:t>,</m:t>
            </m:r>
            <m:r>
              <m:t>t</m:t>
            </m:r>
          </m:sub>
        </m:sSub>
      </m:oMath>
      <w:r>
        <w:t xml:space="preserve"> </w:t>
      </w:r>
      <w:r>
        <w:t xml:space="preserve">is the Iconic Species score for region</w:t>
      </w:r>
      <w:r>
        <w:t xml:space="preserve"> </w:t>
      </w:r>
      <m:oMath>
        <m:r>
          <m:t>r</m:t>
        </m:r>
      </m:oMath>
      <w:r>
        <w:t xml:space="preserve"> </w:t>
      </w:r>
      <w:r>
        <w:t xml:space="preserve">in year</w:t>
      </w:r>
      <w:r>
        <w:t xml:space="preserve"> </w:t>
      </w:r>
      <m:oMath>
        <m:r>
          <m:t>t</m:t>
        </m:r>
      </m:oMath>
    </w:p>
    <w:p>
      <w:pPr>
        <w:numPr>
          <w:ilvl w:val="0"/>
          <w:numId w:val="1036"/>
        </w:numPr>
        <w:pStyle w:val="Compact"/>
      </w:pPr>
      <m:oMath>
        <m:sSub>
          <m:e>
            <m:r>
              <m:t>w</m:t>
            </m:r>
          </m:e>
          <m:sub>
            <m:r>
              <m:t>s</m:t>
            </m:r>
            <m:r>
              <m:rPr>
                <m:sty m:val="p"/>
              </m:rPr>
              <m:t>,</m:t>
            </m:r>
            <m:r>
              <m:t>r</m:t>
            </m:r>
            <m:r>
              <m:rPr>
                <m:sty m:val="p"/>
              </m:rPr>
              <m:t>,</m:t>
            </m:r>
            <m:r>
              <m:t>t</m:t>
            </m:r>
          </m:sub>
        </m:sSub>
      </m:oMath>
      <w:r>
        <w:t xml:space="preserve"> </w:t>
      </w:r>
      <w:r>
        <w:t xml:space="preserve">is the risk weight for species</w:t>
      </w:r>
      <w:r>
        <w:t xml:space="preserve"> </w:t>
      </w:r>
      <m:oMath>
        <m:r>
          <m:t>s</m:t>
        </m:r>
      </m:oMath>
      <w:r>
        <w:t xml:space="preserve"> </w:t>
      </w:r>
      <w:r>
        <w:t xml:space="preserve">in that region and year (from NOM-059, IUCN, or CITES as above)</w:t>
      </w:r>
    </w:p>
    <w:p>
      <w:pPr>
        <w:numPr>
          <w:ilvl w:val="0"/>
          <w:numId w:val="1036"/>
        </w:numPr>
        <w:pStyle w:val="Compact"/>
      </w:pPr>
      <w:r>
        <w:t xml:space="preserve">The mean is taken across iconic species occurring in the region, then multiplied by 100 so the score is on a 0 to 100 scale</w:t>
      </w:r>
    </w:p>
    <w:bookmarkStart w:id="141" w:name="nom-059-weights"/>
    <w:p>
      <w:pPr>
        <w:pStyle w:val="Heading3"/>
      </w:pPr>
      <w:r>
        <w:t xml:space="preserve">7.2.1 NOM-059 weights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Meaning</w:t>
            </w:r>
          </w:p>
        </w:tc>
        <w:tc>
          <w:tcPr/>
          <w:p>
            <w:pPr>
              <w:pStyle w:val="Compact"/>
              <w:jc w:val="left"/>
            </w:pPr>
            <w:r>
              <w:t xml:space="preserve">Weight</w:t>
            </w:r>
          </w:p>
        </w:tc>
      </w:tr>
      <w:tr>
        <w:tc>
          <w:tcPr/>
          <w:p>
            <w:pPr>
              <w:pStyle w:val="Compact"/>
              <w:jc w:val="left"/>
            </w:pPr>
            <w:r>
              <w:t xml:space="preserve">Not listed</w:t>
            </w:r>
          </w:p>
        </w:tc>
        <w:tc>
          <w:tcPr/>
          <w:p>
            <w:pPr>
              <w:pStyle w:val="Compact"/>
              <w:jc w:val="left"/>
            </w:pPr>
            <w:r>
              <w:t xml:space="preserve">Species not listed under NOM-059 risk categories</w:t>
            </w:r>
          </w:p>
        </w:tc>
        <w:tc>
          <w:tcPr/>
          <w:p>
            <w:pPr>
              <w:pStyle w:val="Compact"/>
              <w:jc w:val="left"/>
            </w:pPr>
            <w:r>
              <w:t xml:space="preserve">1.00</w:t>
            </w:r>
          </w:p>
        </w:tc>
      </w:tr>
      <w:tr>
        <w:tc>
          <w:tcPr/>
          <w:p>
            <w:pPr>
              <w:pStyle w:val="Compact"/>
              <w:jc w:val="left"/>
            </w:pPr>
            <w:r>
              <w:t xml:space="preserve">Pr</w:t>
            </w:r>
          </w:p>
        </w:tc>
        <w:tc>
          <w:tcPr/>
          <w:p>
            <w:pPr>
              <w:pStyle w:val="Compact"/>
              <w:jc w:val="left"/>
            </w:pPr>
            <w:r>
              <w:t xml:space="preserve">Special protection</w:t>
            </w:r>
          </w:p>
        </w:tc>
        <w:tc>
          <w:tcPr/>
          <w:p>
            <w:pPr>
              <w:pStyle w:val="Compact"/>
              <w:jc w:val="left"/>
            </w:pPr>
            <w:r>
              <w:t xml:space="preserve">0.75</w:t>
            </w:r>
          </w:p>
        </w:tc>
      </w:tr>
      <w:tr>
        <w:tc>
          <w:tcPr/>
          <w:p>
            <w:pPr>
              <w:pStyle w:val="Compact"/>
              <w:jc w:val="left"/>
            </w:pPr>
            <w:r>
              <w:t xml:space="preserve">A</w:t>
            </w:r>
          </w:p>
        </w:tc>
        <w:tc>
          <w:tcPr/>
          <w:p>
            <w:pPr>
              <w:pStyle w:val="Compact"/>
              <w:jc w:val="left"/>
            </w:pPr>
            <w:r>
              <w:t xml:space="preserve">Threatened</w:t>
            </w:r>
          </w:p>
        </w:tc>
        <w:tc>
          <w:tcPr/>
          <w:p>
            <w:pPr>
              <w:pStyle w:val="Compact"/>
              <w:jc w:val="left"/>
            </w:pPr>
            <w:r>
              <w:t xml:space="preserve">0.50</w:t>
            </w:r>
          </w:p>
        </w:tc>
      </w:tr>
      <w:tr>
        <w:tc>
          <w:tcPr/>
          <w:p>
            <w:pPr>
              <w:pStyle w:val="Compact"/>
              <w:jc w:val="left"/>
            </w:pPr>
            <w:r>
              <w:t xml:space="preserve">P</w:t>
            </w:r>
          </w:p>
        </w:tc>
        <w:tc>
          <w:tcPr/>
          <w:p>
            <w:pPr>
              <w:pStyle w:val="Compact"/>
              <w:jc w:val="left"/>
            </w:pPr>
            <w:r>
              <w:t xml:space="preserve">Endangered</w:t>
            </w:r>
          </w:p>
        </w:tc>
        <w:tc>
          <w:tcPr/>
          <w:p>
            <w:pPr>
              <w:pStyle w:val="Compact"/>
              <w:jc w:val="left"/>
            </w:pPr>
            <w:r>
              <w:t xml:space="preserve">0.25</w:t>
            </w:r>
          </w:p>
        </w:tc>
      </w:tr>
      <w:tr>
        <w:tc>
          <w:tcPr/>
          <w:p>
            <w:pPr>
              <w:pStyle w:val="Compact"/>
              <w:jc w:val="left"/>
            </w:pPr>
            <w:r>
              <w:t xml:space="preserve">E</w:t>
            </w:r>
          </w:p>
        </w:tc>
        <w:tc>
          <w:tcPr/>
          <w:p>
            <w:pPr>
              <w:pStyle w:val="Compact"/>
              <w:jc w:val="left"/>
            </w:pPr>
            <w:r>
              <w:t xml:space="preserve">Probably extinct in the wild</w:t>
            </w:r>
          </w:p>
        </w:tc>
        <w:tc>
          <w:tcPr/>
          <w:p>
            <w:pPr>
              <w:pStyle w:val="Compact"/>
              <w:jc w:val="left"/>
            </w:pPr>
            <w:r>
              <w:t xml:space="preserve">0.00</w:t>
            </w:r>
          </w:p>
        </w:tc>
      </w:tr>
    </w:tbl>
    <w:bookmarkEnd w:id="141"/>
    <w:bookmarkStart w:id="142" w:name="iucn-red-list-weights"/>
    <w:p>
      <w:pPr>
        <w:pStyle w:val="Heading3"/>
      </w:pPr>
      <w:r>
        <w:t xml:space="preserve">7.2.2 IUCN Red List weights</w:t>
      </w:r>
    </w:p>
    <w:tbl>
      <w:tblPr>
        <w:tblStyle w:val="Table"/>
        <w:tblW w:type="pct" w:w="5000"/>
        <w:tblLook w:firstRow="1" w:lastRow="0" w:firstColumn="0" w:lastColumn="0" w:noHBand="0" w:noVBand="0" w:val="0020"/>
        <w:jc w:val="start"/>
        <w:tblLayout w:type="fixed"/>
      </w:tblPr>
      <w:tblGrid>
        <w:gridCol w:w="2933"/>
        <w:gridCol w:w="2640"/>
        <w:gridCol w:w="2346"/>
      </w:tblGrid>
      <w:tr>
        <w:trPr>
          <w:tblHeader w:val="true"/>
        </w:trPr>
        <w:tc>
          <w:tcPr/>
          <w:p>
            <w:pPr>
              <w:pStyle w:val="Compact"/>
              <w:jc w:val="left"/>
            </w:pPr>
            <w:r>
              <w:t xml:space="preserve">Category</w:t>
            </w:r>
          </w:p>
        </w:tc>
        <w:tc>
          <w:tcPr/>
          <w:p>
            <w:pPr>
              <w:pStyle w:val="Compact"/>
              <w:jc w:val="left"/>
            </w:pPr>
            <w:r>
              <w:t xml:space="preserve">Meaning</w:t>
            </w:r>
          </w:p>
        </w:tc>
        <w:tc>
          <w:tcPr/>
          <w:p>
            <w:pPr>
              <w:pStyle w:val="Compact"/>
              <w:jc w:val="left"/>
            </w:pPr>
            <w:r>
              <w:t xml:space="preserve">Weight</w:t>
            </w:r>
          </w:p>
        </w:tc>
      </w:tr>
      <w:tr>
        <w:tc>
          <w:tcPr/>
          <w:p>
            <w:pPr>
              <w:pStyle w:val="Compact"/>
              <w:jc w:val="left"/>
            </w:pPr>
            <w:r>
              <w:t xml:space="preserve">LC (and former LR/lc)</w:t>
            </w:r>
          </w:p>
        </w:tc>
        <w:tc>
          <w:tcPr/>
          <w:p>
            <w:pPr>
              <w:pStyle w:val="Compact"/>
              <w:jc w:val="left"/>
            </w:pPr>
            <w:r>
              <w:t xml:space="preserve">Least Concern</w:t>
            </w:r>
          </w:p>
        </w:tc>
        <w:tc>
          <w:tcPr/>
          <w:p>
            <w:pPr>
              <w:pStyle w:val="Compact"/>
              <w:jc w:val="left"/>
            </w:pPr>
            <w:r>
              <w:t xml:space="preserve">1.00</w:t>
            </w:r>
          </w:p>
        </w:tc>
      </w:tr>
      <w:tr>
        <w:tc>
          <w:tcPr/>
          <w:p>
            <w:pPr>
              <w:pStyle w:val="Compact"/>
              <w:jc w:val="left"/>
            </w:pPr>
            <w:r>
              <w:t xml:space="preserve">NT (and former LR/nt)</w:t>
            </w:r>
          </w:p>
        </w:tc>
        <w:tc>
          <w:tcPr/>
          <w:p>
            <w:pPr>
              <w:pStyle w:val="Compact"/>
              <w:jc w:val="left"/>
            </w:pPr>
            <w:r>
              <w:t xml:space="preserve">Near Threatened</w:t>
            </w:r>
          </w:p>
        </w:tc>
        <w:tc>
          <w:tcPr/>
          <w:p>
            <w:pPr>
              <w:pStyle w:val="Compact"/>
              <w:jc w:val="left"/>
            </w:pPr>
            <w:r>
              <w:t xml:space="preserve">0.75</w:t>
            </w:r>
          </w:p>
        </w:tc>
      </w:tr>
      <w:tr>
        <w:tc>
          <w:tcPr/>
          <w:p>
            <w:pPr>
              <w:pStyle w:val="Compact"/>
              <w:jc w:val="left"/>
            </w:pPr>
            <w:r>
              <w:t xml:space="preserve">VU</w:t>
            </w:r>
          </w:p>
        </w:tc>
        <w:tc>
          <w:tcPr/>
          <w:p>
            <w:pPr>
              <w:pStyle w:val="Compact"/>
              <w:jc w:val="left"/>
            </w:pPr>
            <w:r>
              <w:t xml:space="preserve">Vulnerable</w:t>
            </w:r>
          </w:p>
        </w:tc>
        <w:tc>
          <w:tcPr/>
          <w:p>
            <w:pPr>
              <w:pStyle w:val="Compact"/>
              <w:jc w:val="left"/>
            </w:pPr>
            <w:r>
              <w:t xml:space="preserve">0.50</w:t>
            </w:r>
          </w:p>
        </w:tc>
      </w:tr>
      <w:tr>
        <w:tc>
          <w:tcPr/>
          <w:p>
            <w:pPr>
              <w:pStyle w:val="Compact"/>
              <w:jc w:val="left"/>
            </w:pPr>
            <w:r>
              <w:t xml:space="preserve">EN</w:t>
            </w:r>
          </w:p>
        </w:tc>
        <w:tc>
          <w:tcPr/>
          <w:p>
            <w:pPr>
              <w:pStyle w:val="Compact"/>
              <w:jc w:val="left"/>
            </w:pPr>
            <w:r>
              <w:t xml:space="preserve">Endangered</w:t>
            </w:r>
          </w:p>
        </w:tc>
        <w:tc>
          <w:tcPr/>
          <w:p>
            <w:pPr>
              <w:pStyle w:val="Compact"/>
              <w:jc w:val="left"/>
            </w:pPr>
            <w:r>
              <w:t xml:space="preserve">0.25</w:t>
            </w:r>
          </w:p>
        </w:tc>
      </w:tr>
      <w:tr>
        <w:tc>
          <w:tcPr/>
          <w:p>
            <w:pPr>
              <w:pStyle w:val="Compact"/>
              <w:jc w:val="left"/>
            </w:pPr>
            <w:r>
              <w:t xml:space="preserve">CR</w:t>
            </w:r>
          </w:p>
        </w:tc>
        <w:tc>
          <w:tcPr/>
          <w:p>
            <w:pPr>
              <w:pStyle w:val="Compact"/>
              <w:jc w:val="left"/>
            </w:pPr>
            <w:r>
              <w:t xml:space="preserve">Critically Endangered</w:t>
            </w:r>
          </w:p>
        </w:tc>
        <w:tc>
          <w:tcPr/>
          <w:p>
            <w:pPr>
              <w:pStyle w:val="Compact"/>
              <w:jc w:val="left"/>
            </w:pPr>
            <w:r>
              <w:t xml:space="preserve">0.12</w:t>
            </w:r>
          </w:p>
        </w:tc>
      </w:tr>
      <w:tr>
        <w:tc>
          <w:tcPr/>
          <w:p>
            <w:pPr>
              <w:pStyle w:val="Compact"/>
              <w:jc w:val="left"/>
            </w:pPr>
            <w:r>
              <w:t xml:space="preserve">EX</w:t>
            </w:r>
          </w:p>
        </w:tc>
        <w:tc>
          <w:tcPr/>
          <w:p>
            <w:pPr>
              <w:pStyle w:val="Compact"/>
              <w:jc w:val="left"/>
            </w:pPr>
            <w:r>
              <w:t xml:space="preserve">Extinct</w:t>
            </w:r>
          </w:p>
        </w:tc>
        <w:tc>
          <w:tcPr/>
          <w:p>
            <w:pPr>
              <w:pStyle w:val="Compact"/>
              <w:jc w:val="left"/>
            </w:pPr>
            <w:r>
              <w:t xml:space="preserve">0.00</w:t>
            </w:r>
          </w:p>
        </w:tc>
      </w:tr>
      <w:tr>
        <w:tc>
          <w:tcPr/>
          <w:p>
            <w:pPr>
              <w:pStyle w:val="Compact"/>
              <w:jc w:val="left"/>
            </w:pPr>
            <w:r>
              <w:t xml:space="preserve">DD</w:t>
            </w:r>
          </w:p>
        </w:tc>
        <w:tc>
          <w:tcPr/>
          <w:p>
            <w:pPr>
              <w:pStyle w:val="Compact"/>
              <w:jc w:val="left"/>
            </w:pPr>
            <w:r>
              <w:t xml:space="preserve">Data Deficient</w:t>
            </w:r>
          </w:p>
        </w:tc>
        <w:tc>
          <w:tcPr/>
          <w:p>
            <w:pPr>
              <w:pStyle w:val="Compact"/>
              <w:jc w:val="left"/>
            </w:pPr>
            <w:r>
              <w:t xml:space="preserve">Not assigned a weight in the current prep (treated as missing for weighting)</w:t>
            </w:r>
          </w:p>
        </w:tc>
      </w:tr>
    </w:tbl>
    <w:bookmarkEnd w:id="142"/>
    <w:bookmarkStart w:id="152" w:name="cites-appendix-weights"/>
    <w:p>
      <w:pPr>
        <w:pStyle w:val="Heading3"/>
      </w:pPr>
      <w:r>
        <w:t xml:space="preserve">7.2.3 CITES Appendix weights</w:t>
      </w:r>
    </w:p>
    <w:tbl>
      <w:tblPr>
        <w:tblStyle w:val="Table"/>
        <w:tblW w:type="pct" w:w="5000"/>
        <w:tblLook w:firstRow="1" w:lastRow="0" w:firstColumn="0" w:lastColumn="0" w:noHBand="0" w:noVBand="0" w:val="0020"/>
        <w:jc w:val="start"/>
        <w:tblLayout w:type="fixed"/>
      </w:tblPr>
      <w:tblGrid>
        <w:gridCol w:w="2933"/>
        <w:gridCol w:w="2640"/>
        <w:gridCol w:w="2346"/>
      </w:tblGrid>
      <w:tr>
        <w:trPr>
          <w:tblHeader w:val="true"/>
        </w:trPr>
        <w:tc>
          <w:tcPr/>
          <w:p>
            <w:pPr>
              <w:pStyle w:val="Compact"/>
              <w:jc w:val="left"/>
            </w:pPr>
            <w:r>
              <w:t xml:space="preserve">Appendix</w:t>
            </w:r>
          </w:p>
        </w:tc>
        <w:tc>
          <w:tcPr/>
          <w:p>
            <w:pPr>
              <w:pStyle w:val="Compact"/>
              <w:jc w:val="left"/>
            </w:pPr>
            <w:r>
              <w:t xml:space="preserve">Meaning</w:t>
            </w:r>
          </w:p>
        </w:tc>
        <w:tc>
          <w:tcPr/>
          <w:p>
            <w:pPr>
              <w:pStyle w:val="Compact"/>
              <w:jc w:val="left"/>
            </w:pPr>
            <w:r>
              <w:t xml:space="preserve">Weight</w:t>
            </w:r>
          </w:p>
        </w:tc>
      </w:tr>
      <w:tr>
        <w:tc>
          <w:tcPr/>
          <w:p>
            <w:pPr>
              <w:pStyle w:val="Compact"/>
              <w:jc w:val="left"/>
            </w:pPr>
            <w:r>
              <w:t xml:space="preserve">Not listed</w:t>
            </w:r>
          </w:p>
        </w:tc>
        <w:tc>
          <w:tcPr/>
          <w:p>
            <w:pPr>
              <w:pStyle w:val="Compact"/>
              <w:jc w:val="left"/>
            </w:pPr>
            <w:r>
              <w:t xml:space="preserve">Species not listed under a CITES Appendix</w:t>
            </w:r>
          </w:p>
        </w:tc>
        <w:tc>
          <w:tcPr/>
          <w:p>
            <w:pPr>
              <w:pStyle w:val="Compact"/>
              <w:jc w:val="left"/>
            </w:pPr>
            <w:r>
              <w:t xml:space="preserve">1.00</w:t>
            </w:r>
          </w:p>
        </w:tc>
      </w:tr>
      <w:tr>
        <w:tc>
          <w:tcPr/>
          <w:p>
            <w:pPr>
              <w:pStyle w:val="Compact"/>
              <w:jc w:val="left"/>
            </w:pPr>
            <w:r>
              <w:t xml:space="preserve">III</w:t>
            </w:r>
          </w:p>
        </w:tc>
        <w:tc>
          <w:tcPr/>
          <w:p>
            <w:pPr>
              <w:pStyle w:val="Compact"/>
              <w:jc w:val="left"/>
            </w:pPr>
            <w:r>
              <w:t xml:space="preserve">Species protected in at least one country that has asked other CITES Parties for assistance in controlling trade</w:t>
            </w:r>
          </w:p>
        </w:tc>
        <w:tc>
          <w:tcPr/>
          <w:p>
            <w:pPr>
              <w:pStyle w:val="Compact"/>
              <w:jc w:val="left"/>
            </w:pPr>
            <w:r>
              <w:t xml:space="preserve">0.75</w:t>
            </w:r>
          </w:p>
        </w:tc>
      </w:tr>
      <w:tr>
        <w:tc>
          <w:tcPr/>
          <w:p>
            <w:pPr>
              <w:pStyle w:val="Compact"/>
              <w:jc w:val="left"/>
            </w:pPr>
            <w:r>
              <w:t xml:space="preserve">II</w:t>
            </w:r>
          </w:p>
        </w:tc>
        <w:tc>
          <w:tcPr/>
          <w:p>
            <w:pPr>
              <w:pStyle w:val="Compact"/>
              <w:jc w:val="left"/>
            </w:pPr>
            <w:r>
              <w:t xml:space="preserve">Species not necessarily threatened with extinction now, but that may become so unless trade is closely controlled</w:t>
            </w:r>
          </w:p>
        </w:tc>
        <w:tc>
          <w:tcPr/>
          <w:p>
            <w:pPr>
              <w:pStyle w:val="Compact"/>
              <w:jc w:val="left"/>
            </w:pPr>
            <w:r>
              <w:t xml:space="preserve">0.50</w:t>
            </w:r>
          </w:p>
        </w:tc>
      </w:tr>
      <w:tr>
        <w:tc>
          <w:tcPr/>
          <w:p>
            <w:pPr>
              <w:pStyle w:val="Compact"/>
              <w:jc w:val="left"/>
            </w:pPr>
            <w:r>
              <w:t xml:space="preserve">I</w:t>
            </w:r>
          </w:p>
        </w:tc>
        <w:tc>
          <w:tcPr/>
          <w:p>
            <w:pPr>
              <w:pStyle w:val="Compact"/>
              <w:jc w:val="left"/>
            </w:pPr>
            <w:r>
              <w:t xml:space="preserve">Species threatened with extinction; international trade is generally prohibited except in exceptional circumstances</w:t>
            </w:r>
          </w:p>
        </w:tc>
        <w:tc>
          <w:tcPr/>
          <w:p>
            <w:pPr>
              <w:pStyle w:val="Compact"/>
              <w:jc w:val="left"/>
            </w:pPr>
            <w:r>
              <w:t xml:space="preserve">0.25</w:t>
            </w:r>
          </w:p>
        </w:tc>
      </w:tr>
    </w:tbl>
    <w:p>
      <w:pPr>
        <w:pStyle w:val="BodyText"/>
      </w:pPr>
      <w:r>
        <w:t xml:space="preserve">Species occurrence points (presence and absence with coordinates; Morzaria-Luna et al. 2027) were intersected with OHI marine regions and the inland 10 km buffer to assign regions. Risk status time series were assembled from NOM-059 (2010, 2019, 2021, 2025 draft), IUCN, and CITES.</w:t>
      </w:r>
    </w:p>
    <w:p>
      <w:pPr>
        <w:pStyle w:val="BodyText"/>
      </w:pPr>
      <w:r>
        <w:rPr>
          <w:bCs/>
          <w:b/>
        </w:rPr>
        <w:t xml:space="preserve">Data sources</w:t>
      </w:r>
    </w:p>
    <w:p>
      <w:pPr>
        <w:numPr>
          <w:ilvl w:val="0"/>
          <w:numId w:val="1037"/>
        </w:numPr>
        <w:pStyle w:val="Compact"/>
      </w:pPr>
      <w:r>
        <w:t xml:space="preserve">Expert Working Group iconic species list</w:t>
      </w:r>
    </w:p>
    <w:p>
      <w:pPr>
        <w:numPr>
          <w:ilvl w:val="0"/>
          <w:numId w:val="1037"/>
        </w:numPr>
        <w:pStyle w:val="Compact"/>
      </w:pPr>
      <w:r>
        <w:t xml:space="preserve">Species occurrence (presence and absence): Morzaria-Luna, H., R. Cavieses-Núñez, J.M. Dorantes-Hernández, and C.R. Navarrete-Torices. 2027. Development of the Atlantis ecosystem model for the Gulf of California. Technical memorandum. CEDO Intercultural.</w:t>
      </w:r>
    </w:p>
    <w:p>
      <w:pPr>
        <w:numPr>
          <w:ilvl w:val="0"/>
          <w:numId w:val="1037"/>
        </w:numPr>
        <w:pStyle w:val="Compact"/>
      </w:pPr>
      <w:r>
        <w:t xml:space="preserve">Risk status: NOM-059-SEMARNAT, IUCN Red List, and CITES</w:t>
      </w:r>
    </w:p>
    <w:p>
      <w:pPr>
        <w:numPr>
          <w:ilvl w:val="0"/>
          <w:numId w:val="1037"/>
        </w:numPr>
        <w:pStyle w:val="Compact"/>
      </w:pPr>
      <w:r>
        <w:t xml:space="preserve">Hierarchical decision as above; then mean risk weight across species in each region times 100</w:t>
      </w:r>
      <w:r>
        <w:br/>
      </w:r>
      <w:r>
        <w:rPr>
          <w:bCs/>
          <w:b/>
        </w:rPr>
        <w:t xml:space="preserve">Years:</w:t>
      </w:r>
      <w:r>
        <w:t xml:space="preserve"> </w:t>
      </w:r>
      <w:r>
        <w:t xml:space="preserve">2010-2025 (plot below focuses on the CCE overlapping window used in the SP merge, plus the full series for context)</w:t>
      </w:r>
    </w:p>
    <w:p>
      <w:pPr>
        <w:pStyle w:val="FirstParagraph"/>
      </w:pPr>
      <w:r>
        <w:t xml:space="preserve">Version 2 iconic species list edits are done for now. If anyone feels strongly about big changes, please tell me (Sophia); feedback can be incorporated after EWG 3.2.</w:t>
      </w:r>
    </w:p>
    <w:p>
      <w:pPr>
        <w:pStyle w:val="BodyText"/>
      </w:pPr>
      <w:r>
        <w:t xml:space="preserve">Review materials:</w:t>
      </w:r>
    </w:p>
    <w:p>
      <w:pPr>
        <w:numPr>
          <w:ilvl w:val="0"/>
          <w:numId w:val="1038"/>
        </w:numPr>
        <w:pStyle w:val="Compact"/>
      </w:pPr>
      <w:hyperlink r:id="rId143">
        <w:r>
          <w:rPr>
            <w:rStyle w:val="Hyperlink"/>
          </w:rPr>
          <w:t xml:space="preserve">Iconic Species List</w:t>
        </w:r>
      </w:hyperlink>
    </w:p>
    <w:p>
      <w:pPr>
        <w:numPr>
          <w:ilvl w:val="0"/>
          <w:numId w:val="1038"/>
        </w:numPr>
        <w:pStyle w:val="Compact"/>
      </w:pPr>
      <w:hyperlink r:id="rId144">
        <w:r>
          <w:rPr>
            <w:rStyle w:val="Hyperlink"/>
          </w:rPr>
          <w:t xml:space="preserve">Special Cases within IUCN</w:t>
        </w:r>
      </w:hyperlink>
    </w:p>
    <w:p>
      <w:pPr>
        <w:numPr>
          <w:ilvl w:val="0"/>
          <w:numId w:val="1038"/>
        </w:numPr>
        <w:pStyle w:val="Compact"/>
      </w:pPr>
      <w:hyperlink r:id="rId145">
        <w:r>
          <w:rPr>
            <w:rStyle w:val="Hyperlink"/>
          </w:rPr>
          <w:t xml:space="preserve">Special Cases within CITES</w:t>
        </w:r>
      </w:hyperlink>
    </w:p>
    <w:p>
      <w:pPr>
        <w:pStyle w:val="CaptionedFigure"/>
      </w:pPr>
      <w:r>
        <w:drawing>
          <wp:inline>
            <wp:extent cx="5334000" cy="5334000"/>
            <wp:effectExtent b="0" l="0" r="0" t="0"/>
            <wp:docPr descr="Figure 24. Iconic Species (ICO) current status by region for 2019-2025, the window we pair with CCE when building the overall Sense of Place series. For each region-year, ICO is 100 times the mean risk weight of culturally iconic species that occur in that region. Risk weights come from a hierarchy across Mexican NOM-059 categories, IUCN Red List status, and CITES listing, so more threatened status lowers the species weight and pulls the regional mean down. Species presence uses Gulf occurrence data from Morzaria-Luna et al. 2027, intersected with OHI marine regions and a 10 km inland buffer." title="" id="147" name="Picture"/>
            <a:graphic>
              <a:graphicData uri="http://schemas.openxmlformats.org/drawingml/2006/picture">
                <pic:pic>
                  <pic:nvPicPr>
                    <pic:cNvPr descr="ewg32_sp_docx_files/figure-docx/unnamed-chunk-26-1.png" id="148" name="Picture"/>
                    <pic:cNvPicPr>
                      <a:picLocks noChangeArrowheads="1" noChangeAspect="1"/>
                    </pic:cNvPicPr>
                  </pic:nvPicPr>
                  <pic:blipFill>
                    <a:blip r:embed="rId14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24. Iconic Species (ICO) current status by region for 2019-2025, the window we pair with CCE when building the overall Sense of Place series. For each region-year, ICO is 100 times the mean risk weight of culturally iconic species that occur in that region. Risk weights come from a hierarchy across Mexican NOM-059 categories, IUCN Red List status, and CITES listing, so more threatened status lowers the species weight and pulls the regional mean down. Species presence uses Gulf occurrence data from Morzaria-Luna et al. 2027, intersected with OHI marine regions and a 10 km inland buffer.</w:t>
      </w:r>
    </w:p>
    <w:p>
      <w:pPr>
        <w:pStyle w:val="CaptionedFigure"/>
      </w:pPr>
      <w:r>
        <w:drawing>
          <wp:inline>
            <wp:extent cx="5334000" cy="5334000"/>
            <wp:effectExtent b="0" l="0" r="0" t="0"/>
            <wp:docPr descr="Figure 25. Full Iconic Species time series by region from 2010 through 2025, using the same risk-weight method as Figure 24. This longer window shows how NOM-059, IUCN, and CITES status changes over time affect regional ICO scores beyond the shorter 2019-2025 SP reporting period." title="" id="150" name="Picture"/>
            <a:graphic>
              <a:graphicData uri="http://schemas.openxmlformats.org/drawingml/2006/picture">
                <pic:pic>
                  <pic:nvPicPr>
                    <pic:cNvPr descr="ewg32_sp_docx_files/figure-docx/unnamed-chunk-27-1.png" id="151" name="Picture"/>
                    <pic:cNvPicPr>
                      <a:picLocks noChangeArrowheads="1" noChangeAspect="1"/>
                    </pic:cNvPicPr>
                  </pic:nvPicPr>
                  <pic:blipFill>
                    <a:blip r:embed="rId14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25. Full Iconic Species time series by region from 2010 through 2025, using the same risk-weight method as Figure 24. This longer window shows how NOM-059, IUCN, and CITES status changes over time affect regional ICO scores beyond the shorter 2019-2025 SP reporting period.</w:t>
      </w:r>
    </w:p>
    <w:p>
      <w:r>
        <w:pict>
          <v:rect style="width:0;height:1.5pt" o:hralign="center" o:hrstd="t" o:hr="t"/>
        </w:pict>
      </w:r>
    </w:p>
    <w:bookmarkEnd w:id="152"/>
    <w:bookmarkEnd w:id="153"/>
    <w:bookmarkEnd w:id="154"/>
    <w:bookmarkStart w:id="155" w:name="topics-for-discussion"/>
    <w:p>
      <w:pPr>
        <w:pStyle w:val="Heading1"/>
      </w:pPr>
      <w:r>
        <w:t xml:space="preserve">8. Topics for discussion</w:t>
      </w:r>
    </w:p>
    <w:p>
      <w:pPr>
        <w:pStyle w:val="FirstParagraph"/>
      </w:pPr>
      <w:r>
        <w:t xml:space="preserve">We plan to discuss these items with the group at EWG 3.2, though we encourage feedback prior to or after the meeting as well. We are especially interested in your feedback on the</w:t>
      </w:r>
      <w:r>
        <w:t xml:space="preserve"> </w:t>
      </w:r>
      <w:r>
        <w:rPr>
          <w:bCs/>
          <w:b/>
        </w:rPr>
        <w:t xml:space="preserve">Lasting Special Places methods</w:t>
      </w:r>
      <w:r>
        <w:t xml:space="preserve"> </w:t>
      </w:r>
      <w:r>
        <w:t xml:space="preserve">(categories, protections, floors, and data sources) in the LSP section above. Additionally, if you have any opinions on these topics:</w:t>
      </w:r>
    </w:p>
    <w:p>
      <w:pPr>
        <w:numPr>
          <w:ilvl w:val="0"/>
          <w:numId w:val="1039"/>
        </w:numPr>
      </w:pPr>
      <w:r>
        <w:rPr>
          <w:bCs/>
          <w:b/>
        </w:rPr>
        <w:t xml:space="preserve">Equal weights for CCE, LSP, and ICO.</w:t>
      </w:r>
      <w:r>
        <w:t xml:space="preserve"> </w:t>
      </w:r>
      <w:r>
        <w:t xml:space="preserve">Confirm whether equal weights are the final choice, or whether any subgoal should be weighted differently.</w:t>
      </w:r>
    </w:p>
    <w:p>
      <w:pPr>
        <w:numPr>
          <w:ilvl w:val="0"/>
          <w:numId w:val="1039"/>
        </w:numPr>
      </w:pPr>
      <w:r>
        <w:rPr>
          <w:bCs/>
          <w:b/>
        </w:rPr>
        <w:t xml:space="preserve">Dive site statute-based minimum outside protected areas (currently 58) and coquina statute-based minimum (currently 30).</w:t>
      </w:r>
      <w:r>
        <w:t xml:space="preserve"> </w:t>
      </w:r>
      <w:r>
        <w:t xml:space="preserve">Confirm whether these defaults remain the intended values, or whether the group prefers another approach.</w:t>
      </w:r>
    </w:p>
    <w:p>
      <w:pPr>
        <w:numPr>
          <w:ilvl w:val="0"/>
          <w:numId w:val="1039"/>
        </w:numPr>
      </w:pPr>
      <w:r>
        <w:rPr>
          <w:bCs/>
          <w:b/>
        </w:rPr>
        <w:t xml:space="preserve">Iconic species list.</w:t>
      </w:r>
      <w:r>
        <w:t xml:space="preserve"> </w:t>
      </w:r>
      <w:r>
        <w:t xml:space="preserve">Version 2 list edits are done for now. If anyone feels strongly about big changes, please tell me (Sophia); feedback can be incorporated after EWG 3.2. Review:</w:t>
      </w:r>
    </w:p>
    <w:p>
      <w:pPr>
        <w:numPr>
          <w:ilvl w:val="1"/>
          <w:numId w:val="1040"/>
        </w:numPr>
        <w:pStyle w:val="Compact"/>
      </w:pPr>
      <w:hyperlink r:id="rId143">
        <w:r>
          <w:rPr>
            <w:rStyle w:val="Hyperlink"/>
          </w:rPr>
          <w:t xml:space="preserve">Iconic Species List</w:t>
        </w:r>
      </w:hyperlink>
    </w:p>
    <w:p>
      <w:pPr>
        <w:numPr>
          <w:ilvl w:val="1"/>
          <w:numId w:val="1040"/>
        </w:numPr>
        <w:pStyle w:val="Compact"/>
      </w:pPr>
      <w:hyperlink r:id="rId144">
        <w:r>
          <w:rPr>
            <w:rStyle w:val="Hyperlink"/>
          </w:rPr>
          <w:t xml:space="preserve">Special Cases within IUCN</w:t>
        </w:r>
      </w:hyperlink>
    </w:p>
    <w:p>
      <w:pPr>
        <w:numPr>
          <w:ilvl w:val="1"/>
          <w:numId w:val="1040"/>
        </w:numPr>
        <w:pStyle w:val="Compact"/>
      </w:pPr>
      <w:hyperlink r:id="rId145">
        <w:r>
          <w:rPr>
            <w:rStyle w:val="Hyperlink"/>
          </w:rPr>
          <w:t xml:space="preserve">Special Cases within CITES</w:t>
        </w:r>
      </w:hyperlink>
    </w:p>
    <w:p>
      <w:pPr>
        <w:numPr>
          <w:ilvl w:val="0"/>
          <w:numId w:val="1039"/>
        </w:numPr>
      </w:pPr>
      <w:r>
        <w:rPr>
          <w:bCs/>
          <w:b/>
        </w:rPr>
        <w:t xml:space="preserve">Acknowledgment language.</w:t>
      </w:r>
      <w:r>
        <w:t xml:space="preserve"> </w:t>
      </w:r>
      <w:r>
        <w:t xml:space="preserve">Any preferred wording or contacts for acknowledging pueblos originarios without scoring what we have not been invited to score (</w:t>
      </w:r>
      <w:hyperlink w:anchor="looking-forward-pueblos">
        <w:r>
          <w:rPr>
            <w:rStyle w:val="Hyperlink"/>
          </w:rPr>
          <w:t xml:space="preserve">Acknowledgment: Pueblos originarios</w:t>
        </w:r>
      </w:hyperlink>
      <w:r>
        <w:t xml:space="preserve">).</w:t>
      </w:r>
    </w:p>
    <w:p>
      <w:r>
        <w:pict>
          <v:rect style="width:0;height:1.5pt" o:hralign="center" o:hrstd="t" o:hr="t"/>
        </w:pict>
      </w:r>
    </w:p>
    <w:bookmarkEnd w:id="155"/>
    <w:bookmarkStart w:id="157" w:name="related-goalkeeper-page"/>
    <w:p>
      <w:pPr>
        <w:pStyle w:val="Heading1"/>
      </w:pPr>
      <w:r>
        <w:t xml:space="preserve">9. Related Goalkeeper page</w:t>
      </w:r>
    </w:p>
    <w:p>
      <w:pPr>
        <w:pStyle w:val="FirstParagraph"/>
      </w:pPr>
      <w:r>
        <w:t xml:space="preserve">For earlier Goalkeeper process notes, see the</w:t>
      </w:r>
      <w:r>
        <w:t xml:space="preserve"> </w:t>
      </w:r>
      <w:hyperlink r:id="rId156">
        <w:r>
          <w:rPr>
            <w:rStyle w:val="Hyperlink"/>
          </w:rPr>
          <w:t xml:space="preserve">Sense of Place Goalkeeper page</w:t>
        </w:r>
      </w:hyperlink>
      <w:r>
        <w:t xml:space="preserve">.</w:t>
      </w:r>
    </w:p>
    <w:bookmarkEnd w:id="1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1" Target="media/rId131.png" /><Relationship Type="http://schemas.openxmlformats.org/officeDocument/2006/relationships/image" Id="rId112" Target="media/rId112.png" /><Relationship Type="http://schemas.openxmlformats.org/officeDocument/2006/relationships/image" Id="rId134" Target="media/rId134.png" /><Relationship Type="http://schemas.openxmlformats.org/officeDocument/2006/relationships/image" Id="rId101" Target="media/rId101.png" /><Relationship Type="http://schemas.openxmlformats.org/officeDocument/2006/relationships/image" Id="rId67" Target="media/rId67.png" /><Relationship Type="http://schemas.openxmlformats.org/officeDocument/2006/relationships/image" Id="rId93" Target="media/rId93.png" /><Relationship Type="http://schemas.openxmlformats.org/officeDocument/2006/relationships/image" Id="rId124" Target="media/rId124.png" /><Relationship Type="http://schemas.openxmlformats.org/officeDocument/2006/relationships/image" Id="rId82" Target="media/rId82.png" /><Relationship Type="http://schemas.openxmlformats.org/officeDocument/2006/relationships/image" Id="rId128" Target="media/rId128.png" /><Relationship Type="http://schemas.openxmlformats.org/officeDocument/2006/relationships/image" Id="rId109" Target="media/rId109.png" /><Relationship Type="http://schemas.openxmlformats.org/officeDocument/2006/relationships/image" Id="rId98" Target="media/rId98.png" /><Relationship Type="http://schemas.openxmlformats.org/officeDocument/2006/relationships/image" Id="rId90" Target="media/rId90.png" /><Relationship Type="http://schemas.openxmlformats.org/officeDocument/2006/relationships/image" Id="rId87" Target="media/rId87.png" /><Relationship Type="http://schemas.openxmlformats.org/officeDocument/2006/relationships/image" Id="rId121" Target="media/rId121.png" /><Relationship Type="http://schemas.openxmlformats.org/officeDocument/2006/relationships/image" Id="rId118" Target="media/rId118.png" /><Relationship Type="http://schemas.openxmlformats.org/officeDocument/2006/relationships/image" Id="rId79" Target="media/rId79.png" /><Relationship Type="http://schemas.openxmlformats.org/officeDocument/2006/relationships/image" Id="rId50" Target="media/rId50.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22" Target="media/rId22.svg" /><Relationship Type="http://schemas.openxmlformats.org/officeDocument/2006/relationships/hyperlink" Id="rId143" Target="https://docs.google.com/spreadsheets/d/1D6VWMVoEhhkJf7aqx0DaqKFaP6XKi8OW1fAR9l_XfhA/edit?gid=1004292496#gid=1004292496" TargetMode="External" /><Relationship Type="http://schemas.openxmlformats.org/officeDocument/2006/relationships/hyperlink" Id="rId145" Target="https://docs.google.com/spreadsheets/d/1D6VWMVoEhhkJf7aqx0DaqKFaP6XKi8OW1fAR9l_XfhA/edit?gid=2124372570#gid=2124372570" TargetMode="External" /><Relationship Type="http://schemas.openxmlformats.org/officeDocument/2006/relationships/hyperlink" Id="rId144" Target="https://docs.google.com/spreadsheets/d/1D6VWMVoEhhkJf7aqx0DaqKFaP6XKi8OW1fAR9l_XfhA/edit?gid=2131308524#gid=2131308524" TargetMode="External" /><Relationship Type="http://schemas.openxmlformats.org/officeDocument/2006/relationships/hyperlink" Id="rId76" Target="https://docs.google.com/spreadsheets/d/1RwNTzRZdBIDtzi7d1ceFxhNmVghN47NxTgrhZV8O2SM/edit?gid=1057003520#gid=1057003520" TargetMode="External" /><Relationship Type="http://schemas.openxmlformats.org/officeDocument/2006/relationships/hyperlink" Id="rId72" Target="https://docs.google.com/spreadsheets/d/1RwNTzRZdBIDtzi7d1ceFxhNmVghN47NxTgrhZV8O2SM/edit?gid=1393089223#gid=1393089223" TargetMode="External" /><Relationship Type="http://schemas.openxmlformats.org/officeDocument/2006/relationships/hyperlink" Id="rId74" Target="https://docs.google.com/spreadsheets/d/1RwNTzRZdBIDtzi7d1ceFxhNmVghN47NxTgrhZV8O2SM/edit?gid=1449376732#gid=1449376732" TargetMode="External" /><Relationship Type="http://schemas.openxmlformats.org/officeDocument/2006/relationships/hyperlink" Id="rId75" Target="https://docs.google.com/spreadsheets/d/1RwNTzRZdBIDtzi7d1ceFxhNmVghN47NxTgrhZV8O2SM/edit?gid=193789975#gid=193789975" TargetMode="External" /><Relationship Type="http://schemas.openxmlformats.org/officeDocument/2006/relationships/hyperlink" Id="rId73" Target="https://docs.google.com/spreadsheets/d/1RwNTzRZdBIDtzi7d1ceFxhNmVghN47NxTgrhZV8O2SM/edit?gid=577320124#gid=577320124" TargetMode="External" /><Relationship Type="http://schemas.openxmlformats.org/officeDocument/2006/relationships/hyperlink" Id="rId71" Target="https://docs.google.com/spreadsheets/d/1RwNTzRZdBIDtzi7d1ceFxhNmVghN47NxTgrhZV8O2SM/edit?gid=895918592#gid=895918592" TargetMode="External" /><Relationship Type="http://schemas.openxmlformats.org/officeDocument/2006/relationships/hyperlink" Id="rId96" Target="https://dof.gob.mx/nota_to_doc.php%3Fcodnota%3D5450981" TargetMode="External" /><Relationship Type="http://schemas.openxmlformats.org/officeDocument/2006/relationships/hyperlink" Id="rId86" Target="https://doi.org/10.1016/j.marpol.2021.104410" TargetMode="External" /><Relationship Type="http://schemas.openxmlformats.org/officeDocument/2006/relationships/hyperlink" Id="rId105" Target="https://ereaceves.shinyapps.io/Tapp" TargetMode="External" /><Relationship Type="http://schemas.openxmlformats.org/officeDocument/2006/relationships/hyperlink" Id="rId104" Target="https://journals.plos.org/plosone/article?id=10.1371/journal.pone.0286739#sec018" TargetMode="External" /><Relationship Type="http://schemas.openxmlformats.org/officeDocument/2006/relationships/hyperlink" Id="rId108" Target="https://monumentoshistoricos.inah.gob.mx/" TargetMode="External" /><Relationship Type="http://schemas.openxmlformats.org/officeDocument/2006/relationships/hyperlink" Id="rId20" Target="https://ohi-goc.github.io/OHI_GOC/chapters/ewg32_sp.html" TargetMode="External" /><Relationship Type="http://schemas.openxmlformats.org/officeDocument/2006/relationships/hyperlink" Id="rId156" Target="https://ohi-goc.github.io/OHI_GOC/chapters/sp.html" TargetMode="External" /><Relationship Type="http://schemas.openxmlformats.org/officeDocument/2006/relationships/hyperlink" Id="rId116" Target="https://open.uapress.arizona.edu/read/cfc81084-f110-4c08-8b30-d4292cd1dfef/section/385f1d01-0f21-45e7-b20a-2c46c14f8547#fig73" TargetMode="External" /><Relationship Type="http://schemas.openxmlformats.org/officeDocument/2006/relationships/hyperlink" Id="rId78" Target="https://simec.conanp.gob.mx/pdf_evaluacion/Documento_Tecnico_iefectividad_2025.pdf" TargetMode="External" /><Relationship Type="http://schemas.openxmlformats.org/officeDocument/2006/relationships/hyperlink" Id="rId42" Target="https://www.adoptaunaplaya.com/playas/" TargetMode="External" /><Relationship Type="http://schemas.openxmlformats.org/officeDocument/2006/relationships/hyperlink" Id="rId107" Target="https://www.inah.gob.mx/zonas-arqueologicas" TargetMode="External" /><Relationship Type="http://schemas.openxmlformats.org/officeDocument/2006/relationships/hyperlink" Id="rId115" Target="https://www.researchgate.net/publication/347080271_Prehistoric_Adaptation_Identity_and_Interaction_Along_the_Northern_Gulf_of_California/figures?lo=2" TargetMode="External" /><Relationship Type="http://schemas.openxmlformats.org/officeDocument/2006/relationships/hyperlink" Id="rId25" Target="mailto:smanos@nceas.ucsb.edu" TargetMode="External" /></Relationships>
</file>

<file path=word/_rels/footnotes.xml.rels><?xml version="1.0" encoding="UTF-8"?><Relationships xmlns="http://schemas.openxmlformats.org/package/2006/relationships"><Relationship Type="http://schemas.openxmlformats.org/officeDocument/2006/relationships/hyperlink" Id="rId143" Target="https://docs.google.com/spreadsheets/d/1D6VWMVoEhhkJf7aqx0DaqKFaP6XKi8OW1fAR9l_XfhA/edit?gid=1004292496#gid=1004292496" TargetMode="External" /><Relationship Type="http://schemas.openxmlformats.org/officeDocument/2006/relationships/hyperlink" Id="rId145" Target="https://docs.google.com/spreadsheets/d/1D6VWMVoEhhkJf7aqx0DaqKFaP6XKi8OW1fAR9l_XfhA/edit?gid=2124372570#gid=2124372570" TargetMode="External" /><Relationship Type="http://schemas.openxmlformats.org/officeDocument/2006/relationships/hyperlink" Id="rId144" Target="https://docs.google.com/spreadsheets/d/1D6VWMVoEhhkJf7aqx0DaqKFaP6XKi8OW1fAR9l_XfhA/edit?gid=2131308524#gid=2131308524" TargetMode="External" /><Relationship Type="http://schemas.openxmlformats.org/officeDocument/2006/relationships/hyperlink" Id="rId76" Target="https://docs.google.com/spreadsheets/d/1RwNTzRZdBIDtzi7d1ceFxhNmVghN47NxTgrhZV8O2SM/edit?gid=1057003520#gid=1057003520" TargetMode="External" /><Relationship Type="http://schemas.openxmlformats.org/officeDocument/2006/relationships/hyperlink" Id="rId72" Target="https://docs.google.com/spreadsheets/d/1RwNTzRZdBIDtzi7d1ceFxhNmVghN47NxTgrhZV8O2SM/edit?gid=1393089223#gid=1393089223" TargetMode="External" /><Relationship Type="http://schemas.openxmlformats.org/officeDocument/2006/relationships/hyperlink" Id="rId74" Target="https://docs.google.com/spreadsheets/d/1RwNTzRZdBIDtzi7d1ceFxhNmVghN47NxTgrhZV8O2SM/edit?gid=1449376732#gid=1449376732" TargetMode="External" /><Relationship Type="http://schemas.openxmlformats.org/officeDocument/2006/relationships/hyperlink" Id="rId75" Target="https://docs.google.com/spreadsheets/d/1RwNTzRZdBIDtzi7d1ceFxhNmVghN47NxTgrhZV8O2SM/edit?gid=193789975#gid=193789975" TargetMode="External" /><Relationship Type="http://schemas.openxmlformats.org/officeDocument/2006/relationships/hyperlink" Id="rId73" Target="https://docs.google.com/spreadsheets/d/1RwNTzRZdBIDtzi7d1ceFxhNmVghN47NxTgrhZV8O2SM/edit?gid=577320124#gid=577320124" TargetMode="External" /><Relationship Type="http://schemas.openxmlformats.org/officeDocument/2006/relationships/hyperlink" Id="rId71" Target="https://docs.google.com/spreadsheets/d/1RwNTzRZdBIDtzi7d1ceFxhNmVghN47NxTgrhZV8O2SM/edit?gid=895918592#gid=895918592" TargetMode="External" /><Relationship Type="http://schemas.openxmlformats.org/officeDocument/2006/relationships/hyperlink" Id="rId96" Target="https://dof.gob.mx/nota_to_doc.php%3Fcodnota%3D5450981" TargetMode="External" /><Relationship Type="http://schemas.openxmlformats.org/officeDocument/2006/relationships/hyperlink" Id="rId86" Target="https://doi.org/10.1016/j.marpol.2021.104410" TargetMode="External" /><Relationship Type="http://schemas.openxmlformats.org/officeDocument/2006/relationships/hyperlink" Id="rId105" Target="https://ereaceves.shinyapps.io/Tapp" TargetMode="External" /><Relationship Type="http://schemas.openxmlformats.org/officeDocument/2006/relationships/hyperlink" Id="rId104" Target="https://journals.plos.org/plosone/article?id=10.1371/journal.pone.0286739#sec018" TargetMode="External" /><Relationship Type="http://schemas.openxmlformats.org/officeDocument/2006/relationships/hyperlink" Id="rId108" Target="https://monumentoshistoricos.inah.gob.mx/" TargetMode="External" /><Relationship Type="http://schemas.openxmlformats.org/officeDocument/2006/relationships/hyperlink" Id="rId20" Target="https://ohi-goc.github.io/OHI_GOC/chapters/ewg32_sp.html" TargetMode="External" /><Relationship Type="http://schemas.openxmlformats.org/officeDocument/2006/relationships/hyperlink" Id="rId156" Target="https://ohi-goc.github.io/OHI_GOC/chapters/sp.html" TargetMode="External" /><Relationship Type="http://schemas.openxmlformats.org/officeDocument/2006/relationships/hyperlink" Id="rId116" Target="https://open.uapress.arizona.edu/read/cfc81084-f110-4c08-8b30-d4292cd1dfef/section/385f1d01-0f21-45e7-b20a-2c46c14f8547#fig73" TargetMode="External" /><Relationship Type="http://schemas.openxmlformats.org/officeDocument/2006/relationships/hyperlink" Id="rId78" Target="https://simec.conanp.gob.mx/pdf_evaluacion/Documento_Tecnico_iefectividad_2025.pdf" TargetMode="External" /><Relationship Type="http://schemas.openxmlformats.org/officeDocument/2006/relationships/hyperlink" Id="rId42" Target="https://www.adoptaunaplaya.com/playas/" TargetMode="External" /><Relationship Type="http://schemas.openxmlformats.org/officeDocument/2006/relationships/hyperlink" Id="rId107" Target="https://www.inah.gob.mx/zonas-arqueologicas" TargetMode="External" /><Relationship Type="http://schemas.openxmlformats.org/officeDocument/2006/relationships/hyperlink" Id="rId115" Target="https://www.researchgate.net/publication/347080271_Prehistoric_Adaptation_Identity_and_Interaction_Along_the_Northern_Gulf_of_California/figures?lo=2" TargetMode="External" /><Relationship Type="http://schemas.openxmlformats.org/officeDocument/2006/relationships/hyperlink" Id="rId25" Target="mailto:smanos@nceas.ucsb.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Sense of Place EWG 3.2</dc:title>
  <dc:creator/>
  <cp:keywords/>
  <dcterms:created xsi:type="dcterms:W3CDTF">2026-08-11T17:11:17Z</dcterms:created>
  <dcterms:modified xsi:type="dcterms:W3CDTF">2026-08-11T17:11:17Z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