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CCE</w:t>
      </w:r>
      <w:r>
        <w:t xml:space="preserve"> </w:t>
      </w:r>
      <w:r>
        <w:t xml:space="preserve">with</w:t>
      </w:r>
      <w:r>
        <w:t xml:space="preserve"> </w:t>
      </w:r>
      <w:r>
        <w:t xml:space="preserve">Security:</w:t>
      </w:r>
      <w:r>
        <w:t xml:space="preserve"> </w:t>
      </w:r>
      <w:r>
        <w:t xml:space="preserve">equations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3b189f73b332174836db6d654985ccdb3166fcb"/>
    <w:p>
      <w:pPr>
        <w:pStyle w:val="Heading1"/>
      </w:pPr>
      <w:r>
        <w:t xml:space="preserve">1. Coastal Community Engagement with Security</w:t>
      </w:r>
    </w:p>
    <w:p>
      <w:pPr>
        <w:pStyle w:val="FirstParagraph"/>
      </w:pPr>
      <w:r>
        <w:t xml:space="preserve">This short note documents the proposed equations for incorporating</w:t>
      </w:r>
      <w:r>
        <w:t xml:space="preserve"> </w:t>
      </w:r>
      <w:r>
        <w:rPr>
          <w:bCs/>
          <w:b/>
        </w:rPr>
        <w:t xml:space="preserve">Security</w:t>
      </w:r>
      <w:r>
        <w:t xml:space="preserve"> </w:t>
      </w:r>
      <w:r>
        <w:t xml:space="preserve">(ENSU perception of safety) as a third subcomponent of Coastal Community Engagement (</w:t>
      </w:r>
      <w:r>
        <w:rPr>
          <w:bCs/>
          <w:b/>
        </w:rPr>
        <w:t xml:space="preserve">CCE</w:t>
      </w:r>
      <w:r>
        <w:t xml:space="preserve">) within Sense of Place (</w:t>
      </w:r>
      <w:r>
        <w:rPr>
          <w:bCs/>
          <w:b/>
        </w:rPr>
        <w:t xml:space="preserve">SP</w:t>
      </w:r>
      <w:r>
        <w:t xml:space="preserve">).</w:t>
      </w:r>
    </w:p>
    <w:bookmarkStart w:id="20" w:name="security-current-status"/>
    <w:p>
      <w:pPr>
        <w:pStyle w:val="Heading2"/>
      </w:pPr>
      <w:r>
        <w:t xml:space="preserve">1.1 Security current status</w:t>
      </w:r>
    </w:p>
    <w:p>
      <w:pPr>
        <w:pStyle w:val="FirstParagraph"/>
      </w:pPr>
      <w:r>
        <w:t xml:space="preserve">Security current status is the survey-weighted share of adults who feel that living in their city is</w:t>
      </w:r>
      <w:r>
        <w:t xml:space="preserve"> </w:t>
      </w:r>
      <w:r>
        <w:rPr>
          <w:bCs/>
          <w:b/>
        </w:rPr>
        <w:t xml:space="preserve">safe</w:t>
      </w:r>
      <w:r>
        <w:t xml:space="preserve">, from INEGI’s National Survey of Urban Public Security (</w:t>
      </w:r>
      <w:r>
        <w:rPr>
          <w:bCs/>
          <w:b/>
        </w:rPr>
        <w:t xml:space="preserve">ENSU</w:t>
      </w:r>
      <w:r>
        <w:t xml:space="preserve">, March rounds). Equivalently, it is one hundred minus the percent who feel unsafe: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r>
            <m:rPr>
              <m:sty m:val="p"/>
            </m:rPr>
            <m:t>%</m:t>
          </m:r>
          <m:sSub>
            <m:e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or, written as the safe share directly: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 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t> </m:t>
                  </m:r>
                  <m:sSub>
                    <m:e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1"/>
        </w:numPr>
        <w:pStyle w:val="Compact"/>
      </w:pPr>
      <m:oMath>
        <m:r>
          <m:t>S</m:t>
        </m:r>
        <m:r>
          <m:t>e</m:t>
        </m:r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the Security current status for OHI GoC region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 March year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(ideal = 100)</w:t>
      </w:r>
    </w:p>
    <w:p>
      <w:pPr>
        <w:numPr>
          <w:ilvl w:val="0"/>
          <w:numId w:val="1001"/>
        </w:numPr>
        <w:pStyle w:val="Compact"/>
      </w:pPr>
      <m:oMath>
        <m:r>
          <m:rPr>
            <m:sty m:val="p"/>
          </m:rPr>
          <m:t>%</m:t>
        </m: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the ENSU-weighted percent who answered that living in their city is</w:t>
      </w:r>
      <w:r>
        <w:t xml:space="preserve"> </w:t>
      </w:r>
      <w:r>
        <w:rPr>
          <w:iCs/>
          <w:i/>
        </w:rPr>
        <w:t xml:space="preserve">inseguro</w:t>
      </w:r>
      <w:r>
        <w:t xml:space="preserve"> </w:t>
      </w:r>
      <w:r>
        <w:t xml:space="preserve">(</w:t>
      </w:r>
      <w:r>
        <w:rPr>
          <w:rStyle w:val="VerbatimChar"/>
        </w:rPr>
        <w:t xml:space="preserve">BP1_1</w:t>
      </w:r>
      <w:r>
        <w:t xml:space="preserve"> </w:t>
      </w:r>
      <w:r>
        <w:t xml:space="preserve">= 2)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person weight (</w:t>
      </w:r>
      <w:r>
        <w:rPr>
          <w:rStyle w:val="VerbatimChar"/>
        </w:rPr>
        <w:t xml:space="preserve">FAC_SEL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Respondents who answered</w:t>
      </w:r>
      <w:r>
        <w:t xml:space="preserve"> </w:t>
      </w:r>
      <w:r>
        <w:t xml:space="preserve">“</w:t>
      </w:r>
      <w:r>
        <w:t xml:space="preserve">no sabe / no responde</w:t>
      </w:r>
      <w:r>
        <w:t xml:space="preserve">”</w:t>
      </w:r>
      <w:r>
        <w:t xml:space="preserve"> </w:t>
      </w:r>
      <w:r>
        <w:t xml:space="preserve">are excluded from the percent</w:t>
      </w:r>
    </w:p>
    <w:p>
      <w:pPr>
        <w:numPr>
          <w:ilvl w:val="0"/>
          <w:numId w:val="1001"/>
        </w:numPr>
        <w:pStyle w:val="Compact"/>
      </w:pPr>
      <w:r>
        <w:t xml:space="preserve">Region totals pool people whose ENSU city maps to region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(not a simple average of city percents)</w:t>
      </w:r>
    </w:p>
    <w:p>
      <w:pPr>
        <w:pStyle w:val="FirstParagraph"/>
      </w:pPr>
      <w:r>
        <w:t xml:space="preserve">A score of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means everyone who gave a clear answer felt safe; a score of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means everyone felt unsafe.</w:t>
      </w:r>
    </w:p>
    <w:bookmarkEnd w:id="20"/>
    <w:bookmarkStart w:id="21" w:name="cce-with-three-subcomponents"/>
    <w:p>
      <w:pPr>
        <w:pStyle w:val="Heading2"/>
      </w:pPr>
      <w:r>
        <w:t xml:space="preserve">1.2 CCE with three subcomponents</w:t>
      </w:r>
    </w:p>
    <w:p>
      <w:pPr>
        <w:pStyle w:val="FirstParagraph"/>
      </w:pPr>
      <w:r>
        <w:t xml:space="preserve">With Security included, CCE is the equal-weight arithmetic mean of three layers: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C</m:t>
          </m:r>
          <m:sSub>
            <m:e>
              <m:r>
                <m:t>E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t>m</m:t>
              </m:r>
              <m:sSub>
                <m:e>
                  <m:r>
                    <m:t>a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t>u</m:t>
              </m:r>
              <m:r>
                <m:t>l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S</m:t>
              </m:r>
              <m:r>
                <m:t>e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or: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C</m:t>
          </m:r>
          <m:sSub>
            <m:e>
              <m:r>
                <m:t>E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m</m:t>
              </m:r>
              <m:sSub>
                <m:e>
                  <m:r>
                    <m:t>a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u</m:t>
              </m:r>
              <m:r>
                <m:t>l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S</m:t>
              </m:r>
              <m:r>
                <m:t>e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2"/>
        </w:numPr>
        <w:pStyle w:val="Compact"/>
      </w:pPr>
      <m:oMath>
        <m:r>
          <m:t>C</m:t>
        </m:r>
        <m:r>
          <m:t>C</m:t>
        </m:r>
        <m:sSub>
          <m:e>
            <m:r>
              <m:t>E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Coastal Community Engagement for region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 year</w:t>
      </w:r>
      <w:r>
        <w:t xml:space="preserve"> </w:t>
      </w:r>
      <m:oMath>
        <m:r>
          <m:t>t</m:t>
        </m:r>
      </m:oMath>
    </w:p>
    <w:p>
      <w:pPr>
        <w:numPr>
          <w:ilvl w:val="0"/>
          <w:numId w:val="1002"/>
        </w:numPr>
        <w:pStyle w:val="Compact"/>
      </w:pPr>
      <m:oMath>
        <m:r>
          <m:t>A</m:t>
        </m:r>
        <m:r>
          <m:t>m</m:t>
        </m:r>
        <m:sSub>
          <m:e>
            <m:r>
              <m:t>a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the Ama tu Playa / Adopta una Playa beach-adoption score</w:t>
      </w:r>
    </w:p>
    <w:p>
      <w:pPr>
        <w:numPr>
          <w:ilvl w:val="0"/>
          <w:numId w:val="1002"/>
        </w:numPr>
        <w:pStyle w:val="Compact"/>
      </w:pPr>
      <m:oMath>
        <m:r>
          <m:t>C</m:t>
        </m:r>
        <m:r>
          <m:t>u</m:t>
        </m:r>
        <m:r>
          <m:t>l</m:t>
        </m:r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the non-natural cultural places score (employees per coastal population, scaled to the 75th quantile and capped at 100)</w:t>
      </w:r>
    </w:p>
    <w:p>
      <w:pPr>
        <w:numPr>
          <w:ilvl w:val="0"/>
          <w:numId w:val="1002"/>
        </w:numPr>
        <w:pStyle w:val="Compact"/>
      </w:pPr>
      <m:oMath>
        <m:r>
          <m:t>S</m:t>
        </m:r>
        <m:r>
          <m:t>e</m:t>
        </m:r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the Security current status defined above</w:t>
      </w:r>
    </w:p>
    <w:p>
      <w:pPr>
        <w:pStyle w:val="FirstParagraph"/>
      </w:pPr>
      <w:r>
        <w:t xml:space="preserve">Missing values are omitted from the mean (</w:t>
      </w:r>
      <w:r>
        <w:rPr>
          <w:rStyle w:val="VerbatimChar"/>
        </w:rPr>
        <w:t xml:space="preserve">na.rm = TRUE</w:t>
      </w:r>
      <w:r>
        <w:t xml:space="preserve">). For example, Region 2 has no beaches in the Ama tu Playa inventory (</w:t>
      </w:r>
      <m:oMath>
        <m:r>
          <m:t>A</m:t>
        </m:r>
        <m:r>
          <m:t>m</m:t>
        </m:r>
        <m:r>
          <m:t>a</m:t>
        </m:r>
      </m:oMath>
      <w:r>
        <w:t xml:space="preserve"> </w:t>
      </w:r>
      <w:r>
        <w:t xml:space="preserve">stored as</w:t>
      </w:r>
      <w:r>
        <w:t xml:space="preserve"> </w:t>
      </w:r>
      <w:r>
        <w:rPr>
          <w:rStyle w:val="VerbatimChar"/>
        </w:rPr>
        <w:t xml:space="preserve">NA</w:t>
      </w:r>
      <w:r>
        <w:t xml:space="preserve">), so that region’s CCE uses the available layers only.</w:t>
      </w:r>
    </w:p>
    <w:bookmarkEnd w:id="21"/>
    <w:bookmarkStart w:id="22" w:name="sense-of-place-unchanged-structure"/>
    <w:p>
      <w:pPr>
        <w:pStyle w:val="Heading2"/>
      </w:pPr>
      <w:r>
        <w:t xml:space="preserve">1.3 Sense of Place (unchanged structure)</w:t>
      </w:r>
    </w:p>
    <w:p>
      <w:pPr>
        <w:pStyle w:val="FirstParagraph"/>
      </w:pPr>
      <w:r>
        <w:t xml:space="preserve">Overall Sense of Place remains the equal-weight mean of the three subgoals; only the definition of</w:t>
      </w:r>
      <w:r>
        <w:t xml:space="preserve"> </w:t>
      </w:r>
      <m:oMath>
        <m:r>
          <m:t>C</m:t>
        </m:r>
        <m:r>
          <m:t>C</m:t>
        </m:r>
        <m:sSub>
          <m:e>
            <m:r>
              <m:t>E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changes: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>
            <m:e>
              <m:r>
                <m:t>P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C</m:t>
              </m:r>
              <m:sSub>
                <m:e>
                  <m:r>
                    <m:t>E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L</m:t>
              </m:r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L</m:t>
        </m:r>
        <m:r>
          <m:t>S</m:t>
        </m:r>
        <m:sSub>
          <m:e>
            <m:r>
              <m:t>P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Lasting Special Places and</w:t>
      </w:r>
      <w:r>
        <w:t xml:space="preserve"> </w:t>
      </w:r>
      <m:oMath>
        <m:r>
          <m:t>I</m:t>
        </m:r>
        <m:r>
          <m:t>C</m:t>
        </m:r>
        <m:sSub>
          <m:e>
            <m:r>
              <m:t>O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Iconic Species.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CCE with Security: equations</dc:title>
  <dc:creator/>
  <cp:keywords/>
  <dcterms:created xsi:type="dcterms:W3CDTF">2026-08-12T23:33:43Z</dcterms:created>
  <dcterms:modified xsi:type="dcterms:W3CDTF">2026-08-12T23:33:43Z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