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beach-closures"/>
      <w:r>
        <w:t xml:space="preserve">Beach closures</w:t>
      </w:r>
      <w:bookmarkEnd w:id="20"/>
    </w:p>
    <w:p>
      <w:pPr>
        <w:pStyle w:val="FirstParagraph"/>
      </w:pPr>
      <w:r>
        <w:rPr>
          <w:b/>
        </w:rPr>
        <w:t xml:space="preserve">Layer type(s):</w:t>
      </w:r>
      <w:r>
        <w:t xml:space="preserve"> </w:t>
      </w:r>
      <w:r>
        <w:t xml:space="preserve">Pressure, Clean Waters goal layer, Tourism &amp; Recreation goal layer</w:t>
      </w:r>
    </w:p>
    <w:p>
      <w:pPr>
        <w:pStyle w:val="BodyText"/>
      </w:pPr>
      <w:r>
        <w:rPr>
          <w:b/>
        </w:rPr>
        <w:t xml:space="preserve">Data description</w:t>
      </w:r>
      <w:r>
        <w:br w:type="textWrapping"/>
      </w:r>
      <w:r>
        <w:t xml:space="preserve">This layer is derived from the U.S. Environmental Protection Agency (EPA)</w:t>
      </w:r>
      <w:r>
        <w:t xml:space="preserve"> </w:t>
      </w:r>
      <w:hyperlink r:id="rId21">
        <w:r>
          <w:rPr>
            <w:rStyle w:val="Hyperlink"/>
          </w:rPr>
          <w:t xml:space="preserve">BEach Advisory and Closing Online Notification (BEACON) dataset</w:t>
        </w:r>
      </w:hyperlink>
      <w:r>
        <w:t xml:space="preserve">. The most recent version (2.0) was used. The beach action (advisory and closures) dataset from the BEACON database was downloaded for all states in the assessment (ME, NY, NH, MA, RI, CT). This data contains beach-level information for closures including the length of the closure and the reson for closure. The Beach Days dataset was also downloaded and used to get an estimate of length of swim seasons.</w:t>
      </w:r>
    </w:p>
    <w:p>
      <w:pPr>
        <w:pStyle w:val="BodyText"/>
      </w:pPr>
      <w:r>
        <w:rPr>
          <w:b/>
        </w:rPr>
        <w:t xml:space="preserve">Methods summary</w:t>
      </w:r>
      <w:r>
        <w:br w:type="textWrapping"/>
      </w:r>
      <w:r>
        <w:t xml:space="preserve">We used the proportion of the swim season with beaches closed due to pathogens in the water as a proxy for the impact of pathogens in coastal waters (Clean Waters) and also as a measure of limited recreation access (Tourism &amp; Recreation). First we looked at the average length of swim season by state using the Beach Days dataset. The season length varied from 97 to 104 so we set a single reference point as 100 days free of closures, representing the average length of the swimming season for the region.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State</w:t>
            </w:r>
          </w:p>
        </w:tc>
        <w:tc>
          <w:tcPr>
            <w:tcBorders>
              <w:bottom w:val="single"/>
            </w:tcBorders>
            <w:vAlign w:val="bottom"/>
          </w:tcPr>
          <w:p>
            <w:pPr>
              <w:pStyle w:val="Compact"/>
              <w:jc w:val="left"/>
            </w:pPr>
            <w:r>
              <w:t xml:space="preserve">Average # of beach days</w:t>
            </w:r>
          </w:p>
        </w:tc>
      </w:tr>
      <w:tr>
        <w:tc>
          <w:p>
            <w:pPr>
              <w:pStyle w:val="Compact"/>
              <w:jc w:val="left"/>
            </w:pPr>
            <w:r>
              <w:t xml:space="preserve">CT</w:t>
            </w:r>
          </w:p>
        </w:tc>
        <w:tc>
          <w:p>
            <w:pPr>
              <w:pStyle w:val="Compact"/>
              <w:jc w:val="left"/>
            </w:pPr>
            <w:r>
              <w:t xml:space="preserve">98</w:t>
            </w:r>
          </w:p>
        </w:tc>
      </w:tr>
      <w:tr>
        <w:tc>
          <w:p>
            <w:pPr>
              <w:pStyle w:val="Compact"/>
              <w:jc w:val="left"/>
            </w:pPr>
            <w:r>
              <w:t xml:space="preserve">MA</w:t>
            </w:r>
          </w:p>
        </w:tc>
        <w:tc>
          <w:p>
            <w:pPr>
              <w:pStyle w:val="Compact"/>
              <w:jc w:val="left"/>
            </w:pPr>
            <w:r>
              <w:t xml:space="preserve">101</w:t>
            </w:r>
          </w:p>
        </w:tc>
      </w:tr>
      <w:tr>
        <w:tc>
          <w:p>
            <w:pPr>
              <w:pStyle w:val="Compact"/>
              <w:jc w:val="left"/>
            </w:pPr>
            <w:r>
              <w:t xml:space="preserve">ME</w:t>
            </w:r>
          </w:p>
        </w:tc>
        <w:tc>
          <w:p>
            <w:pPr>
              <w:pStyle w:val="Compact"/>
              <w:jc w:val="left"/>
            </w:pPr>
            <w:r>
              <w:t xml:space="preserve">99.3</w:t>
            </w:r>
          </w:p>
        </w:tc>
      </w:tr>
      <w:tr>
        <w:tc>
          <w:p>
            <w:pPr>
              <w:pStyle w:val="Compact"/>
              <w:jc w:val="left"/>
            </w:pPr>
            <w:r>
              <w:t xml:space="preserve">NH</w:t>
            </w:r>
          </w:p>
        </w:tc>
        <w:tc>
          <w:p>
            <w:pPr>
              <w:pStyle w:val="Compact"/>
              <w:jc w:val="left"/>
            </w:pPr>
            <w:r>
              <w:t xml:space="preserve">97.3</w:t>
            </w:r>
          </w:p>
        </w:tc>
      </w:tr>
      <w:tr>
        <w:tc>
          <w:p>
            <w:pPr>
              <w:pStyle w:val="Compact"/>
              <w:jc w:val="left"/>
            </w:pPr>
            <w:r>
              <w:t xml:space="preserve">RI</w:t>
            </w:r>
          </w:p>
        </w:tc>
        <w:tc>
          <w:p>
            <w:pPr>
              <w:pStyle w:val="Compact"/>
              <w:jc w:val="left"/>
            </w:pPr>
            <w:r>
              <w:t xml:space="preserve">97.7</w:t>
            </w:r>
          </w:p>
        </w:tc>
      </w:tr>
      <w:tr>
        <w:tc>
          <w:p>
            <w:pPr>
              <w:pStyle w:val="Compact"/>
              <w:jc w:val="left"/>
            </w:pPr>
            <w:r>
              <w:t xml:space="preserve">NY</w:t>
            </w:r>
          </w:p>
        </w:tc>
        <w:tc>
          <w:p>
            <w:pPr>
              <w:pStyle w:val="Compact"/>
              <w:jc w:val="left"/>
            </w:pPr>
            <w:r>
              <w:t xml:space="preserve">104</w:t>
            </w:r>
          </w:p>
        </w:tc>
      </w:tr>
    </w:tbl>
    <w:p>
      <w:pPr>
        <w:pStyle w:val="BodyText"/>
      </w:pPr>
      <w:r>
        <w:t xml:space="preserve">Next we looked at beach closures by region. The beach action dataset identified the reason why a beach was closed which for the Northeast included elevated bacteria, sewage or runoff from rainfall. For each beach the total number of days closed due to these reasons was calculated and then divided by the reference point of 100 days to calculate the proportion of the season each beach was closed. This was then averaged across each region and done for every year 2005 to 2017.</w:t>
      </w:r>
    </w:p>
    <w:p>
      <w:pPr>
        <w:pStyle w:val="BodyText"/>
      </w:pPr>
      <w:r>
        <w:rPr>
          <w:b/>
        </w:rPr>
        <w:t xml:space="preserve">Pathogens pressure layer</w:t>
      </w:r>
      <w:r>
        <w:br w:type="textWrapping"/>
      </w:r>
      <w:r>
        <w:t xml:space="preserve">The pathogens pressure layer had values for each region and year set equal to the proportion of a regions swim season with beaches closed. A higher value indicates a higher pressure due to the presence of pathogens.</w:t>
      </w:r>
    </w:p>
    <w:p>
      <w:pPr>
        <w:pStyle w:val="BodyText"/>
      </w:pPr>
      <w:r>
        <w:rPr>
          <w:b/>
        </w:rPr>
        <w:t xml:space="preserve">Clean Waters goal layer</w:t>
      </w:r>
      <w:r>
        <w:br w:type="textWrapping"/>
      </w:r>
      <w:r>
        <w:t xml:space="preserve">The pathogens data layer used in the Clean Waters goal had values for each region and year set equal to the average proportion of a regions swim season with beaches open, or the inverse of the pressure layer, where higher values indicate higher score.</w:t>
      </w:r>
    </w:p>
    <w:p>
      <w:pPr>
        <w:pStyle w:val="BodyText"/>
      </w:pPr>
      <w:r>
        <w:rPr>
          <w:b/>
        </w:rPr>
        <w:t xml:space="preserve">Tourism &amp; Recreation goal layer</w:t>
      </w:r>
      <w:r>
        <w:br w:type="textWrapping"/>
      </w:r>
      <w:r>
        <w:t xml:space="preserve">The beach closures data layer used in the Tourism &amp; Recreation goal had values for each region and year set equal to the average proportion of a regions swim season with beaches open, or the inverse of the pressure layer, where higher values indicate higher score.</w:t>
      </w:r>
    </w:p>
    <w:p>
      <w:pPr>
        <w:pStyle w:val="BodyText"/>
      </w:pPr>
      <w:r>
        <w:rPr>
          <w:b/>
        </w:rPr>
        <w:t xml:space="preserve">Gapfilling:</w:t>
      </w:r>
      <w:r>
        <w:br w:type="textWrapping"/>
      </w:r>
      <w:r>
        <w:t xml:space="preserve">None needed</w:t>
      </w:r>
    </w:p>
    <w:p>
      <w:pPr>
        <w:pStyle w:val="BodyText"/>
      </w:pPr>
      <w:r>
        <w:rPr>
          <w:b/>
        </w:rPr>
        <w:t xml:space="preserve">References:</w:t>
      </w:r>
      <w:r>
        <w:br w:type="textWrapping"/>
      </w:r>
      <w:r>
        <w:t xml:space="preserve">U.S. Environmental Protection Agency, BEACON 2.0 (Beach Advisory and Closing Online Notification). (2019). Beach closures. Retrieved from</w:t>
      </w:r>
      <w:r>
        <w:t xml:space="preserve"> </w:t>
      </w:r>
      <w:hyperlink r:id="rId22">
        <w:r>
          <w:rPr>
            <w:rStyle w:val="Hyperlink"/>
          </w:rPr>
          <w:t xml:space="preserve">https://watersgeo.epa.gov/beacon2/</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atersgeo.epa.gov/beacon2" TargetMode="External" /><Relationship Type="http://schemas.openxmlformats.org/officeDocument/2006/relationships/hyperlink" Id="rId22" Target="https://watersgeo.epa.gov/beacon2/" TargetMode="External" /></Relationships>
</file>

<file path=word/_rels/footnotes.xml.rels><?xml version="1.0" encoding="UTF-8"?>
<Relationships xmlns="http://schemas.openxmlformats.org/package/2006/relationships"><Relationship Type="http://schemas.openxmlformats.org/officeDocument/2006/relationships/hyperlink" Id="rId21" Target="https://watersgeo.epa.gov/beacon2" TargetMode="External" /><Relationship Type="http://schemas.openxmlformats.org/officeDocument/2006/relationships/hyperlink" Id="rId22" Target="https://watersgeo.epa.gov/beacon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2020-06-10T20:55:03Z</dcterms:created>
  <dcterms:modified xsi:type="dcterms:W3CDTF">2020-06-10T20:55:03Z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