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ocean-acidification"/>
      <w:r>
        <w:t xml:space="preserve">Ocean Acidification</w:t>
      </w:r>
      <w:bookmarkEnd w:id="20"/>
    </w:p>
    <w:p>
      <w:pPr>
        <w:pStyle w:val="FirstParagraph"/>
      </w:pPr>
      <w:r>
        <w:rPr>
          <w:b/>
        </w:rPr>
        <w:t xml:space="preserve">Layer type:</w:t>
      </w:r>
      <w:r>
        <w:t xml:space="preserve"> </w:t>
      </w:r>
      <w:r>
        <w:t xml:space="preserve">Pressure</w:t>
      </w:r>
    </w:p>
    <w:p>
      <w:pPr>
        <w:pStyle w:val="BodyText"/>
      </w:pPr>
      <w:r>
        <w:rPr>
          <w:b/>
        </w:rPr>
        <w:t xml:space="preserve">Data description:</w:t>
      </w:r>
      <w:r>
        <w:t xml:space="preserve"> </w:t>
      </w:r>
      <w:r>
        <w:t xml:space="preserve">Ocean acidification data were obtained from the</w:t>
      </w:r>
      <w:r>
        <w:t xml:space="preserve"> </w:t>
      </w:r>
      <w:hyperlink r:id="rId21">
        <w:r>
          <w:rPr>
            <w:rStyle w:val="Hyperlink"/>
          </w:rPr>
          <w:t xml:space="preserve">East Coast Ocean Acidification Product Suite</w:t>
        </w:r>
      </w:hyperlink>
      <w:r>
        <w:t xml:space="preserve"> </w:t>
      </w:r>
      <w:r>
        <w:t xml:space="preserve">(ECOAPS)</w:t>
      </w:r>
      <w:r>
        <w:rPr>
          <w:rStyle w:val="FootnoteReference"/>
        </w:rPr>
        <w:footnoteReference w:id="22"/>
      </w:r>
      <w:r>
        <w:t xml:space="preserve">, which is produced by the NOAA Coral Health and Monitoring Program. This data includes monthly aragonite saturation state (</w:t>
      </w:r>
      <m:oMath>
        <m:sSub>
          <m:e>
            <m:r>
              <m:t>Ω</m:t>
            </m:r>
          </m:e>
          <m:sub>
            <m:r>
              <m:t>a</m:t>
            </m:r>
            <m:r>
              <m:t>r</m:t>
            </m:r>
            <m:r>
              <m:t>a</m:t>
            </m:r>
            <m:r>
              <m:t>g</m:t>
            </m:r>
          </m:sub>
        </m:sSub>
      </m:oMath>
      <w:r>
        <w:t xml:space="preserve">) values from 2014 - 2017 along the East Coast of the United States in a gridded format with a cell resolution of 0.15 degrees.</w:t>
      </w:r>
    </w:p>
    <w:p>
      <w:pPr>
        <w:pStyle w:val="BodyText"/>
      </w:pPr>
      <w:r>
        <w:rPr>
          <w:b/>
        </w:rPr>
        <w:t xml:space="preserve">Methods summary:</w:t>
      </w:r>
      <w:r>
        <w:t xml:space="preserve"> </w:t>
      </w:r>
      <w:r>
        <w:t xml:space="preserve">The raw data was cropped to our region of interest, reprojected to a US Albers Equal Area Conic projection, resampled using nearest neighbor interpolation to a cell size of 1km</w:t>
      </w:r>
      <w:r>
        <w:rPr>
          <w:vertAlign w:val="superscript"/>
        </w:rPr>
        <w:t xml:space="preserve">2</w:t>
      </w:r>
      <w:r>
        <w:t xml:space="preserve">. Mean annual aragonite saturation state concentrations were calculated for each year from the monthly data and then rescaled from 0 to 1 using a step-wise conditional function based on known thresholds for calcifying organisms.</w:t>
      </w:r>
    </w:p>
    <w:p>
      <w:pPr>
        <w:numPr>
          <w:numId w:val="1001"/>
          <w:ilvl w:val="0"/>
        </w:numPr>
      </w:pPr>
      <w:r>
        <w:t xml:space="preserve">If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  <m:r>
              <m:t>r</m:t>
            </m:r>
            <m:r>
              <m:t>a</m:t>
            </m:r>
            <m:r>
              <m:t>g</m:t>
            </m:r>
          </m:sub>
        </m:sSub>
      </m:oMath>
      <w:r>
        <w:t xml:space="preserve"> </w:t>
      </w:r>
      <w:r>
        <w:t xml:space="preserve">is less than or equal to 1, the cell is assigned the highest pressure score of 1. This is a widely accepted saturation lethal threshold for calcifying marine organisms although indivdual responses vary</w:t>
      </w:r>
    </w:p>
    <w:p>
      <w:pPr>
        <w:numPr>
          <w:numId w:val="1001"/>
          <w:ilvl w:val="0"/>
        </w:numPr>
      </w:pPr>
      <w:r>
        <w:t xml:space="preserve">Cells with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  <m:r>
              <m:t>r</m:t>
            </m:r>
            <m:r>
              <m:t>a</m:t>
            </m:r>
            <m:r>
              <m:t>g</m:t>
            </m:r>
          </m:sub>
        </m:sSub>
      </m:oMath>
      <w:r>
        <w:t xml:space="preserve"> </w:t>
      </w:r>
      <w:r>
        <w:t xml:space="preserve">= 1.5 are assigned a pressure value of 0.5. This saturation level is when mild dissolution begins to occur (Bednaršek et al. 2019)</w:t>
      </w:r>
    </w:p>
    <w:p>
      <w:pPr>
        <w:numPr>
          <w:numId w:val="1001"/>
          <w:ilvl w:val="0"/>
        </w:numPr>
      </w:pPr>
      <w:r>
        <w:t xml:space="preserve">Cells with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  <m:r>
              <m:t>r</m:t>
            </m:r>
            <m:r>
              <m:t>a</m:t>
            </m:r>
            <m:r>
              <m:t>g</m:t>
            </m:r>
          </m:sub>
        </m:sSub>
      </m:oMath>
      <w:r>
        <w:t xml:space="preserve"> </w:t>
      </w:r>
      <w:r>
        <w:t xml:space="preserve">= 2.5 are assigned a pressure of 0. This is the lowest saturation level where few organims are affected (Ries et al. 2009).</w:t>
      </w:r>
    </w:p>
    <w:p>
      <w:pPr>
        <w:pStyle w:val="FirstParagraph"/>
      </w:pPr>
      <w:r>
        <w:t xml:space="preserve">Functionally this method of rescaling each cell to get a pressure value (</w:t>
      </w:r>
      <m:oMath>
        <m:r>
          <m:t>X</m:t>
        </m:r>
      </m:oMath>
      <w:r>
        <w:t xml:space="preserve">) between 0 and 1 can be described by the following equation: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g</m:t>
                        </m:r>
                      </m:sub>
                    </m:sSub>
                    <m:r>
                      <m:t>&lt;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  <m:r>
                      <m:t>*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g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r>
                      <m:t>,</m:t>
                    </m:r>
                  </m:e>
                  <m:e>
                    <m:r>
                      <m:t>1</m:t>
                    </m:r>
                    <m:r>
                      <m:t>&lt;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g</m:t>
                        </m:r>
                      </m:sub>
                    </m:sSub>
                    <m:r>
                      <m:t>&lt;</m:t>
                    </m:r>
                    <m:r>
                      <m:t>=</m:t>
                    </m:r>
                    <m:r>
                      <m:t>1.5</m:t>
                    </m:r>
                    <m:r>
                      <m:t>,</m:t>
                    </m:r>
                  </m:e>
                </m:mr>
                <m:mr>
                  <m:e>
                    <m:r>
                      <m:t>−</m:t>
                    </m:r>
                    <m:r>
                      <m:t>0.5</m:t>
                    </m:r>
                    <m:r>
                      <m:t>*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g</m:t>
                        </m:r>
                      </m:sub>
                    </m:sSub>
                    <m:r>
                      <m:t>+</m:t>
                    </m:r>
                    <m:r>
                      <m:t>1.25</m:t>
                    </m:r>
                    <m:r>
                      <m:t>,</m:t>
                    </m:r>
                  </m:e>
                  <m:e>
                    <m:r>
                      <m:t>1.5</m:t>
                    </m:r>
                    <m:r>
                      <m:t>&lt;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g</m:t>
                        </m:r>
                      </m:sub>
                    </m:sSub>
                    <m:r>
                      <m:t>&lt;</m:t>
                    </m:r>
                    <m:r>
                      <m:t>=</m:t>
                    </m:r>
                    <m:r>
                      <m:t>2.5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g</m:t>
                        </m:r>
                      </m:sub>
                    </m:sSub>
                    <m:r>
                      <m:t>&gt;</m:t>
                    </m:r>
                    <m:r>
                      <m:t>2.5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Pressure layer scores were calculated as the mean of rescaled cell values by region and year.</w:t>
      </w:r>
    </w:p>
    <w:p>
      <w:pPr>
        <w:pStyle w:val="BodyText"/>
      </w:pPr>
      <w:r>
        <w:rPr>
          <w:b/>
        </w:rPr>
        <w:t xml:space="preserve">Gapfilling:</w:t>
      </w:r>
      <w:r>
        <w:t xml:space="preserve"> </w:t>
      </w:r>
      <w:r>
        <w:t xml:space="preserve">Unfortunately this dataset only included the most recent 4 years of data, requiring gapfilling methods for years 2005-2013. Ideally we could have gapfilled from a global dataset used in other Ocean Health Index Assessments (WHOI 2017), but after comparisons between the two datasets for the overlapping years (2014-2017) it became clear that the differences were too significant to justify gapfilling with this dataset. Therefore all values from 2005 - 2013 are gapfilled with the 2014 scores. We recognize this introduces uncertainty to the Index for those years.</w:t>
      </w:r>
    </w:p>
    <w:p>
      <w:pPr>
        <w:pStyle w:val="BodyText"/>
      </w:pPr>
      <w:r>
        <w:rPr>
          <w:b/>
        </w:rPr>
        <w:t xml:space="preserve">References</w:t>
      </w:r>
    </w:p>
    <w:p>
      <w:pPr>
        <w:pStyle w:val="BodyText"/>
      </w:pPr>
      <w:r>
        <w:t xml:space="preserve">Bednaršek, Nina, et al. </w:t>
      </w:r>
      <w:r>
        <w:t xml:space="preserve">“</w:t>
      </w:r>
      <w:r>
        <w:t xml:space="preserve">Systematic Review and Meta-Analysis Toward Synthesis of Thresholds of Ocean Acidification Impacts on Calcifying Pteropods and Interactions With Warming.</w:t>
      </w:r>
      <w:r>
        <w:t xml:space="preserve">”</w:t>
      </w:r>
      <w:r>
        <w:t xml:space="preserve"> </w:t>
      </w:r>
      <w:r>
        <w:t xml:space="preserve">Frontiers in Marine Science, vol. 6, 2019,</w:t>
      </w:r>
      <w:r>
        <w:t xml:space="preserve"> </w:t>
      </w:r>
      <w:hyperlink r:id="rId24">
        <w:r>
          <w:rPr>
            <w:rStyle w:val="Hyperlink"/>
          </w:rPr>
          <w:t xml:space="preserve">doi:10.3389/fmars.2019.00227</w:t>
        </w:r>
      </w:hyperlink>
      <w:r>
        <w:t xml:space="preserve">.</w:t>
      </w:r>
    </w:p>
    <w:p>
      <w:pPr>
        <w:pStyle w:val="BodyText"/>
      </w:pPr>
      <w:r>
        <w:t xml:space="preserve">Ries, J. B., et al. </w:t>
      </w:r>
      <w:r>
        <w:t xml:space="preserve">“</w:t>
      </w:r>
      <w:r>
        <w:t xml:space="preserve">Marine Calcifiers Exhibit Mixed Responses to CO2-Induced Ocean Acidification.</w:t>
      </w:r>
      <w:r>
        <w:t xml:space="preserve">”</w:t>
      </w:r>
      <w:r>
        <w:t xml:space="preserve"> </w:t>
      </w:r>
      <w:r>
        <w:t xml:space="preserve">Geology, vol. 37, no. 12, 2009, pp. 1131–1134.,</w:t>
      </w:r>
      <w:r>
        <w:t xml:space="preserve"> </w:t>
      </w:r>
      <w:hyperlink r:id="rId25">
        <w:r>
          <w:rPr>
            <w:rStyle w:val="Hyperlink"/>
          </w:rPr>
          <w:t xml:space="preserve">doi:10.1130/g30210a.1</w:t>
        </w:r>
      </w:hyperlink>
      <w:r>
        <w:t xml:space="preserve">.</w:t>
      </w:r>
    </w:p>
    <w:p>
      <w:pPr>
        <w:pStyle w:val="BodyText"/>
      </w:pPr>
      <w:r>
        <w:t xml:space="preserve">Signorini, S. R., A. Mannino, R. G. Najjar, Jr., M. A. M. Friedrichs, W.-J. Cai, J. Salisbury, Z. Al-eck Wang, H. Thomas, and E. Shadwick (2013), Surface ocean pCO2 seasonality and sea-air CO2 flux estimates for the North American east coast, J. Geophys. Res. Oceans, 118, 5439–5460,</w:t>
      </w:r>
      <w:r>
        <w:t xml:space="preserve"> </w:t>
      </w:r>
      <w:hyperlink r:id="rId26">
        <w:r>
          <w:rPr>
            <w:rStyle w:val="Hyperlink"/>
          </w:rPr>
          <w:t xml:space="preserve">doi:10.1002/jgrc.20369</w:t>
        </w:r>
      </w:hyperlink>
      <w:r>
        <w:t xml:space="preserve">.</w:t>
      </w:r>
    </w:p>
    <w:p>
      <w:pPr>
        <w:pStyle w:val="BodyText"/>
      </w:pPr>
      <w:r>
        <w:t xml:space="preserve">Wang, Z. A., G. L. Lawson, C. H. Pilskaln, and A. E. Maas (2017), Seasonal controls of aragonite saturation states in the Gulf of Maine, J. Geophys. Res. Oceans, 122,</w:t>
      </w:r>
      <w:r>
        <w:t xml:space="preserve"> </w:t>
      </w:r>
      <w:hyperlink r:id="rId27">
        <w:r>
          <w:rPr>
            <w:rStyle w:val="Hyperlink"/>
          </w:rPr>
          <w:t xml:space="preserve">doi:10.1002/2016JC012373</w:t>
        </w:r>
      </w:hyperlink>
      <w:r>
        <w:t xml:space="preserve">.</w:t>
      </w:r>
    </w:p>
    <w:p>
      <w:pPr>
        <w:pStyle w:val="BodyText"/>
      </w:pPr>
      <w:r>
        <w:t xml:space="preserve">Woods Hole Oceanographic Institution (WHOI). 2017 update to data originally published in: Feely, R.A., S.C. Doney, and S.R. Cooley. 2009. Ocean acidification: Present conditions and future changes in a high-CO2 world. Oceanography 22(4):36–47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NOAA Coral Health and Monitoring Program, Ocean Acidification Product Suite,</w:t>
      </w:r>
      <w:r>
        <w:t xml:space="preserve"> </w:t>
      </w:r>
      <w:hyperlink r:id="rId23">
        <w:r>
          <w:rPr>
            <w:rStyle w:val="Hyperlink"/>
          </w:rPr>
          <w:t xml:space="preserve">https://www.coral.noaa.gov/accrete/oaps.html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oi:10.1002/2016JC012373" TargetMode="External" /><Relationship Type="http://schemas.openxmlformats.org/officeDocument/2006/relationships/hyperlink" Id="rId26" Target="doi:10.1002/jgrc.20369" TargetMode="External" /><Relationship Type="http://schemas.openxmlformats.org/officeDocument/2006/relationships/hyperlink" Id="rId25" Target="doi:10.1130/g30210a.1" TargetMode="External" /><Relationship Type="http://schemas.openxmlformats.org/officeDocument/2006/relationships/hyperlink" Id="rId24" Target="doi:10.3389/fmars.2019.00227" TargetMode="External" /><Relationship Type="http://schemas.openxmlformats.org/officeDocument/2006/relationships/hyperlink" Id="rId21" Target="https://www.coral.noaa.gov/accrete/east-coast-oaps.html" TargetMode="External" /><Relationship Type="http://schemas.openxmlformats.org/officeDocument/2006/relationships/hyperlink" Id="rId23" Target="https://www.coral.noaa.gov/accrete/oap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oi:10.1002/2016JC012373" TargetMode="External" /><Relationship Type="http://schemas.openxmlformats.org/officeDocument/2006/relationships/hyperlink" Id="rId26" Target="doi:10.1002/jgrc.20369" TargetMode="External" /><Relationship Type="http://schemas.openxmlformats.org/officeDocument/2006/relationships/hyperlink" Id="rId25" Target="doi:10.1130/g30210a.1" TargetMode="External" /><Relationship Type="http://schemas.openxmlformats.org/officeDocument/2006/relationships/hyperlink" Id="rId24" Target="doi:10.3389/fmars.2019.00227" TargetMode="External" /><Relationship Type="http://schemas.openxmlformats.org/officeDocument/2006/relationships/hyperlink" Id="rId21" Target="https://www.coral.noaa.gov/accrete/east-coast-oaps.html" TargetMode="External" /><Relationship Type="http://schemas.openxmlformats.org/officeDocument/2006/relationships/hyperlink" Id="rId23" Target="https://www.coral.noaa.gov/accrete/oap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2020-05-14T20:04:20Z</dcterms:created>
  <dcterms:modified xsi:type="dcterms:W3CDTF">2020-05-14T20:04:20Z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