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coastal-land-protected-areas"/>
      <w:r>
        <w:t xml:space="preserve">Coastal land protected areas</w:t>
      </w:r>
      <w:bookmarkEnd w:id="20"/>
    </w:p>
    <w:p>
      <w:pPr>
        <w:pStyle w:val="FirstParagraph"/>
      </w:pPr>
      <w:r>
        <w:rPr>
          <w:b/>
        </w:rPr>
        <w:t xml:space="preserve">Layer type(s):</w:t>
      </w:r>
      <w:r>
        <w:t xml:space="preserve"> </w:t>
      </w:r>
      <w:r>
        <w:t xml:space="preserve">Sense of Place: Lasting Special Places sub-goal layer</w:t>
      </w:r>
    </w:p>
    <w:p>
      <w:pPr>
        <w:pStyle w:val="BodyText"/>
      </w:pPr>
      <w:r>
        <w:rPr>
          <w:b/>
        </w:rPr>
        <w:t xml:space="preserve">Data description:</w:t>
      </w:r>
      <w:r>
        <w:br/>
      </w:r>
      <w:r>
        <w:t xml:space="preserve">We use the United States Geological Survey (USGS) Protected Areas Database (PAD) for the US, Version 2.0. This spatial geodatabase contains terrestrial and marine protected areas for the United States. There are 5 layers included in the database, three of which are relevant for terrestrial protected areas (</w:t>
      </w:r>
      <w:r>
        <w:rPr>
          <w:rStyle w:val="VerbatimChar"/>
        </w:rPr>
        <w:t xml:space="preserve">PADUS2_0Designation</w:t>
      </w:r>
      <w:r>
        <w:t xml:space="preserve">,</w:t>
      </w:r>
      <w:r>
        <w:t xml:space="preserve"> </w:t>
      </w:r>
      <w:r>
        <w:rPr>
          <w:rStyle w:val="VerbatimChar"/>
        </w:rPr>
        <w:t xml:space="preserve">PADUS2_0Fee</w:t>
      </w:r>
      <w:r>
        <w:t xml:space="preserve">,</w:t>
      </w:r>
      <w:r>
        <w:t xml:space="preserve"> </w:t>
      </w:r>
      <w:r>
        <w:rPr>
          <w:rStyle w:val="VerbatimChar"/>
        </w:rPr>
        <w:t xml:space="preserve">PADUS2_0Easement</w:t>
      </w:r>
      <w:r>
        <w:t xml:space="preserve">). The database also includes the year of establishment.</w:t>
      </w:r>
    </w:p>
    <w:p>
      <w:pPr>
        <w:pStyle w:val="Heading3"/>
      </w:pPr>
      <w:bookmarkStart w:id="21" w:name="methods"/>
      <w:r>
        <w:t xml:space="preserve">Methods</w:t>
      </w:r>
      <w:bookmarkEnd w:id="21"/>
    </w:p>
    <w:p>
      <w:pPr>
        <w:pStyle w:val="FirstParagraph"/>
      </w:pPr>
      <w:r>
        <w:t xml:space="preserve">The three PAD data layers were combined and then clipped to the 1km inland buffer so that only areas within 1km of the coast are measured. The total area protected within each OHI assessment region was calculated. The target for this layer is to have at least 17% of coastal area protected. This target reflects the Aichi Target 11 since there is no regional target.</w:t>
      </w:r>
    </w:p>
    <w:p>
      <w:pPr>
        <w:pStyle w:val="BodyText"/>
      </w:pPr>
      <w:r>
        <w:rPr>
          <w:b/>
        </w:rPr>
        <w:t xml:space="preserve">Lasting Special Places sub-goal layer</w:t>
      </w:r>
      <w:r>
        <w:br/>
      </w:r>
      <w:r>
        <w:t xml:space="preserve">Each region is scored from 0 to 1 by comparing the amount of coastal protected areas to their total area. If 17% or more is protected within a given year, the region receives a 1. Scores linearly decrease to 0 for no protected areas.</w:t>
      </w:r>
    </w:p>
    <w:p>
      <w:pPr>
        <w:pStyle w:val="BodyText"/>
      </w:pPr>
      <w:r>
        <w:rPr>
          <w:b/>
        </w:rPr>
        <w:t xml:space="preserve">Gapfilling</w:t>
      </w:r>
      <w:r>
        <w:br/>
      </w:r>
      <w:r>
        <w:t xml:space="preserve">No gapfilling was necessary.</w:t>
      </w:r>
    </w:p>
    <w:p>
      <w:pPr>
        <w:pStyle w:val="BodyText"/>
      </w:pPr>
      <w:r>
        <w:rPr>
          <w:b/>
        </w:rPr>
        <w:t xml:space="preserve">References</w:t>
      </w:r>
      <w:r>
        <w:br/>
      </w:r>
      <w:r>
        <w:t xml:space="preserve">U.S. Geological Survey (USGS) Gap Analysis Project (GAP), 2018, Protected Areas Database of the United States (PAD-US): U.S. Geological Survey data release,</w:t>
      </w:r>
      <w:r>
        <w:t xml:space="preserve"> </w:t>
      </w:r>
      <w:hyperlink r:id="rId22">
        <w:r>
          <w:rPr>
            <w:rStyle w:val="Hyperlink"/>
          </w:rPr>
          <w:t xml:space="preserve">https://doi.org/10.5066/P955KPLE</w:t>
        </w:r>
      </w:hyperlink>
      <w:r>
        <w:t xml:space="preserve">. [Downloaded June 5,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5066/P955KPLE"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5066/P955K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2020-06-23T15:14:10Z</dcterms:created>
  <dcterms:modified xsi:type="dcterms:W3CDTF">2020-06-23T15:14:10Z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