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E7FC1" w14:textId="77777777" w:rsidR="00E77B00" w:rsidRDefault="00E36DDD" w:rsidP="00B145A1">
      <w:pPr>
        <w:pStyle w:val="Title"/>
        <w:spacing w:before="0" w:after="120"/>
      </w:pPr>
      <w:r>
        <w:t>Supplemental Information: Aligning marine species range data to better serve science and conservation</w:t>
      </w:r>
    </w:p>
    <w:p w14:paraId="68C7C8BB" w14:textId="77777777" w:rsidR="00E77B00" w:rsidRDefault="00E36DDD">
      <w:pPr>
        <w:pStyle w:val="Author"/>
      </w:pPr>
      <w:r>
        <w:t xml:space="preserve">Casey O'Hara, Jamie C. </w:t>
      </w:r>
      <w:proofErr w:type="spellStart"/>
      <w:r>
        <w:t>Afflerbach</w:t>
      </w:r>
      <w:proofErr w:type="spellEnd"/>
      <w:r>
        <w:t>, Courtney Scarborough, Benjamin S. Halpern</w:t>
      </w:r>
    </w:p>
    <w:p w14:paraId="536CA1EC" w14:textId="5A51DC53" w:rsidR="00E77B00" w:rsidRDefault="00E36DDD">
      <w:pPr>
        <w:pStyle w:val="Heading2"/>
      </w:pPr>
      <w:bookmarkStart w:id="0" w:name="representative-maps-from-each-quadrant"/>
      <w:bookmarkEnd w:id="0"/>
      <w:r>
        <w:t>S1. Representative maps from each quadrant</w:t>
      </w:r>
    </w:p>
    <w:p w14:paraId="098CBB78" w14:textId="77777777" w:rsidR="00E77B00" w:rsidRDefault="00E36DDD" w:rsidP="00B145A1">
      <w:pPr>
        <w:pStyle w:val="Figure"/>
        <w:jc w:val="center"/>
      </w:pPr>
      <w:r>
        <w:rPr>
          <w:noProof/>
        </w:rPr>
        <w:drawing>
          <wp:inline distT="0" distB="0" distL="0" distR="0" wp14:anchorId="75092269" wp14:editId="7A7A0449">
            <wp:extent cx="5334000" cy="51442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8"/>
                    <a:stretch>
                      <a:fillRect/>
                    </a:stretch>
                  </pic:blipFill>
                  <pic:spPr bwMode="auto">
                    <a:xfrm>
                      <a:off x="0" y="0"/>
                      <a:ext cx="5334000" cy="5144253"/>
                    </a:xfrm>
                    <a:prstGeom prst="rect">
                      <a:avLst/>
                    </a:prstGeom>
                    <a:noFill/>
                    <a:ln w="9525">
                      <a:noFill/>
                      <a:headEnd/>
                      <a:tailEnd/>
                    </a:ln>
                  </pic:spPr>
                </pic:pic>
              </a:graphicData>
            </a:graphic>
          </wp:inline>
        </w:drawing>
      </w:r>
    </w:p>
    <w:p w14:paraId="7700B12C" w14:textId="77777777" w:rsidR="00E77B00" w:rsidRDefault="00E36DDD">
      <w:pPr>
        <w:pStyle w:val="BlockText"/>
      </w:pPr>
      <w:r>
        <w:rPr>
          <w:b/>
        </w:rPr>
        <w:t>Fig. S1.</w:t>
      </w:r>
      <w:r>
        <w:t xml:space="preserve"> 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w:t>
      </w:r>
      <w:proofErr w:type="spellStart"/>
      <w:r>
        <w:t>Kajikia</w:t>
      </w:r>
      <w:proofErr w:type="spellEnd"/>
      <w:r>
        <w:t xml:space="preserve"> </w:t>
      </w:r>
      <w:proofErr w:type="spellStart"/>
      <w:r>
        <w:t>albida</w:t>
      </w:r>
      <w:proofErr w:type="spellEnd"/>
      <w:r>
        <w:t xml:space="preserve">, the Atlantic white marlin. Ranges from each data set show nearly complete overlap, and very similar area of coverage. (C) Distribution-matched: </w:t>
      </w:r>
      <w:proofErr w:type="spellStart"/>
      <w:r>
        <w:t>Conus</w:t>
      </w:r>
      <w:proofErr w:type="spellEnd"/>
      <w:r>
        <w:t xml:space="preserve"> </w:t>
      </w:r>
      <w:proofErr w:type="spellStart"/>
      <w:r>
        <w:t>episcopatus</w:t>
      </w:r>
      <w:proofErr w:type="spellEnd"/>
      <w:r>
        <w:t xml:space="preserve">, the dignified cone snail. </w:t>
      </w:r>
      <w:proofErr w:type="gramStart"/>
      <w:r>
        <w:t>Ranges shows</w:t>
      </w:r>
      <w:proofErr w:type="gramEnd"/>
      <w:r>
        <w:t xml:space="preserve"> excellent overlap in the western Pacific, though IUCN range extends beyond the bounds of the </w:t>
      </w:r>
      <w:proofErr w:type="spellStart"/>
      <w:r>
        <w:t>AquaMaps</w:t>
      </w:r>
      <w:proofErr w:type="spellEnd"/>
      <w:r>
        <w:t xml:space="preserve"> range. (D) Area-matched: </w:t>
      </w:r>
      <w:proofErr w:type="spellStart"/>
      <w:r>
        <w:t>Conus</w:t>
      </w:r>
      <w:proofErr w:type="spellEnd"/>
      <w:r>
        <w:t xml:space="preserve"> </w:t>
      </w:r>
      <w:proofErr w:type="spellStart"/>
      <w:r>
        <w:t>magnificus</w:t>
      </w:r>
      <w:proofErr w:type="spellEnd"/>
      <w:r>
        <w:t xml:space="preserve">, the magnificent cone snail. Ranges overlap in the southern Pacific, but align poorly elsewhere. The total area for each range is similar. (E) Poorly-matched: </w:t>
      </w:r>
      <w:proofErr w:type="spellStart"/>
      <w:r>
        <w:t>Acanthurus</w:t>
      </w:r>
      <w:proofErr w:type="spellEnd"/>
      <w:r>
        <w:t xml:space="preserve"> </w:t>
      </w:r>
      <w:proofErr w:type="spellStart"/>
      <w:r>
        <w:t>nigroris</w:t>
      </w:r>
      <w:proofErr w:type="spellEnd"/>
      <w:r>
        <w:t xml:space="preserve">, the blue-lined surgeonfish. IUCN predicts species range only near the Hawaiian islands; </w:t>
      </w:r>
      <w:proofErr w:type="spellStart"/>
      <w:r>
        <w:t>AquaMaps</w:t>
      </w:r>
      <w:proofErr w:type="spellEnd"/>
      <w:r>
        <w:t xml:space="preserve"> predicts extensive range throughout the central and western Pacific Ocean. The datasets align in neither distribution nor area of coverage.</w:t>
      </w:r>
    </w:p>
    <w:p w14:paraId="7099E93B" w14:textId="469B9938" w:rsidR="00E77B00" w:rsidRDefault="00E36DDD">
      <w:pPr>
        <w:pStyle w:val="Heading2"/>
      </w:pPr>
      <w:bookmarkStart w:id="1" w:name="risk-by-quadrant"/>
      <w:bookmarkEnd w:id="1"/>
      <w:r>
        <w:lastRenderedPageBreak/>
        <w:t>S2. Risk by quadrant</w:t>
      </w:r>
    </w:p>
    <w:p w14:paraId="0DDBF8E8" w14:textId="77777777" w:rsidR="008D7153" w:rsidRDefault="008D7153" w:rsidP="00B145A1">
      <w:pPr>
        <w:pStyle w:val="Figure"/>
        <w:jc w:val="center"/>
      </w:pPr>
    </w:p>
    <w:p w14:paraId="0E8B259B" w14:textId="77777777" w:rsidR="00E77B00" w:rsidRDefault="00E36DDD" w:rsidP="00B145A1">
      <w:pPr>
        <w:pStyle w:val="Figure"/>
        <w:jc w:val="center"/>
      </w:pPr>
      <w:bookmarkStart w:id="2" w:name="_GoBack"/>
      <w:bookmarkEnd w:id="2"/>
      <w:r>
        <w:rPr>
          <w:noProof/>
        </w:rPr>
        <w:drawing>
          <wp:inline distT="0" distB="0" distL="0" distR="0" wp14:anchorId="36036552" wp14:editId="3B52DDEB">
            <wp:extent cx="5334000" cy="134142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9"/>
                    <a:stretch>
                      <a:fillRect/>
                    </a:stretch>
                  </pic:blipFill>
                  <pic:spPr bwMode="auto">
                    <a:xfrm>
                      <a:off x="0" y="0"/>
                      <a:ext cx="5334000" cy="1341422"/>
                    </a:xfrm>
                    <a:prstGeom prst="rect">
                      <a:avLst/>
                    </a:prstGeom>
                    <a:noFill/>
                    <a:ln w="9525">
                      <a:noFill/>
                      <a:headEnd/>
                      <a:tailEnd/>
                    </a:ln>
                  </pic:spPr>
                </pic:pic>
              </a:graphicData>
            </a:graphic>
          </wp:inline>
        </w:drawing>
      </w:r>
    </w:p>
    <w:p w14:paraId="0B2E6A40" w14:textId="77777777" w:rsidR="00E77B00" w:rsidRDefault="00E36DDD">
      <w:pPr>
        <w:pStyle w:val="BlockText"/>
      </w:pPr>
      <w:r>
        <w:rPr>
          <w:b/>
        </w:rPr>
        <w:t>Fig. S2.</w:t>
      </w:r>
      <w:r>
        <w:t xml:space="preserve"> Breakdown of quadrants (Fig. </w:t>
      </w:r>
      <w:proofErr w:type="gramStart"/>
      <w:r>
        <w:t>S1A) by IUCN extinction risk categories.</w:t>
      </w:r>
      <w:proofErr w:type="gramEnd"/>
      <w:r>
        <w:t xml:space="preserve"> IUCN and </w:t>
      </w:r>
      <w:proofErr w:type="spellStart"/>
      <w:r>
        <w:t>Aquamaps</w:t>
      </w:r>
      <w:proofErr w:type="spellEnd"/>
      <w:r>
        <w:t xml:space="preserve">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14:paraId="117E33F9" w14:textId="77777777" w:rsidR="00E36DDD" w:rsidRDefault="00E36DDD">
      <w:pPr>
        <w:pStyle w:val="BlockText"/>
        <w:rPr>
          <w:b/>
        </w:rPr>
      </w:pPr>
    </w:p>
    <w:p w14:paraId="0EAEE2E8" w14:textId="77777777" w:rsidR="00E77B00" w:rsidRDefault="00E36DDD">
      <w:pPr>
        <w:pStyle w:val="BlockText"/>
      </w:pPr>
      <w:r>
        <w:rPr>
          <w:b/>
        </w:rPr>
        <w:t>Table S1.</w:t>
      </w:r>
      <w:r>
        <w:t xml:space="preserve"> Generalized linear model (family = binomial) describing how the agreement between IUCN and </w:t>
      </w:r>
      <w:proofErr w:type="spellStart"/>
      <w:r>
        <w:t>Aquamap</w:t>
      </w:r>
      <w:proofErr w:type="spellEnd"/>
      <w:r>
        <w:t xml:space="preserve">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14:paraId="6643A6F6" w14:textId="77777777" w:rsidR="00E77B00" w:rsidRDefault="00E36DDD">
      <w:pPr>
        <w:pStyle w:val="FirstParagraph"/>
      </w:pPr>
      <w:r>
        <w:rPr>
          <w:i/>
        </w:rPr>
        <w:t xml:space="preserve">Model: </w:t>
      </w:r>
      <w:proofErr w:type="spellStart"/>
      <w:proofErr w:type="gramStart"/>
      <w:r>
        <w:rPr>
          <w:i/>
        </w:rPr>
        <w:t>glm</w:t>
      </w:r>
      <w:proofErr w:type="spellEnd"/>
      <w:r>
        <w:rPr>
          <w:i/>
        </w:rPr>
        <w:t>(</w:t>
      </w:r>
      <w:proofErr w:type="gramEnd"/>
      <w:r>
        <w:rPr>
          <w:i/>
        </w:rPr>
        <w:t>quadrant 1 membership ~ IUCN category, family = binomial) n = 2,059</w:t>
      </w:r>
    </w:p>
    <w:tbl>
      <w:tblPr>
        <w:tblW w:w="0" w:type="pct"/>
        <w:jc w:val="center"/>
        <w:tblLook w:val="07E0" w:firstRow="1" w:lastRow="1" w:firstColumn="1" w:lastColumn="1" w:noHBand="1" w:noVBand="1"/>
      </w:tblPr>
      <w:tblGrid>
        <w:gridCol w:w="1688"/>
        <w:gridCol w:w="1143"/>
        <w:gridCol w:w="1215"/>
        <w:gridCol w:w="1010"/>
        <w:gridCol w:w="1556"/>
      </w:tblGrid>
      <w:tr w:rsidR="00E77B00" w14:paraId="5EDD99A9" w14:textId="77777777" w:rsidTr="00E36DDD">
        <w:trPr>
          <w:jc w:val="center"/>
        </w:trPr>
        <w:tc>
          <w:tcPr>
            <w:tcW w:w="0" w:type="auto"/>
            <w:tcBorders>
              <w:bottom w:val="single" w:sz="0" w:space="0" w:color="auto"/>
            </w:tcBorders>
            <w:vAlign w:val="bottom"/>
          </w:tcPr>
          <w:p w14:paraId="4C690C8C" w14:textId="77777777" w:rsidR="00E77B00" w:rsidRDefault="00E36DDD">
            <w:pPr>
              <w:pStyle w:val="Compact"/>
            </w:pPr>
            <w:r>
              <w:t>Coefficients:</w:t>
            </w:r>
          </w:p>
        </w:tc>
        <w:tc>
          <w:tcPr>
            <w:tcW w:w="0" w:type="auto"/>
            <w:tcBorders>
              <w:bottom w:val="single" w:sz="0" w:space="0" w:color="auto"/>
            </w:tcBorders>
            <w:vAlign w:val="bottom"/>
          </w:tcPr>
          <w:p w14:paraId="75134740" w14:textId="77777777" w:rsidR="00E77B00" w:rsidRDefault="00E36DDD">
            <w:pPr>
              <w:pStyle w:val="Compact"/>
              <w:jc w:val="right"/>
            </w:pPr>
            <w:r>
              <w:t>Estimate</w:t>
            </w:r>
          </w:p>
        </w:tc>
        <w:tc>
          <w:tcPr>
            <w:tcW w:w="0" w:type="auto"/>
            <w:tcBorders>
              <w:bottom w:val="single" w:sz="0" w:space="0" w:color="auto"/>
            </w:tcBorders>
            <w:vAlign w:val="bottom"/>
          </w:tcPr>
          <w:p w14:paraId="7FA14DC5" w14:textId="77777777" w:rsidR="00E77B00" w:rsidRDefault="00E36DDD">
            <w:pPr>
              <w:pStyle w:val="Compact"/>
              <w:jc w:val="right"/>
            </w:pPr>
            <w:r>
              <w:t>Std. Error</w:t>
            </w:r>
          </w:p>
        </w:tc>
        <w:tc>
          <w:tcPr>
            <w:tcW w:w="0" w:type="auto"/>
            <w:tcBorders>
              <w:bottom w:val="single" w:sz="0" w:space="0" w:color="auto"/>
            </w:tcBorders>
            <w:vAlign w:val="bottom"/>
          </w:tcPr>
          <w:p w14:paraId="6A317194" w14:textId="77777777" w:rsidR="00E77B00" w:rsidRDefault="00E36DDD">
            <w:pPr>
              <w:pStyle w:val="Compact"/>
              <w:jc w:val="right"/>
            </w:pPr>
            <w:proofErr w:type="gramStart"/>
            <w:r>
              <w:t>z</w:t>
            </w:r>
            <w:proofErr w:type="gramEnd"/>
            <w:r>
              <w:t xml:space="preserve"> value</w:t>
            </w:r>
          </w:p>
        </w:tc>
        <w:tc>
          <w:tcPr>
            <w:tcW w:w="0" w:type="auto"/>
            <w:tcBorders>
              <w:bottom w:val="single" w:sz="0" w:space="0" w:color="auto"/>
            </w:tcBorders>
            <w:vAlign w:val="bottom"/>
          </w:tcPr>
          <w:p w14:paraId="05DF3414" w14:textId="77777777" w:rsidR="00E77B00" w:rsidRDefault="00E36DDD">
            <w:pPr>
              <w:pStyle w:val="Compact"/>
              <w:jc w:val="right"/>
            </w:pPr>
            <w:proofErr w:type="gramStart"/>
            <w:r>
              <w:t>p</w:t>
            </w:r>
            <w:proofErr w:type="gramEnd"/>
            <w:r>
              <w:t xml:space="preserve"> value</w:t>
            </w:r>
          </w:p>
        </w:tc>
      </w:tr>
      <w:tr w:rsidR="00E77B00" w14:paraId="72D62690" w14:textId="77777777" w:rsidTr="00E36DDD">
        <w:trPr>
          <w:jc w:val="center"/>
        </w:trPr>
        <w:tc>
          <w:tcPr>
            <w:tcW w:w="0" w:type="auto"/>
          </w:tcPr>
          <w:p w14:paraId="765CE3A6" w14:textId="77777777" w:rsidR="00E77B00" w:rsidRDefault="00E36DDD">
            <w:pPr>
              <w:pStyle w:val="Compact"/>
            </w:pPr>
            <w:r>
              <w:t>Intercept</w:t>
            </w:r>
          </w:p>
        </w:tc>
        <w:tc>
          <w:tcPr>
            <w:tcW w:w="0" w:type="auto"/>
          </w:tcPr>
          <w:p w14:paraId="64964FCA" w14:textId="77777777" w:rsidR="00E77B00" w:rsidRDefault="00E36DDD">
            <w:pPr>
              <w:pStyle w:val="Compact"/>
              <w:jc w:val="right"/>
            </w:pPr>
            <w:r>
              <w:t>-1.32933</w:t>
            </w:r>
          </w:p>
        </w:tc>
        <w:tc>
          <w:tcPr>
            <w:tcW w:w="0" w:type="auto"/>
          </w:tcPr>
          <w:p w14:paraId="757FD537" w14:textId="77777777" w:rsidR="00E77B00" w:rsidRDefault="00E36DDD">
            <w:pPr>
              <w:pStyle w:val="Compact"/>
              <w:jc w:val="right"/>
            </w:pPr>
            <w:r>
              <w:t>0.05804</w:t>
            </w:r>
          </w:p>
        </w:tc>
        <w:tc>
          <w:tcPr>
            <w:tcW w:w="0" w:type="auto"/>
          </w:tcPr>
          <w:p w14:paraId="4423A135" w14:textId="77777777" w:rsidR="00E77B00" w:rsidRDefault="00E36DDD">
            <w:pPr>
              <w:pStyle w:val="Compact"/>
              <w:jc w:val="right"/>
            </w:pPr>
            <w:r>
              <w:t>-22.902</w:t>
            </w:r>
          </w:p>
        </w:tc>
        <w:tc>
          <w:tcPr>
            <w:tcW w:w="0" w:type="auto"/>
          </w:tcPr>
          <w:p w14:paraId="25EC3C68" w14:textId="77777777" w:rsidR="00E77B00" w:rsidRDefault="00E36DDD">
            <w:pPr>
              <w:pStyle w:val="Compact"/>
              <w:jc w:val="right"/>
            </w:pPr>
            <w:r>
              <w:t>&lt; 2e-16 ***</w:t>
            </w:r>
          </w:p>
        </w:tc>
      </w:tr>
      <w:tr w:rsidR="00E77B00" w14:paraId="0DA7D69D" w14:textId="77777777" w:rsidTr="00E36DDD">
        <w:trPr>
          <w:jc w:val="center"/>
        </w:trPr>
        <w:tc>
          <w:tcPr>
            <w:tcW w:w="0" w:type="auto"/>
          </w:tcPr>
          <w:p w14:paraId="1C9258C7" w14:textId="77777777" w:rsidR="00E77B00" w:rsidRDefault="00E36DDD">
            <w:pPr>
              <w:pStyle w:val="Compact"/>
            </w:pPr>
            <w:r>
              <w:t>IUCN category</w:t>
            </w:r>
          </w:p>
        </w:tc>
        <w:tc>
          <w:tcPr>
            <w:tcW w:w="0" w:type="auto"/>
          </w:tcPr>
          <w:p w14:paraId="35648483" w14:textId="77777777" w:rsidR="00E77B00" w:rsidRDefault="00E36DDD">
            <w:pPr>
              <w:pStyle w:val="Compact"/>
              <w:jc w:val="right"/>
            </w:pPr>
            <w:r>
              <w:t>1.18672</w:t>
            </w:r>
          </w:p>
        </w:tc>
        <w:tc>
          <w:tcPr>
            <w:tcW w:w="0" w:type="auto"/>
          </w:tcPr>
          <w:p w14:paraId="6C3C7499" w14:textId="77777777" w:rsidR="00E77B00" w:rsidRDefault="00E36DDD">
            <w:pPr>
              <w:pStyle w:val="Compact"/>
              <w:jc w:val="right"/>
            </w:pPr>
            <w:r>
              <w:t>0.33469</w:t>
            </w:r>
          </w:p>
        </w:tc>
        <w:tc>
          <w:tcPr>
            <w:tcW w:w="0" w:type="auto"/>
          </w:tcPr>
          <w:p w14:paraId="6651F7B5" w14:textId="77777777" w:rsidR="00E77B00" w:rsidRDefault="00E36DDD">
            <w:pPr>
              <w:pStyle w:val="Compact"/>
              <w:jc w:val="right"/>
            </w:pPr>
            <w:r>
              <w:t>3.546</w:t>
            </w:r>
          </w:p>
        </w:tc>
        <w:tc>
          <w:tcPr>
            <w:tcW w:w="0" w:type="auto"/>
          </w:tcPr>
          <w:p w14:paraId="7198CAC5" w14:textId="77777777" w:rsidR="00E77B00" w:rsidRDefault="00E36DDD">
            <w:pPr>
              <w:pStyle w:val="Compact"/>
              <w:jc w:val="right"/>
            </w:pPr>
            <w:r>
              <w:t>0.000391 ***</w:t>
            </w:r>
          </w:p>
        </w:tc>
      </w:tr>
    </w:tbl>
    <w:p w14:paraId="7AE10000" w14:textId="77777777" w:rsidR="00B145A1" w:rsidRDefault="00B145A1">
      <w:pPr>
        <w:pStyle w:val="Heading3"/>
      </w:pPr>
      <w:bookmarkStart w:id="3" w:name="coral-range-vs.-depth"/>
      <w:bookmarkEnd w:id="3"/>
    </w:p>
    <w:p w14:paraId="24C9FE55" w14:textId="77777777" w:rsidR="00B145A1" w:rsidRDefault="00B145A1" w:rsidP="00B145A1">
      <w:pPr>
        <w:pStyle w:val="BodyText"/>
        <w:rPr>
          <w:rFonts w:asciiTheme="majorHAnsi" w:eastAsiaTheme="majorEastAsia" w:hAnsiTheme="majorHAnsi" w:cstheme="majorBidi"/>
          <w:color w:val="4F81BD" w:themeColor="accent1"/>
          <w:sz w:val="28"/>
          <w:szCs w:val="28"/>
        </w:rPr>
      </w:pPr>
      <w:r>
        <w:br w:type="page"/>
      </w:r>
    </w:p>
    <w:p w14:paraId="742EBFF1" w14:textId="7E776CF3" w:rsidR="00E77B00" w:rsidRDefault="00E36DDD">
      <w:pPr>
        <w:pStyle w:val="Heading3"/>
      </w:pPr>
      <w:r>
        <w:lastRenderedPageBreak/>
        <w:t>S3. Coral range vs. depth</w:t>
      </w:r>
    </w:p>
    <w:p w14:paraId="4086822D" w14:textId="77777777" w:rsidR="00E77B00" w:rsidRDefault="00E77B00">
      <w:pPr>
        <w:pStyle w:val="FirstParagraph"/>
      </w:pPr>
    </w:p>
    <w:p w14:paraId="033CDB7B" w14:textId="1CE810DF" w:rsidR="00E77B00" w:rsidRDefault="008D7153" w:rsidP="00B145A1">
      <w:pPr>
        <w:pStyle w:val="FigurewithCaption"/>
        <w:jc w:val="center"/>
      </w:pPr>
      <w:r>
        <w:rPr>
          <w:noProof/>
        </w:rPr>
        <w:drawing>
          <wp:inline distT="0" distB="0" distL="0" distR="0" wp14:anchorId="12629F15" wp14:editId="38151C36">
            <wp:extent cx="5472430" cy="3840480"/>
            <wp:effectExtent l="0" t="0" r="0" b="0"/>
            <wp:docPr id="6" name="Picture 6" descr="Macintosh HD:Users:ohara:github:IUCN-AquaMaps:figures:si_cora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hara:github:IUCN-AquaMaps:figures:si_coral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3840480"/>
                    </a:xfrm>
                    <a:prstGeom prst="rect">
                      <a:avLst/>
                    </a:prstGeom>
                    <a:noFill/>
                    <a:ln>
                      <a:noFill/>
                    </a:ln>
                  </pic:spPr>
                </pic:pic>
              </a:graphicData>
            </a:graphic>
          </wp:inline>
        </w:drawing>
      </w:r>
    </w:p>
    <w:p w14:paraId="50BCBD12" w14:textId="77777777" w:rsidR="00E77B00" w:rsidRDefault="00E36DDD">
      <w:pPr>
        <w:pStyle w:val="BlockText"/>
      </w:pPr>
      <w:r>
        <w:rPr>
          <w:b/>
        </w:rPr>
        <w:t>Fig. S3.</w:t>
      </w:r>
      <w:r>
        <w:t xml:space="preserve"> IUCN-defined range of </w:t>
      </w:r>
      <w:proofErr w:type="spellStart"/>
      <w:r>
        <w:rPr>
          <w:i/>
        </w:rPr>
        <w:t>Oculina</w:t>
      </w:r>
      <w:proofErr w:type="spellEnd"/>
      <w:r>
        <w:rPr>
          <w:i/>
        </w:rPr>
        <w:t xml:space="preserve"> </w:t>
      </w:r>
      <w:proofErr w:type="spellStart"/>
      <w:r>
        <w:rPr>
          <w:i/>
        </w:rPr>
        <w:t>varicosa</w:t>
      </w:r>
      <w:proofErr w:type="spellEnd"/>
      <w:r>
        <w:t xml:space="preserve">, a typical photosynthetic coral, plotted against a 200 m bathymetry contour. According to IUCN, </w:t>
      </w:r>
      <w:r>
        <w:rPr>
          <w:i/>
        </w:rPr>
        <w:t xml:space="preserve">O. </w:t>
      </w:r>
      <w:proofErr w:type="spellStart"/>
      <w:r>
        <w:rPr>
          <w:i/>
        </w:rPr>
        <w:t>varicosa</w:t>
      </w:r>
      <w:proofErr w:type="spellEnd"/>
      <w:r>
        <w:t xml:space="preserve"> can be found to depths of 152 m. Maps of many other coral species and other reef-associated organisms followed similar patterns.</w:t>
      </w:r>
    </w:p>
    <w:p w14:paraId="73AE4F01" w14:textId="77777777" w:rsidR="00B145A1" w:rsidRDefault="00B145A1">
      <w:pPr>
        <w:rPr>
          <w:rFonts w:asciiTheme="majorHAnsi" w:eastAsiaTheme="majorEastAsia" w:hAnsiTheme="majorHAnsi" w:cstheme="majorBidi"/>
          <w:b/>
          <w:bCs/>
          <w:color w:val="4F81BD" w:themeColor="accent1"/>
          <w:sz w:val="28"/>
          <w:szCs w:val="28"/>
        </w:rPr>
      </w:pPr>
      <w:bookmarkStart w:id="4" w:name="aquamaps-threshold-examination"/>
      <w:bookmarkEnd w:id="4"/>
      <w:r>
        <w:br w:type="page"/>
      </w:r>
    </w:p>
    <w:p w14:paraId="0119C6B0" w14:textId="0257D448" w:rsidR="00E77B00" w:rsidRDefault="00E36DDD">
      <w:pPr>
        <w:pStyle w:val="Heading3"/>
      </w:pPr>
      <w:r>
        <w:lastRenderedPageBreak/>
        <w:t xml:space="preserve">S4. </w:t>
      </w:r>
      <w:proofErr w:type="spellStart"/>
      <w:r>
        <w:t>AquaMaps</w:t>
      </w:r>
      <w:proofErr w:type="spellEnd"/>
      <w:r>
        <w:t xml:space="preserve"> threshold examination</w:t>
      </w:r>
    </w:p>
    <w:p w14:paraId="54E80203" w14:textId="77777777" w:rsidR="00E77B00" w:rsidRDefault="00E36DDD">
      <w:pPr>
        <w:pStyle w:val="BodyText"/>
      </w:pPr>
      <w:proofErr w:type="spellStart"/>
      <w:r>
        <w:t>AquaMaps</w:t>
      </w:r>
      <w:proofErr w:type="spellEnd"/>
      <w:r>
        <w:t xml:space="preserve"> distribution maps indicate "probability of occurrence" within each 0.5° cell, with values ranging from zero to one, rather than a simple present/absent value as indicated by IUCN maps. Many studies convert this </w:t>
      </w:r>
      <w:proofErr w:type="spellStart"/>
      <w:r>
        <w:t>AquaMaps</w:t>
      </w:r>
      <w:proofErr w:type="spellEnd"/>
      <w:r>
        <w:t xml:space="preserve"> probability to a simple presence value by assigning a threshold value.</w:t>
      </w:r>
    </w:p>
    <w:p w14:paraId="63A21025" w14:textId="77777777" w:rsidR="00E77B00" w:rsidRDefault="00E36DDD">
      <w:pPr>
        <w:pStyle w:val="BodyText"/>
      </w:pPr>
      <w:r>
        <w:t>To examine the effect of different presence threshold selections on the represented range of a species, we varied the threshold from 0% to 100% and calculated the average species range relative to a zero threshold.</w:t>
      </w:r>
    </w:p>
    <w:p w14:paraId="5B5245B0" w14:textId="77777777" w:rsidR="00E77B00" w:rsidRDefault="00E36DDD" w:rsidP="00B145A1">
      <w:pPr>
        <w:pStyle w:val="Figure"/>
        <w:numPr>
          <w:ilvl w:val="0"/>
          <w:numId w:val="3"/>
        </w:numPr>
        <w:jc w:val="center"/>
      </w:pPr>
      <w:r>
        <w:rPr>
          <w:noProof/>
        </w:rPr>
        <w:drawing>
          <wp:inline distT="0" distB="0" distL="0" distR="0" wp14:anchorId="1A9303F7" wp14:editId="150BDEC5">
            <wp:extent cx="4102100" cy="2159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11"/>
                    <a:stretch>
                      <a:fillRect/>
                    </a:stretch>
                  </pic:blipFill>
                  <pic:spPr bwMode="auto">
                    <a:xfrm>
                      <a:off x="0" y="0"/>
                      <a:ext cx="4102100" cy="2159000"/>
                    </a:xfrm>
                    <a:prstGeom prst="rect">
                      <a:avLst/>
                    </a:prstGeom>
                    <a:noFill/>
                    <a:ln w="9525">
                      <a:noFill/>
                      <a:headEnd/>
                      <a:tailEnd/>
                    </a:ln>
                  </pic:spPr>
                </pic:pic>
              </a:graphicData>
            </a:graphic>
          </wp:inline>
        </w:drawing>
      </w:r>
    </w:p>
    <w:p w14:paraId="7E486081" w14:textId="77777777" w:rsidR="00E77B00" w:rsidRDefault="00E36DDD" w:rsidP="00B145A1">
      <w:pPr>
        <w:pStyle w:val="Figure"/>
        <w:numPr>
          <w:ilvl w:val="0"/>
          <w:numId w:val="3"/>
        </w:numPr>
        <w:jc w:val="center"/>
      </w:pPr>
      <w:r>
        <w:rPr>
          <w:noProof/>
        </w:rPr>
        <w:drawing>
          <wp:inline distT="0" distB="0" distL="0" distR="0" wp14:anchorId="036DDC59" wp14:editId="28AAFF53">
            <wp:extent cx="4102100" cy="2159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12"/>
                    <a:stretch>
                      <a:fillRect/>
                    </a:stretch>
                  </pic:blipFill>
                  <pic:spPr bwMode="auto">
                    <a:xfrm>
                      <a:off x="0" y="0"/>
                      <a:ext cx="4102100" cy="2159000"/>
                    </a:xfrm>
                    <a:prstGeom prst="rect">
                      <a:avLst/>
                    </a:prstGeom>
                    <a:noFill/>
                    <a:ln w="9525">
                      <a:noFill/>
                      <a:headEnd/>
                      <a:tailEnd/>
                    </a:ln>
                  </pic:spPr>
                </pic:pic>
              </a:graphicData>
            </a:graphic>
          </wp:inline>
        </w:drawing>
      </w:r>
    </w:p>
    <w:p w14:paraId="39AB2076" w14:textId="77777777" w:rsidR="00E77B00" w:rsidRDefault="00E36DDD">
      <w:pPr>
        <w:pStyle w:val="BlockText"/>
      </w:pPr>
      <w:r>
        <w:rPr>
          <w:b/>
        </w:rPr>
        <w:t>Fig. S4.</w:t>
      </w:r>
      <w:r>
        <w:t xml:space="preserve"> </w:t>
      </w:r>
      <w:proofErr w:type="spellStart"/>
      <w:proofErr w:type="gramStart"/>
      <w:r>
        <w:t>AquaMaps</w:t>
      </w:r>
      <w:proofErr w:type="spellEnd"/>
      <w:r>
        <w:t xml:space="preserve"> distribution map extent remaining after applying a presence threshold.</w:t>
      </w:r>
      <w:proofErr w:type="gramEnd"/>
      <w:r>
        <w:t xml:space="preserve"> A higher threshold constrains an analysis to cells with near certainty of occurrence, while a low threshold captures larger areas of increasingly marginal suitability. (A) A 40% threshold applied to all species in the </w:t>
      </w:r>
      <w:proofErr w:type="spellStart"/>
      <w:r>
        <w:t>AquaMaps</w:t>
      </w:r>
      <w:proofErr w:type="spellEnd"/>
      <w:r>
        <w:t xml:space="preserve"> dataset shows a mean loss of 28% of total range compared to a 0% threshold, with a wide distribution in which some species lose nearly all of their apparent range. (B) Median remaining extent at increments of presence threshold. Dark green ribbon includes 25% to 75% </w:t>
      </w:r>
      <w:proofErr w:type="spellStart"/>
      <w:r>
        <w:t>quantiles</w:t>
      </w:r>
      <w:proofErr w:type="spellEnd"/>
      <w:r>
        <w:t xml:space="preserve"> of remaining species range, while lighter ribbon includes 5% to 95% </w:t>
      </w:r>
      <w:proofErr w:type="spellStart"/>
      <w:r>
        <w:t>quantiles</w:t>
      </w:r>
      <w:proofErr w:type="spellEnd"/>
      <w:r>
        <w:t xml:space="preserve">. Incrementing the presence threshold from 0.00 to 1.00 for the entire </w:t>
      </w:r>
      <w:proofErr w:type="spellStart"/>
      <w:r>
        <w:t>AquaMaps</w:t>
      </w:r>
      <w:proofErr w:type="spellEnd"/>
      <w:r>
        <w:t xml:space="preserve"> dataset, the shallow downward trend indicates a low but consistent sensitivity of apparent species range to threshold choice, with no surprising tradeoffs that could suggest an "optimal" threshold.</w:t>
      </w:r>
    </w:p>
    <w:sectPr w:rsidR="00E77B0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92BAC3" w14:textId="77777777" w:rsidR="000E2AC7" w:rsidRDefault="00E36DDD">
      <w:pPr>
        <w:spacing w:after="0"/>
      </w:pPr>
      <w:r>
        <w:separator/>
      </w:r>
    </w:p>
  </w:endnote>
  <w:endnote w:type="continuationSeparator" w:id="0">
    <w:p w14:paraId="3D1AE17E" w14:textId="77777777" w:rsidR="000E2AC7" w:rsidRDefault="00E36D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1E772" w14:textId="77777777" w:rsidR="00E77B00" w:rsidRDefault="00E36DDD">
      <w:r>
        <w:separator/>
      </w:r>
    </w:p>
  </w:footnote>
  <w:footnote w:type="continuationSeparator" w:id="0">
    <w:p w14:paraId="22068A66" w14:textId="77777777" w:rsidR="00E77B00" w:rsidRDefault="00E36D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AC9113"/>
    <w:multiLevelType w:val="multilevel"/>
    <w:tmpl w:val="2CA8B78A"/>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152FF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C060E2D"/>
    <w:multiLevelType w:val="multilevel"/>
    <w:tmpl w:val="305802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E2AC7"/>
    <w:rsid w:val="004E29B3"/>
    <w:rsid w:val="00590D07"/>
    <w:rsid w:val="00784D58"/>
    <w:rsid w:val="008D6863"/>
    <w:rsid w:val="008D7153"/>
    <w:rsid w:val="00B145A1"/>
    <w:rsid w:val="00B86B75"/>
    <w:rsid w:val="00BC48D5"/>
    <w:rsid w:val="00C36279"/>
    <w:rsid w:val="00E315A3"/>
    <w:rsid w:val="00E36DDD"/>
    <w:rsid w:val="00E77B0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512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B145A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B145A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646</Words>
  <Characters>3687</Characters>
  <Application>Microsoft Macintosh Word</Application>
  <DocSecurity>0</DocSecurity>
  <Lines>30</Lines>
  <Paragraphs>8</Paragraphs>
  <ScaleCrop>false</ScaleCrop>
  <Company/>
  <LinksUpToDate>false</LinksUpToDate>
  <CharactersWithSpaces>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Aligning marine species range data to better serve science and conservation</dc:title>
  <dc:creator>Casey O'Hara, Jamie C. Afflerbach, Courtney Scarborough, Benjamin S. Halpern</dc:creator>
  <cp:lastModifiedBy>Casey O'Hara</cp:lastModifiedBy>
  <cp:revision>4</cp:revision>
  <dcterms:created xsi:type="dcterms:W3CDTF">2016-05-26T00:16:00Z</dcterms:created>
  <dcterms:modified xsi:type="dcterms:W3CDTF">2016-06-14T22:26:00Z</dcterms:modified>
</cp:coreProperties>
</file>