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D03F1" w14:textId="77777777" w:rsidR="0066152E" w:rsidRDefault="00A730D2">
      <w:pPr>
        <w:pStyle w:val="Title"/>
      </w:pPr>
      <w:r>
        <w:t>Aligning marine species range data to better serve science and conservation</w:t>
      </w:r>
    </w:p>
    <w:p w14:paraId="3EAD0FAA" w14:textId="77777777" w:rsidR="0066152E" w:rsidRDefault="00A730D2" w:rsidP="00A4564C">
      <w:pPr>
        <w:pStyle w:val="Author"/>
      </w:pPr>
      <w:r>
        <w:t>Casey O'Hara</w:t>
      </w:r>
      <w:r>
        <w:rPr>
          <w:vertAlign w:val="superscript"/>
        </w:rPr>
        <w:t>1</w:t>
      </w:r>
      <w:r>
        <w:t>, Jamie C. Afflerbach</w:t>
      </w:r>
      <w:r>
        <w:rPr>
          <w:vertAlign w:val="superscript"/>
        </w:rPr>
        <w:t>1</w:t>
      </w:r>
      <w:r>
        <w:t>, Courtney Scarborough</w:t>
      </w:r>
      <w:r>
        <w:rPr>
          <w:vertAlign w:val="superscript"/>
        </w:rPr>
        <w:t>1</w:t>
      </w:r>
      <w:r>
        <w:t>, Benjamin S. Halpern</w:t>
      </w:r>
      <w:r>
        <w:rPr>
          <w:vertAlign w:val="superscript"/>
        </w:rPr>
        <w:t>1,2,3</w:t>
      </w:r>
    </w:p>
    <w:p w14:paraId="103EC1CE" w14:textId="77777777" w:rsidR="0066152E" w:rsidRDefault="00A730D2" w:rsidP="00A4564C">
      <w:pPr>
        <w:pStyle w:val="FirstParagraph"/>
        <w:spacing w:line="240" w:lineRule="auto"/>
      </w:pPr>
      <w:r>
        <w:t xml:space="preserve">Author affiliation: </w:t>
      </w:r>
    </w:p>
    <w:p w14:paraId="529DB588" w14:textId="77777777" w:rsidR="0066152E" w:rsidRDefault="00A730D2" w:rsidP="00A4564C">
      <w:pPr>
        <w:pStyle w:val="Compact"/>
        <w:numPr>
          <w:ilvl w:val="0"/>
          <w:numId w:val="3"/>
        </w:numPr>
        <w:spacing w:line="240" w:lineRule="auto"/>
      </w:pPr>
      <w:r>
        <w:t>National Center for Ecological Analysis and Synthesis, 735 State Street Suite 300, Santa Barbara CA 93101</w:t>
      </w:r>
    </w:p>
    <w:p w14:paraId="0749F701" w14:textId="77777777" w:rsidR="0066152E" w:rsidRDefault="00A730D2" w:rsidP="00A4564C">
      <w:pPr>
        <w:pStyle w:val="Compact"/>
        <w:numPr>
          <w:ilvl w:val="0"/>
          <w:numId w:val="3"/>
        </w:numPr>
        <w:spacing w:line="240" w:lineRule="auto"/>
      </w:pPr>
      <w:r>
        <w:t>Bren School of Environmental Science and Management, University of California, Santa Barbara CA 93106</w:t>
      </w:r>
    </w:p>
    <w:p w14:paraId="3B95979D" w14:textId="77777777" w:rsidR="0066152E" w:rsidRDefault="00A730D2" w:rsidP="00A4564C">
      <w:pPr>
        <w:pStyle w:val="Compact"/>
        <w:numPr>
          <w:ilvl w:val="0"/>
          <w:numId w:val="3"/>
        </w:numPr>
        <w:spacing w:line="240" w:lineRule="auto"/>
      </w:pPr>
      <w:r>
        <w:t>Department of Life Sciences, Imperial College London, Silwood Park Campus, Buckhurst Rd, Ascot, West Berkshire SL5 7PY, United Kingdom</w:t>
      </w:r>
    </w:p>
    <w:p w14:paraId="74E628FD" w14:textId="77777777" w:rsidR="00FC2404" w:rsidRDefault="00FC2404" w:rsidP="00A4564C">
      <w:pPr>
        <w:pStyle w:val="BodyText"/>
        <w:spacing w:line="240" w:lineRule="auto"/>
      </w:pPr>
    </w:p>
    <w:p w14:paraId="3CBF72A3" w14:textId="77777777" w:rsidR="00FC2404" w:rsidRDefault="00FC2404" w:rsidP="00A4564C">
      <w:pPr>
        <w:pStyle w:val="BodyText"/>
        <w:spacing w:line="240" w:lineRule="auto"/>
      </w:pPr>
      <w:r w:rsidRPr="00FC2404">
        <w:rPr>
          <w:highlight w:val="yellow"/>
        </w:rPr>
        <w:t xml:space="preserve">Statement of Authorship: CO did this, JA did this, CS did this, </w:t>
      </w:r>
      <w:proofErr w:type="gramStart"/>
      <w:r w:rsidRPr="00FC2404">
        <w:rPr>
          <w:highlight w:val="yellow"/>
        </w:rPr>
        <w:t>BH</w:t>
      </w:r>
      <w:proofErr w:type="gramEnd"/>
      <w:r w:rsidRPr="00FC2404">
        <w:rPr>
          <w:highlight w:val="yellow"/>
        </w:rPr>
        <w:t xml:space="preserve"> did this</w:t>
      </w:r>
    </w:p>
    <w:p w14:paraId="179DB374" w14:textId="77777777" w:rsidR="00FC2404" w:rsidRPr="00FC2404" w:rsidRDefault="00FC2404" w:rsidP="00A4564C">
      <w:pPr>
        <w:pStyle w:val="BodyText"/>
        <w:spacing w:line="240" w:lineRule="auto"/>
      </w:pPr>
      <w:r w:rsidRPr="00FC2404">
        <w:rPr>
          <w:i/>
        </w:rPr>
        <w:t xml:space="preserve">Short running title: </w:t>
      </w:r>
      <w:r w:rsidRPr="00FC2404">
        <w:t>Aligning marine species range data</w:t>
      </w:r>
    </w:p>
    <w:p w14:paraId="17FA339F" w14:textId="77777777" w:rsidR="00FC2404" w:rsidRPr="00FC2404" w:rsidRDefault="00FC2404" w:rsidP="00A4564C">
      <w:pPr>
        <w:pStyle w:val="BodyText"/>
        <w:spacing w:line="240" w:lineRule="auto"/>
      </w:pPr>
      <w:r w:rsidRPr="00FC2404">
        <w:rPr>
          <w:i/>
        </w:rPr>
        <w:t>Keywords:</w:t>
      </w:r>
      <w:r w:rsidRPr="00FC2404">
        <w:t xml:space="preserve">  Marine spatial planning, species distribution model, extent of occurrence, spatial ecology</w:t>
      </w:r>
    </w:p>
    <w:p w14:paraId="749B235D" w14:textId="77777777" w:rsidR="00FC2404" w:rsidRPr="00FC2404" w:rsidRDefault="00FC2404" w:rsidP="00A4564C">
      <w:pPr>
        <w:pStyle w:val="BodyText"/>
        <w:spacing w:line="240" w:lineRule="auto"/>
      </w:pPr>
      <w:r w:rsidRPr="00FC2404">
        <w:t>Type of article: Letters</w:t>
      </w:r>
    </w:p>
    <w:p w14:paraId="7EA8A75C" w14:textId="77777777" w:rsidR="00FC2404" w:rsidRPr="00FC2404" w:rsidRDefault="00FC2404" w:rsidP="00A4564C">
      <w:pPr>
        <w:pStyle w:val="BodyText"/>
        <w:spacing w:line="240" w:lineRule="auto"/>
      </w:pPr>
      <w:r w:rsidRPr="00FC2404">
        <w:rPr>
          <w:i/>
        </w:rPr>
        <w:t xml:space="preserve">Number of words:  </w:t>
      </w:r>
      <w:r w:rsidRPr="00FC2404">
        <w:t>abstract: 147; main text: 3,044</w:t>
      </w:r>
    </w:p>
    <w:p w14:paraId="272968F0" w14:textId="77777777" w:rsidR="00FC2404" w:rsidRPr="00FC2404" w:rsidRDefault="00FC2404" w:rsidP="00A4564C">
      <w:pPr>
        <w:pStyle w:val="BodyText"/>
        <w:spacing w:line="240" w:lineRule="auto"/>
      </w:pPr>
      <w:r w:rsidRPr="00FC2404">
        <w:t>Number of references: 21</w:t>
      </w:r>
    </w:p>
    <w:p w14:paraId="7AAB840B" w14:textId="77777777" w:rsidR="00FC2404" w:rsidRPr="00FC2404" w:rsidRDefault="00FC2404" w:rsidP="00A4564C">
      <w:pPr>
        <w:pStyle w:val="BodyText"/>
        <w:spacing w:line="240" w:lineRule="auto"/>
      </w:pPr>
      <w:r w:rsidRPr="00FC2404">
        <w:rPr>
          <w:highlight w:val="yellow"/>
        </w:rPr>
        <w:t>Number of figures: 4</w:t>
      </w:r>
    </w:p>
    <w:p w14:paraId="20F5976E" w14:textId="77777777" w:rsidR="00FC2404" w:rsidRDefault="00FC2404" w:rsidP="00A4564C">
      <w:pPr>
        <w:pStyle w:val="FirstParagraph"/>
        <w:spacing w:line="240" w:lineRule="auto"/>
      </w:pPr>
      <w:bookmarkStart w:id="0" w:name="abstract"/>
      <w:bookmarkEnd w:id="0"/>
      <w:r>
        <w:rPr>
          <w:i/>
        </w:rPr>
        <w:t>Corresponding author:</w:t>
      </w:r>
      <w:r>
        <w:t xml:space="preserve">  Casey O'Hara, National Center for Ecological Analysis and Synthesis, 735 State Street, Suite 300, Santa Barbara CA 93101; (805) 892-2500; </w:t>
      </w:r>
      <w:hyperlink r:id="rId8">
        <w:r>
          <w:rPr>
            <w:rStyle w:val="Hyperlink"/>
          </w:rPr>
          <w:t>ohara@nceas.ucsb.edu</w:t>
        </w:r>
      </w:hyperlink>
    </w:p>
    <w:p w14:paraId="08BF0D23" w14:textId="77777777" w:rsidR="00FC2404" w:rsidRDefault="00FC2404">
      <w:pPr>
        <w:rPr>
          <w:rFonts w:asciiTheme="majorHAnsi" w:eastAsiaTheme="majorEastAsia" w:hAnsiTheme="majorHAnsi" w:cstheme="majorBidi"/>
          <w:b/>
          <w:bCs/>
          <w:color w:val="4F81BD" w:themeColor="accent1"/>
          <w:sz w:val="32"/>
          <w:szCs w:val="32"/>
        </w:rPr>
      </w:pPr>
      <w:r>
        <w:br w:type="page"/>
      </w:r>
    </w:p>
    <w:p w14:paraId="2467B7B5" w14:textId="77777777" w:rsidR="0066152E" w:rsidRDefault="00A730D2">
      <w:pPr>
        <w:pStyle w:val="Heading2"/>
      </w:pPr>
      <w:r>
        <w:lastRenderedPageBreak/>
        <w:t>Abstract</w:t>
      </w:r>
    </w:p>
    <w:p w14:paraId="39FF52E0" w14:textId="77777777" w:rsidR="0066152E" w:rsidRDefault="00A730D2" w:rsidP="00A4564C">
      <w:pPr>
        <w:pStyle w:val="FirstParagraph"/>
      </w:pPr>
      <w:r>
        <w:t>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representing 24,637 species (92.9% within AquaMaps, 16.3% within IUCN), with only 2,279 shared species. Here we examine differences in predicted species ranges between the two datasets and find that the divergent methodologies introduce differing frequencies of commission and omission errors. We illustrate scientific and management implications of these differences by repeating two recent applications - an assessment of global biodiversity within the Ocean Health Index and a global analysis of marine protected area coverage gaps - and find significantly different results depending on how the two datasets are used.</w:t>
      </w:r>
    </w:p>
    <w:p w14:paraId="131B3717" w14:textId="77777777" w:rsidR="00FC2404" w:rsidRDefault="00FC2404">
      <w:pPr>
        <w:rPr>
          <w:rFonts w:asciiTheme="majorHAnsi" w:eastAsiaTheme="majorEastAsia" w:hAnsiTheme="majorHAnsi" w:cstheme="majorBidi"/>
          <w:b/>
          <w:bCs/>
          <w:color w:val="345A8A" w:themeColor="accent1" w:themeShade="B5"/>
          <w:sz w:val="32"/>
          <w:szCs w:val="32"/>
        </w:rPr>
      </w:pPr>
      <w:bookmarkStart w:id="1" w:name="introduction"/>
      <w:bookmarkEnd w:id="1"/>
      <w:r>
        <w:br w:type="page"/>
      </w:r>
    </w:p>
    <w:p w14:paraId="161D2D6C" w14:textId="77777777" w:rsidR="0066152E" w:rsidRDefault="00FC2404">
      <w:pPr>
        <w:pStyle w:val="Heading1"/>
      </w:pPr>
      <w:r>
        <w:lastRenderedPageBreak/>
        <w:t>I</w:t>
      </w:r>
      <w:r w:rsidR="00A730D2">
        <w:t>ntroduction</w:t>
      </w:r>
    </w:p>
    <w:p w14:paraId="78644752" w14:textId="77777777" w:rsidR="0066152E" w:rsidRDefault="00A730D2" w:rsidP="00A4564C">
      <w:pPr>
        <w:pStyle w:val="FirstParagraph"/>
      </w:pPr>
      <w:r>
        <w:t>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14:paraId="3A1112BF" w14:textId="77777777" w:rsidR="0066152E" w:rsidRDefault="00A730D2" w:rsidP="00A4564C">
      <w:pPr>
        <w:pStyle w:val="BodyText"/>
      </w:pPr>
      <w:r>
        <w:t xml:space="preserve">One major outcome of this body of science is the various compiled databases of species distribution maps. Two global-scale repositories predict marine species ranges throughout the world's oceans – AquaMaps (Kaschner </w:t>
      </w:r>
      <w:r>
        <w:rPr>
          <w:i/>
        </w:rPr>
        <w:t>et al.</w:t>
      </w:r>
      <w:r>
        <w:t xml:space="preserve"> 2015) and International Union for Conservation of Nature (IUCN) (IUCN 2015). These two spatial datasets have been used in hundreds of studies and applications for a wide range of purposes, including assessing marine species status (Halpern </w:t>
      </w:r>
      <w:r>
        <w:rPr>
          <w:i/>
        </w:rPr>
        <w:t>et al.</w:t>
      </w:r>
      <w:r>
        <w:t xml:space="preserve"> 2012, 2015; Selig </w:t>
      </w:r>
      <w:r>
        <w:rPr>
          <w:i/>
        </w:rPr>
        <w:t>et al.</w:t>
      </w:r>
      <w:r>
        <w:t xml:space="preserve"> 2013), evaluating global biodiversity patterns (Coll </w:t>
      </w:r>
      <w:r>
        <w:rPr>
          <w:i/>
        </w:rPr>
        <w:t>et al.</w:t>
      </w:r>
      <w:r>
        <w:t xml:space="preserve"> 2010; Kaschner </w:t>
      </w:r>
      <w:r>
        <w:rPr>
          <w:i/>
        </w:rPr>
        <w:t>et al.</w:t>
      </w:r>
      <w:r>
        <w:t xml:space="preserve"> 2011; Martin </w:t>
      </w:r>
      <w:r>
        <w:rPr>
          <w:i/>
        </w:rPr>
        <w:t>et al.</w:t>
      </w:r>
      <w:r>
        <w:t xml:space="preserve"> 2014; Pimm </w:t>
      </w:r>
      <w:r>
        <w:rPr>
          <w:i/>
        </w:rPr>
        <w:t>et al.</w:t>
      </w:r>
      <w:r>
        <w:t xml:space="preserve"> 2014), predicting species range shifts (García Molinos </w:t>
      </w:r>
      <w:r>
        <w:rPr>
          <w:i/>
        </w:rPr>
        <w:t>et al.</w:t>
      </w:r>
      <w:r>
        <w:t xml:space="preserve"> 2015), and setting conservation priorities (Klein </w:t>
      </w:r>
      <w:r>
        <w:rPr>
          <w:i/>
        </w:rPr>
        <w:t>et al.</w:t>
      </w:r>
      <w:r>
        <w:t xml:space="preserve"> 2015).</w:t>
      </w:r>
    </w:p>
    <w:p w14:paraId="3C08E9E7" w14:textId="77777777" w:rsidR="0066152E" w:rsidRDefault="00A730D2" w:rsidP="00A4564C">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w:t>
      </w:r>
      <w:r>
        <w:lastRenderedPageBreak/>
        <w:t xml:space="preserve">from places or species that are most in need. Inaccurate indications of presence or absence could lead to ineffective marine reserve systems and management plans (Rondinini </w:t>
      </w:r>
      <w:r>
        <w:rPr>
          <w:i/>
        </w:rPr>
        <w:t>et al.</w:t>
      </w:r>
      <w:r>
        <w:t xml:space="preserve"> 2006; Jetz </w:t>
      </w:r>
      <w:r>
        <w:rPr>
          <w:i/>
        </w:rPr>
        <w:t>et al.</w:t>
      </w:r>
      <w:r>
        <w:t xml:space="preserve"> 2008).</w:t>
      </w:r>
    </w:p>
    <w:p w14:paraId="3D020574" w14:textId="77777777" w:rsidR="0066152E" w:rsidRDefault="00A730D2" w:rsidP="00A4564C">
      <w:pPr>
        <w:pStyle w:val="BodyText"/>
      </w:pPr>
      <w:r>
        <w:t>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14:paraId="1198185F" w14:textId="77777777" w:rsidR="0066152E" w:rsidRDefault="00A730D2" w:rsidP="00A4564C">
      <w:pPr>
        <w:pStyle w:val="BodyText"/>
      </w:pPr>
      <w:r>
        <w:t xml:space="preserve">We then reexamine two recent marine biodiversity studies - an assessment of the status of global biodiversity within the Ocean Health Index (Halpern </w:t>
      </w:r>
      <w:r>
        <w:rPr>
          <w:i/>
        </w:rPr>
        <w:t>et al.</w:t>
      </w:r>
      <w:r>
        <w:t xml:space="preserve"> 2012, 2015) and a global analysis of gaps in protection afforded by marine protected areas (MPAs) (Klein </w:t>
      </w:r>
      <w:r>
        <w:rPr>
          <w:i/>
        </w:rPr>
        <w:t>et al.</w:t>
      </w:r>
      <w:r>
        <w:t xml:space="preserve"> 2015) - as case studies to explore the implications of prioritizing one data set over the other. The results highlight possible consequences of different data use decisions on our understanding of marine biodiversity status and protection.</w:t>
      </w:r>
    </w:p>
    <w:p w14:paraId="12EBB733" w14:textId="77777777" w:rsidR="0066152E" w:rsidRDefault="00A730D2">
      <w:pPr>
        <w:pStyle w:val="Heading1"/>
      </w:pPr>
      <w:bookmarkStart w:id="2" w:name="methods"/>
      <w:bookmarkEnd w:id="2"/>
      <w:r>
        <w:t>Methods</w:t>
      </w:r>
    </w:p>
    <w:p w14:paraId="77DFEC53" w14:textId="77777777" w:rsidR="0066152E" w:rsidRDefault="00A730D2" w:rsidP="00A4564C">
      <w:pPr>
        <w:pStyle w:val="FirstParagraph"/>
      </w:pPr>
      <w:r>
        <w:rPr>
          <w:b/>
        </w:rPr>
        <w:t>Comparison of taxonomic and regional distribution</w:t>
      </w:r>
      <w:r>
        <w:t xml:space="preserve">: To examine the overall taxonomic distribution across the spatial datasets (Fig. 1A), we grouped species by </w:t>
      </w:r>
      <w:r>
        <w:lastRenderedPageBreak/>
        <w:t>taxonomic class and data source (IUCN, AquaMaps, or both), and examined the proportion of each class represented in each data source category.</w:t>
      </w:r>
    </w:p>
    <w:p w14:paraId="647A3352" w14:textId="77777777" w:rsidR="0066152E" w:rsidRDefault="00A730D2" w:rsidP="00A4564C">
      <w:pPr>
        <w:pStyle w:val="BodyText"/>
      </w:pPr>
      <w:r>
        <w:t>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14:paraId="3F0FC4B4" w14:textId="77777777" w:rsidR="0066152E" w:rsidRDefault="00A730D2" w:rsidP="00A4564C">
      <w:pPr>
        <w:pStyle w:val="BodyText"/>
      </w:pPr>
      <w:r>
        <w:rPr>
          <w:b/>
        </w:rPr>
        <w:t>Comparison of paired maps</w:t>
      </w:r>
      <w:r>
        <w:t>: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outlined above.</w:t>
      </w:r>
    </w:p>
    <w:p w14:paraId="5AFA0727" w14:textId="77777777" w:rsidR="0066152E" w:rsidRDefault="00A730D2" w:rsidP="00A4564C">
      <w:pPr>
        <w:pStyle w:val="BodyText"/>
      </w:pPr>
      <w:r>
        <w:t xml:space="preserve">Overlaying paired distribution maps for a given species, we defined and calculated </w:t>
      </w:r>
      <w:r>
        <w:rPr>
          <w:i/>
        </w:rPr>
        <w:t>distribution alignment</w:t>
      </w:r>
      <w:r>
        <w:t xml:space="preserve"> and </w:t>
      </w:r>
      <w:r>
        <w:rPr>
          <w:i/>
        </w:rPr>
        <w:t>area ratio</w:t>
      </w:r>
      <w:r>
        <w:t xml:space="preserve"> and plotted these in Fig. 2A:</w:t>
      </w:r>
    </w:p>
    <w:p w14:paraId="44F1543C" w14:textId="77777777" w:rsidR="0066152E" w:rsidRDefault="00A730D2" w:rsidP="00A4564C">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9395F4E" w14:textId="77777777" w:rsidR="0066152E" w:rsidRDefault="00A730D2" w:rsidP="00A4564C">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290A278D" w14:textId="77777777" w:rsidR="0066152E" w:rsidRDefault="00A730D2" w:rsidP="00A4564C">
      <w:pPr>
        <w:pStyle w:val="BodyText"/>
      </w:pPr>
      <w:r>
        <w:lastRenderedPageBreak/>
        <w:t xml:space="preserve">For each species with ranges described in both IUCN and AquaMaps,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t xml:space="preserve"> indicate the smaller and larger range representation (regardless of which dataset).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t xml:space="preserve"> 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 (QGIS Development Team 2015) to overlay a selection of IUCN and AquaMaps maps with a 200-meter bathymetry contour.</w:t>
      </w:r>
    </w:p>
    <w:p w14:paraId="059C1B93" w14:textId="77777777" w:rsidR="0066152E" w:rsidRDefault="00A730D2" w:rsidP="00A4564C">
      <w:pPr>
        <w:pStyle w:val="BodyText"/>
      </w:pPr>
      <w:r>
        <w:rPr>
          <w:b/>
        </w:rPr>
        <w:t>Methods for OHI case study:</w:t>
      </w:r>
      <w:r>
        <w:t xml:space="preserve"> Using methods and supplemental materials from OHI (Halpern </w:t>
      </w:r>
      <w:r>
        <w:rPr>
          <w:i/>
        </w:rPr>
        <w:t>et al.</w:t>
      </w:r>
      <w:r>
        <w:t xml:space="preserve"> 2012, 2015),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14:paraId="50DA9797" w14:textId="77777777" w:rsidR="0066152E" w:rsidRDefault="00A730D2" w:rsidP="00A4564C">
      <w:pPr>
        <w:pStyle w:val="BodyText"/>
      </w:pPr>
      <w:r>
        <w:rPr>
          <w:b/>
        </w:rPr>
        <w:t>Methods for MPA Gap Analysis case study:</w:t>
      </w:r>
      <w:r>
        <w:t xml:space="preserve"> Based upon the methods described in Klein et al. (2015), we reconstructed the analysis using the subset of protected areas from the World Database on Protected Areas (WDPA) (IUCN &amp; UNEP-WCMC 2014) 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w:t>
      </w:r>
      <w:r>
        <w:lastRenderedPageBreak/>
        <w:t>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14:paraId="6CF656BE" w14:textId="77777777" w:rsidR="0066152E" w:rsidRDefault="00A730D2" w:rsidP="00A4564C">
      <w:pPr>
        <w:pStyle w:val="BodyText"/>
      </w:pPr>
      <w:r>
        <w:t xml:space="preserve">All processing was completed using R statistical software (R Core Team 2016), and all code and intermediate data are available on GitHub at </w:t>
      </w:r>
      <w:hyperlink r:id="rId9">
        <w:r>
          <w:rPr>
            <w:rStyle w:val="Hyperlink"/>
          </w:rPr>
          <w:t>https://github.com/OHI-Science/IUCN-AquaMaps</w:t>
        </w:r>
      </w:hyperlink>
      <w:r>
        <w:t>.</w:t>
      </w:r>
    </w:p>
    <w:p w14:paraId="416A9D87" w14:textId="77777777" w:rsidR="0066152E" w:rsidRDefault="00A730D2">
      <w:pPr>
        <w:pStyle w:val="Heading1"/>
      </w:pPr>
      <w:bookmarkStart w:id="3" w:name="results-and-discussion"/>
      <w:bookmarkEnd w:id="3"/>
      <w:r>
        <w:t>Results</w:t>
      </w:r>
    </w:p>
    <w:p w14:paraId="322A0A1A" w14:textId="77777777" w:rsidR="0066152E" w:rsidRDefault="00A730D2" w:rsidP="00A4564C">
      <w:pPr>
        <w:pStyle w:val="FirstParagraph"/>
      </w:pPr>
      <w:r>
        <w:t xml:space="preserve">The IUCN publishes species range maps based on expert input of spatial boundaries of a given species' "limits of distribution" (IUCN 2015) -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 (Kaschner </w:t>
      </w:r>
      <w:r>
        <w:rPr>
          <w:i/>
        </w:rPr>
        <w:t>et al.</w:t>
      </w:r>
      <w:r>
        <w:t xml:space="preserve"> 2006; Ready </w:t>
      </w:r>
      <w:r>
        <w:rPr>
          <w:i/>
        </w:rPr>
        <w:t>et al.</w:t>
      </w:r>
      <w:r>
        <w:t xml:space="preserve"> 2010). Studies using AquaMaps data frequently define "presence" by </w:t>
      </w:r>
      <w:r>
        <w:lastRenderedPageBreak/>
        <w:t xml:space="preserve">applying a probability threshold, e.g., the Ocean Health Index defines presence as 40% or greater probability of occurrence (Halpern </w:t>
      </w:r>
      <w:r>
        <w:rPr>
          <w:i/>
        </w:rPr>
        <w:t>et al.</w:t>
      </w:r>
      <w:r>
        <w:t xml:space="preserve"> 2012, 2015).</w:t>
      </w:r>
    </w:p>
    <w:p w14:paraId="11D25AEB" w14:textId="77777777" w:rsidR="0066152E" w:rsidRDefault="00A730D2" w:rsidP="00A4564C">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 (Rondinini </w:t>
      </w:r>
      <w:r>
        <w:rPr>
          <w:i/>
        </w:rPr>
        <w:t>et al.</w:t>
      </w:r>
      <w:r>
        <w:t xml:space="preserve"> 2006). By comparing maps resulting from IUCN and AquaMaps methodologies, we can identify and possibly address mechanistic causes for each type of error.</w:t>
      </w:r>
    </w:p>
    <w:p w14:paraId="4DF6AA2F" w14:textId="77777777" w:rsidR="0066152E" w:rsidRDefault="00A730D2" w:rsidP="00A4564C">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 To achieve more comprehensive global coverage of species ranges these two datasets can be used </w:t>
      </w:r>
      <w:r>
        <w:lastRenderedPageBreak/>
        <w:t>together, but the underlying methodological differences complicate such direct comparisons.</w:t>
      </w:r>
    </w:p>
    <w:p w14:paraId="0AEBAB7D" w14:textId="77777777" w:rsidR="0066152E" w:rsidRDefault="00A730D2" w:rsidP="00A4564C">
      <w:pPr>
        <w:pStyle w:val="BodyText"/>
      </w:pPr>
      <w:r>
        <w:t>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14:paraId="0E1E88CB" w14:textId="77777777" w:rsidR="0066152E" w:rsidRDefault="00A730D2" w:rsidP="00A4564C">
      <w:pPr>
        <w:pStyle w:val="BodyText"/>
      </w:pPr>
      <w:r>
        <w:t>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14:paraId="447297EE" w14:textId="77777777" w:rsidR="0066152E" w:rsidRDefault="00A730D2" w:rsidP="00A4564C">
      <w:pPr>
        <w:pStyle w:val="BodyText"/>
      </w:pPr>
      <w:r>
        <w:lastRenderedPageBreak/>
        <w:t>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14:paraId="7B3B6A89" w14:textId="77777777" w:rsidR="0066152E" w:rsidRDefault="00A730D2" w:rsidP="00A4564C">
      <w:pPr>
        <w:pStyle w:val="BodyText"/>
      </w:pPr>
      <w:r>
        <w:t>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preference is explicitly included in AquaMaps models, while depth is frequently overlooked as a factor in IUCN range maps. Simply clipping IUCN range maps to known depth preferences would resolve many of these mismatches.</w:t>
      </w:r>
    </w:p>
    <w:p w14:paraId="31730B3F" w14:textId="77777777" w:rsidR="0066152E" w:rsidRDefault="00A730D2" w:rsidP="00A4564C">
      <w:pPr>
        <w:pStyle w:val="BodyText"/>
      </w:pPr>
      <w:r>
        <w:t>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unhelpful when the distributions are poorly aligned.</w:t>
      </w:r>
    </w:p>
    <w:p w14:paraId="258344EF" w14:textId="77777777" w:rsidR="0066152E" w:rsidRDefault="00A730D2" w:rsidP="00A4564C">
      <w:pPr>
        <w:pStyle w:val="BodyText"/>
      </w:pPr>
      <w:r>
        <w:lastRenderedPageBreak/>
        <w:t>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 (OBIS 2016) and the Global Biodiversity Information Facility (GBIF) (GBIF 2010))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14:paraId="37F83E85" w14:textId="77777777" w:rsidR="0066152E" w:rsidRDefault="00A730D2">
      <w:pPr>
        <w:pStyle w:val="Heading1"/>
      </w:pPr>
      <w:bookmarkStart w:id="4" w:name="implications"/>
      <w:bookmarkEnd w:id="4"/>
      <w:r>
        <w:t>Discussion</w:t>
      </w:r>
    </w:p>
    <w:p w14:paraId="498348E9" w14:textId="77777777" w:rsidR="0066152E" w:rsidRDefault="00A730D2" w:rsidP="00A4564C">
      <w:pPr>
        <w:pStyle w:val="FirstParagraph"/>
      </w:pPr>
      <w:r>
        <w:t>Method-driven differences in commission and omission errors produce clear and significant disagreement in species range descriptions between AquaMaps and IUCN datasets. To examine the implications of these differences, we repeated two recent studies, varying only the prioritization of one data set over the other.</w:t>
      </w:r>
    </w:p>
    <w:p w14:paraId="4C90EF41" w14:textId="77777777" w:rsidR="0066152E" w:rsidRPr="00D17FE4" w:rsidRDefault="00A730D2" w:rsidP="00A4564C">
      <w:pPr>
        <w:pStyle w:val="BodyText"/>
        <w:rPr>
          <w:b/>
        </w:rPr>
      </w:pPr>
      <w:bookmarkStart w:id="5" w:name="_GoBack"/>
      <w:r w:rsidRPr="00D17FE4">
        <w:rPr>
          <w:b/>
        </w:rPr>
        <w:t>Case Study: The Ocean Health Index</w:t>
      </w:r>
    </w:p>
    <w:bookmarkEnd w:id="5"/>
    <w:p w14:paraId="6F377DEE" w14:textId="77777777" w:rsidR="0066152E" w:rsidRDefault="00A730D2" w:rsidP="00A4564C">
      <w:pPr>
        <w:pStyle w:val="BodyText"/>
      </w:pPr>
      <w:r>
        <w:t xml:space="preserve">The global Ocean Health Index (OHI) (Halpern </w:t>
      </w:r>
      <w:r>
        <w:rPr>
          <w:i/>
        </w:rPr>
        <w:t>et al.</w:t>
      </w:r>
      <w:r>
        <w:t xml:space="preserve"> 2012, 2015),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w:t>
      </w:r>
      <w:r>
        <w:lastRenderedPageBreak/>
        <w:t>datasets (n = 7,963), prioritizing IUCN data for the 2,026 species included in both sources. OHI currently uses a probability of occurrence threshold of 40% to determine species presence for AquaMaps data.</w:t>
      </w:r>
    </w:p>
    <w:p w14:paraId="3EE71430" w14:textId="77777777" w:rsidR="0066152E" w:rsidRDefault="00A730D2" w:rsidP="00A4564C">
      <w:pPr>
        <w:pStyle w:val="BodyText"/>
      </w:pPr>
      <w:r>
        <w:t>We calculated the OHI species status score under several scenarios to observe the impact of toggling the prioritized data set from IUCN to AquaMaps, and toggling the AquaMaps presence threshold from 40% to 0% (Fig. 3).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14:paraId="41FE51AD" w14:textId="77777777" w:rsidR="0066152E" w:rsidRDefault="00A730D2" w:rsidP="00A4564C">
      <w:pPr>
        <w:pStyle w:val="BodyText"/>
      </w:pPr>
      <w:r>
        <w:t>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14:paraId="54902453" w14:textId="77777777" w:rsidR="0066152E" w:rsidRPr="00D17FE4" w:rsidRDefault="00A730D2" w:rsidP="00A4564C">
      <w:pPr>
        <w:pStyle w:val="BodyText"/>
        <w:rPr>
          <w:b/>
        </w:rPr>
      </w:pPr>
      <w:r w:rsidRPr="00D17FE4">
        <w:rPr>
          <w:b/>
        </w:rPr>
        <w:t>Case Study: MPA Gap Analysis</w:t>
      </w:r>
    </w:p>
    <w:p w14:paraId="38CE731F" w14:textId="77777777" w:rsidR="0066152E" w:rsidRDefault="00A730D2" w:rsidP="00A4564C">
      <w:pPr>
        <w:pStyle w:val="BodyText"/>
      </w:pPr>
      <w:r>
        <w:lastRenderedPageBreak/>
        <w:t>Klein et al. (2015) 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14:paraId="63234679" w14:textId="77777777" w:rsidR="0066152E" w:rsidRDefault="00A730D2" w:rsidP="00A4564C">
      <w:pPr>
        <w:pStyle w:val="BodyText"/>
      </w:pPr>
      <w:r>
        <w:t>We recalculated the amount of under-protected and gap species using either IUCN or AquaMaps data (using the most recent AquaMaps data and a 0% threshold to allow the most meaningful comparison to IUCN's "limits of distribution", Fig. 4).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14:paraId="5B538478" w14:textId="77777777" w:rsidR="0066152E" w:rsidRDefault="00A730D2">
      <w:pPr>
        <w:pStyle w:val="Heading1"/>
      </w:pPr>
      <w:bookmarkStart w:id="6" w:name="conclusions"/>
      <w:bookmarkEnd w:id="6"/>
      <w:r>
        <w:t>Conclusions</w:t>
      </w:r>
    </w:p>
    <w:p w14:paraId="2E0DDABE" w14:textId="77777777" w:rsidR="0066152E" w:rsidRDefault="00A730D2" w:rsidP="00A4564C">
      <w:pPr>
        <w:pStyle w:val="FirstParagraph"/>
      </w:pPr>
      <w:r>
        <w:t xml:space="preserve">AquaMaps and IUCN range maps show reasonable agreement for many well-studied species, but substantial differences illustrate uncertainty in our understanding of </w:t>
      </w:r>
      <w:r>
        <w:lastRenderedPageBreak/>
        <w:t>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14:paraId="648D7B1F" w14:textId="77777777" w:rsidR="0066152E" w:rsidRPr="00A4564C" w:rsidRDefault="00A730D2" w:rsidP="00A4564C">
      <w:pPr>
        <w:pStyle w:val="BodyText"/>
      </w:pPr>
      <w:r w:rsidRPr="00A4564C">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w:t>
      </w:r>
      <w:proofErr w:type="spellStart"/>
      <w:r w:rsidRPr="00A4564C">
        <w:t>AquaMaps</w:t>
      </w:r>
      <w:proofErr w:type="spellEnd"/>
      <w:r w:rsidRPr="00A4564C">
        <w:t xml:space="preserve"> range data, dependent primarily on environmental and physical preferences and conditions, implementing area restrictions based on </w:t>
      </w:r>
      <w:proofErr w:type="spellStart"/>
      <w:r w:rsidRPr="00A4564C">
        <w:t>biogeographical</w:t>
      </w:r>
      <w:proofErr w:type="spellEnd"/>
      <w:r w:rsidRPr="00A4564C">
        <w:t xml:space="preserve"> criteria such as Marine </w:t>
      </w:r>
      <w:proofErr w:type="spellStart"/>
      <w:r w:rsidRPr="00A4564C">
        <w:t>Ecoregions</w:t>
      </w:r>
      <w:proofErr w:type="spellEnd"/>
      <w:r w:rsidRPr="00A4564C">
        <w:t xml:space="preserve"> of the World (Spalding et al. 2007) 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w:t>
      </w:r>
      <w:proofErr w:type="spellStart"/>
      <w:r w:rsidRPr="00A4564C">
        <w:t>occurcells</w:t>
      </w:r>
      <w:proofErr w:type="spellEnd"/>
      <w:r w:rsidRPr="00A4564C">
        <w:t xml:space="preserve">" attribute in the </w:t>
      </w:r>
      <w:proofErr w:type="spellStart"/>
      <w:r w:rsidRPr="00A4564C">
        <w:t>AquaMaps</w:t>
      </w:r>
      <w:proofErr w:type="spellEnd"/>
      <w:r w:rsidRPr="00A4564C">
        <w:t xml:space="preserve"> data set, which counts the number of half-degree cells used to generate the environmental envelope for each species, can be used in a similar manner.</w:t>
      </w:r>
    </w:p>
    <w:p w14:paraId="22B934C5" w14:textId="77777777" w:rsidR="0066152E" w:rsidRDefault="00A730D2" w:rsidP="00A4564C">
      <w:pPr>
        <w:pStyle w:val="BodyText"/>
      </w:pPr>
      <w:r>
        <w:lastRenderedPageBreak/>
        <w:t>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14:paraId="362A419C" w14:textId="77777777" w:rsidR="0066152E" w:rsidRDefault="00A730D2" w:rsidP="00A4564C">
      <w:pPr>
        <w:pStyle w:val="BodyText"/>
      </w:pPr>
      <w:r>
        <w:t>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14:paraId="22F9D235" w14:textId="77777777" w:rsidR="00A4564C" w:rsidRDefault="00A4564C">
      <w:pPr>
        <w:rPr>
          <w:rFonts w:asciiTheme="majorHAnsi" w:eastAsiaTheme="majorEastAsia" w:hAnsiTheme="majorHAnsi" w:cstheme="majorBidi"/>
          <w:b/>
          <w:bCs/>
          <w:color w:val="345A8A" w:themeColor="accent1" w:themeShade="B5"/>
          <w:sz w:val="32"/>
          <w:szCs w:val="32"/>
        </w:rPr>
      </w:pPr>
      <w:bookmarkStart w:id="7" w:name="acknowledgments"/>
      <w:bookmarkEnd w:id="7"/>
      <w:r>
        <w:br w:type="page"/>
      </w:r>
    </w:p>
    <w:p w14:paraId="0CC55428" w14:textId="12DF7E37" w:rsidR="0066152E" w:rsidRDefault="00A730D2">
      <w:pPr>
        <w:pStyle w:val="Heading1"/>
      </w:pPr>
      <w:r>
        <w:lastRenderedPageBreak/>
        <w:t>Acknowledgments</w:t>
      </w:r>
    </w:p>
    <w:p w14:paraId="093A47C5" w14:textId="77777777" w:rsidR="0066152E" w:rsidRDefault="00A730D2" w:rsidP="00A4564C">
      <w:pPr>
        <w:pStyle w:val="FirstParagraph"/>
      </w:pPr>
      <w:r>
        <w:t>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14:paraId="19D3A3B5" w14:textId="77777777" w:rsidR="00A4564C" w:rsidRDefault="00A4564C">
      <w:pPr>
        <w:rPr>
          <w:rFonts w:asciiTheme="majorHAnsi" w:eastAsiaTheme="majorEastAsia" w:hAnsiTheme="majorHAnsi" w:cstheme="majorBidi"/>
          <w:b/>
          <w:bCs/>
          <w:color w:val="345A8A" w:themeColor="accent1" w:themeShade="B5"/>
          <w:sz w:val="32"/>
          <w:szCs w:val="32"/>
        </w:rPr>
      </w:pPr>
      <w:bookmarkStart w:id="8" w:name="references"/>
      <w:bookmarkEnd w:id="8"/>
      <w:r>
        <w:br w:type="page"/>
      </w:r>
    </w:p>
    <w:p w14:paraId="7B167687" w14:textId="65020701" w:rsidR="0066152E" w:rsidRDefault="00A730D2">
      <w:pPr>
        <w:pStyle w:val="Heading1"/>
      </w:pPr>
      <w:r>
        <w:lastRenderedPageBreak/>
        <w:t>References</w:t>
      </w:r>
    </w:p>
    <w:p w14:paraId="27CE19B2" w14:textId="77777777" w:rsidR="0066152E" w:rsidRDefault="00A730D2">
      <w:pPr>
        <w:pStyle w:val="Bibliography"/>
      </w:pPr>
      <w:r>
        <w:t xml:space="preserve">1.Coll, M., Piroddi, C., Steenbeek, J., Kaschner, K., Ben Rais Lasram, F. &amp; Aguzzi, J. </w:t>
      </w:r>
      <w:r>
        <w:rPr>
          <w:i/>
        </w:rPr>
        <w:t>et al.</w:t>
      </w:r>
      <w:r>
        <w:t xml:space="preserve"> (2010). The biodiversity of the mediterranean sea: Estimates, patterns, and threats. </w:t>
      </w:r>
      <w:r>
        <w:rPr>
          <w:i/>
        </w:rPr>
        <w:t>PLoS ONE</w:t>
      </w:r>
      <w:r>
        <w:t>, 5, e11842.</w:t>
      </w:r>
    </w:p>
    <w:p w14:paraId="28BC96DC" w14:textId="77777777" w:rsidR="0066152E" w:rsidRDefault="00A730D2">
      <w:pPr>
        <w:pStyle w:val="Bibliography"/>
      </w:pPr>
      <w:r>
        <w:t xml:space="preserve">2.García Molinos, J., Halpern, B.S., Schoeman, D.S., Brown, C.J., Kiessling, W. &amp; Moore, P.J. </w:t>
      </w:r>
      <w:r>
        <w:rPr>
          <w:i/>
        </w:rPr>
        <w:t>et al.</w:t>
      </w:r>
      <w:r>
        <w:t xml:space="preserve"> (2015). Climate velocity and the future global redistribution of marine biodiversity. </w:t>
      </w:r>
      <w:r>
        <w:rPr>
          <w:i/>
        </w:rPr>
        <w:t>Nature Climate Change</w:t>
      </w:r>
      <w:r>
        <w:t>, 6, 83–88.</w:t>
      </w:r>
    </w:p>
    <w:p w14:paraId="65F43D8D" w14:textId="77777777" w:rsidR="0066152E" w:rsidRDefault="00A730D2">
      <w:pPr>
        <w:pStyle w:val="Bibliography"/>
      </w:pPr>
      <w:r>
        <w:t xml:space="preserve">3.GBIF. (2010). </w:t>
      </w:r>
      <w:r>
        <w:rPr>
          <w:i/>
        </w:rPr>
        <w:t>Global biodiversity information facility (GBIF) memorandum of understanding. Global biodiversity information facility</w:t>
      </w:r>
      <w:r>
        <w:t xml:space="preserve">. Available at: </w:t>
      </w:r>
      <w:hyperlink r:id="rId10">
        <w:r>
          <w:rPr>
            <w:rStyle w:val="Hyperlink"/>
          </w:rPr>
          <w:t>http://www.gbif.org/resource/80661</w:t>
        </w:r>
      </w:hyperlink>
      <w:r>
        <w:t>. Last accessed 29 February 2016.</w:t>
      </w:r>
    </w:p>
    <w:p w14:paraId="65EA3CF0" w14:textId="77777777" w:rsidR="0066152E" w:rsidRDefault="00A730D2">
      <w:pPr>
        <w:pStyle w:val="Bibliography"/>
      </w:pPr>
      <w:r>
        <w:t xml:space="preserve">4.Halpern, B.S., Longo, C., Hardy, D., McLeod, K.L., Samhouri, J.F. &amp; Katona, S.K. </w:t>
      </w:r>
      <w:r>
        <w:rPr>
          <w:i/>
        </w:rPr>
        <w:t>et al.</w:t>
      </w:r>
      <w:r>
        <w:t xml:space="preserve"> (2012). An index to assess the health and benefits of the global ocean. </w:t>
      </w:r>
      <w:r>
        <w:rPr>
          <w:i/>
        </w:rPr>
        <w:t>Nature</w:t>
      </w:r>
      <w:r>
        <w:t>, 488, 615–620.</w:t>
      </w:r>
    </w:p>
    <w:p w14:paraId="6630A08C" w14:textId="77777777" w:rsidR="0066152E" w:rsidRDefault="00A730D2">
      <w:pPr>
        <w:pStyle w:val="Bibliography"/>
      </w:pPr>
      <w:r>
        <w:t xml:space="preserve">5.Halpern, B.S., Longo, C., Lowndes, J.S.S., Best, B.D., Frazier, M. &amp; Katona, S.K. </w:t>
      </w:r>
      <w:r>
        <w:rPr>
          <w:i/>
        </w:rPr>
        <w:t>et al.</w:t>
      </w:r>
      <w:r>
        <w:t xml:space="preserve"> (2015). Patterns and emerging trends in global ocean health. </w:t>
      </w:r>
      <w:r>
        <w:rPr>
          <w:i/>
        </w:rPr>
        <w:t>PLOS ONE</w:t>
      </w:r>
      <w:r>
        <w:t>, 10, e0117863.</w:t>
      </w:r>
    </w:p>
    <w:p w14:paraId="728C0122" w14:textId="77777777" w:rsidR="0066152E" w:rsidRDefault="00A730D2">
      <w:pPr>
        <w:pStyle w:val="Bibliography"/>
      </w:pPr>
      <w:r>
        <w:t xml:space="preserve">6.IUCN. (2015). </w:t>
      </w:r>
      <w:r>
        <w:rPr>
          <w:i/>
        </w:rPr>
        <w:t>The IUCN red list of threatened species. International union for the conservation of nature</w:t>
      </w:r>
      <w:r>
        <w:t xml:space="preserve">. Available at: </w:t>
      </w:r>
      <w:hyperlink r:id="rId11">
        <w:r>
          <w:rPr>
            <w:rStyle w:val="Hyperlink"/>
          </w:rPr>
          <w:t>http://www.iucnredlist.org</w:t>
        </w:r>
      </w:hyperlink>
      <w:r>
        <w:t>. Last accessed 21 December 2015.</w:t>
      </w:r>
    </w:p>
    <w:p w14:paraId="0014733C" w14:textId="77777777" w:rsidR="0066152E" w:rsidRDefault="00A730D2">
      <w:pPr>
        <w:pStyle w:val="Bibliography"/>
      </w:pPr>
      <w:r>
        <w:t xml:space="preserve">7.IUCN &amp; UNEP-WCMC. (2014). </w:t>
      </w:r>
      <w:r>
        <w:rPr>
          <w:i/>
        </w:rPr>
        <w:t>The world database on protected areas (WDPA). Cambridge, UK: UNEP-WCMC</w:t>
      </w:r>
      <w:r>
        <w:t xml:space="preserve">. Available at: </w:t>
      </w:r>
      <w:hyperlink r:id="rId12">
        <w:r>
          <w:rPr>
            <w:rStyle w:val="Hyperlink"/>
          </w:rPr>
          <w:t>www.protectedplanet.net</w:t>
        </w:r>
      </w:hyperlink>
      <w:r>
        <w:t>. Last accessed 1 December 2014.</w:t>
      </w:r>
    </w:p>
    <w:p w14:paraId="2B957E45" w14:textId="77777777" w:rsidR="0066152E" w:rsidRDefault="00A730D2">
      <w:pPr>
        <w:pStyle w:val="Bibliography"/>
      </w:pPr>
      <w:r>
        <w:t xml:space="preserve">8.Jetz, W., Sekercioglu, C.H. &amp; Watson, J.E.M. (2008). Ecological correlates and conservation implications of overestimating species geographic ranges: </w:t>
      </w:r>
      <w:r>
        <w:rPr>
          <w:i/>
        </w:rPr>
        <w:t>Overestimation of species ranges</w:t>
      </w:r>
      <w:r>
        <w:t xml:space="preserve">. </w:t>
      </w:r>
      <w:r>
        <w:rPr>
          <w:i/>
        </w:rPr>
        <w:t>Conservation Biology</w:t>
      </w:r>
      <w:r>
        <w:t>, 22, 110–119.</w:t>
      </w:r>
    </w:p>
    <w:p w14:paraId="2119DCC2" w14:textId="77777777" w:rsidR="0066152E" w:rsidRDefault="00A730D2">
      <w:pPr>
        <w:pStyle w:val="Bibliography"/>
      </w:pPr>
      <w:r>
        <w:t xml:space="preserve">9.Kaschner, K., Rius-Barile, J., Kesner-Reyes, K., Garilao, C., Kullander, S. &amp; Rees, T. </w:t>
      </w:r>
      <w:r>
        <w:rPr>
          <w:i/>
        </w:rPr>
        <w:t>et al.</w:t>
      </w:r>
      <w:r>
        <w:t xml:space="preserve"> (2015). </w:t>
      </w:r>
      <w:r>
        <w:rPr>
          <w:i/>
        </w:rPr>
        <w:t>AquaMaps: Predicted range maps for aquatic species</w:t>
      </w:r>
      <w:r>
        <w:t xml:space="preserve">. Available at: </w:t>
      </w:r>
      <w:hyperlink r:id="rId13">
        <w:r>
          <w:rPr>
            <w:rStyle w:val="Hyperlink"/>
          </w:rPr>
          <w:t>www.aquamaps.org</w:t>
        </w:r>
      </w:hyperlink>
      <w:r>
        <w:t>. Last accessed 21 December 2015.</w:t>
      </w:r>
    </w:p>
    <w:p w14:paraId="7836CEB9" w14:textId="77777777" w:rsidR="0066152E" w:rsidRDefault="00A730D2">
      <w:pPr>
        <w:pStyle w:val="Bibliography"/>
      </w:pPr>
      <w:r>
        <w:t xml:space="preserve">10.Kaschner, K., Tittensor, D.P., Ready, J., Gerrodette, T. &amp; Worm, B. (2011). Current and future patterns of global marine mammal biodiversity. </w:t>
      </w:r>
      <w:r>
        <w:rPr>
          <w:i/>
        </w:rPr>
        <w:t>PLoS ONE</w:t>
      </w:r>
      <w:r>
        <w:t>, 6, e19653.</w:t>
      </w:r>
    </w:p>
    <w:p w14:paraId="69A57DA6" w14:textId="77777777" w:rsidR="0066152E" w:rsidRDefault="00A730D2">
      <w:pPr>
        <w:pStyle w:val="Bibliography"/>
      </w:pPr>
      <w:r>
        <w:t xml:space="preserve">11.Kaschner, K., Watson, R., Trites, A.W., Pauly, D. &amp; others. (2006). Mapping world-wide distributions of marine mammal species using a relative environmental suitability (RES) model. </w:t>
      </w:r>
      <w:r>
        <w:rPr>
          <w:i/>
        </w:rPr>
        <w:t>Marine Ecology Progress Series</w:t>
      </w:r>
      <w:r>
        <w:t>, 316, 2–3.</w:t>
      </w:r>
    </w:p>
    <w:p w14:paraId="0CD23F9F" w14:textId="77777777" w:rsidR="0066152E" w:rsidRDefault="00A730D2">
      <w:pPr>
        <w:pStyle w:val="Bibliography"/>
      </w:pPr>
      <w:r>
        <w:t xml:space="preserve">12.Klein, C.J., Brown, C.J., Halpern, B.S., Segan, D.B., McGowan, J. &amp; Beger, M. </w:t>
      </w:r>
      <w:r>
        <w:rPr>
          <w:i/>
        </w:rPr>
        <w:t>et al.</w:t>
      </w:r>
      <w:r>
        <w:t xml:space="preserve"> (2015). Shortfalls in the global protected area network at representing marine biodiversity. </w:t>
      </w:r>
      <w:r>
        <w:rPr>
          <w:i/>
        </w:rPr>
        <w:t>Scientific Reports</w:t>
      </w:r>
      <w:r>
        <w:t>, 5, 17539.</w:t>
      </w:r>
    </w:p>
    <w:p w14:paraId="78DF62F7" w14:textId="77777777" w:rsidR="0066152E" w:rsidRDefault="00A730D2">
      <w:pPr>
        <w:pStyle w:val="Bibliography"/>
      </w:pPr>
      <w:r>
        <w:lastRenderedPageBreak/>
        <w:t xml:space="preserve">13.Martin, C., Fletcher, R., Jones, M., Kaschner, K., Sullivan, E. &amp; Tittensor, D.P. </w:t>
      </w:r>
      <w:r>
        <w:rPr>
          <w:i/>
        </w:rPr>
        <w:t>et al.</w:t>
      </w:r>
      <w:r>
        <w:t xml:space="preserve"> (2014). </w:t>
      </w:r>
      <w:r>
        <w:rPr>
          <w:i/>
        </w:rPr>
        <w:t>Manual of marine and coastal datasets of biodiversity importance</w:t>
      </w:r>
      <w:r>
        <w:t>. United Nations Environment Programme.</w:t>
      </w:r>
    </w:p>
    <w:p w14:paraId="2CE4A461" w14:textId="77777777" w:rsidR="0066152E" w:rsidRDefault="00A730D2">
      <w:pPr>
        <w:pStyle w:val="Bibliography"/>
      </w:pPr>
      <w:r>
        <w:t xml:space="preserve">14.OBIS. (2016). </w:t>
      </w:r>
      <w:r>
        <w:rPr>
          <w:i/>
        </w:rPr>
        <w:t>Data from the ocean biogeographic information system. Intergovernmental oceanographic commission of UNESCO</w:t>
      </w:r>
      <w:r>
        <w:t xml:space="preserve">. Available at: </w:t>
      </w:r>
      <w:hyperlink r:id="rId14">
        <w:r>
          <w:rPr>
            <w:rStyle w:val="Hyperlink"/>
          </w:rPr>
          <w:t>http://www.iobis.org</w:t>
        </w:r>
      </w:hyperlink>
      <w:r>
        <w:t>. Last accessed 29 February 2016.</w:t>
      </w:r>
    </w:p>
    <w:p w14:paraId="5A82E073" w14:textId="77777777" w:rsidR="0066152E" w:rsidRDefault="00A730D2">
      <w:pPr>
        <w:pStyle w:val="Bibliography"/>
      </w:pPr>
      <w:r>
        <w:t xml:space="preserve">15.Pimm, S.L., Jenkins, C.N., Abell, R., Brooks, T.M., Gittleman, J.L. &amp; Joppa, L.N. </w:t>
      </w:r>
      <w:r>
        <w:rPr>
          <w:i/>
        </w:rPr>
        <w:t>et al.</w:t>
      </w:r>
      <w:r>
        <w:t xml:space="preserve"> (2014). The biodiversity of species and their rates of extinction, distribution, and protection. </w:t>
      </w:r>
      <w:r>
        <w:rPr>
          <w:i/>
        </w:rPr>
        <w:t>Science</w:t>
      </w:r>
      <w:r>
        <w:t>, 344, 1246752–1–1246752–10.</w:t>
      </w:r>
    </w:p>
    <w:p w14:paraId="69E972FE" w14:textId="77777777" w:rsidR="0066152E" w:rsidRDefault="00A730D2">
      <w:pPr>
        <w:pStyle w:val="Bibliography"/>
      </w:pPr>
      <w:r>
        <w:t xml:space="preserve">16.QGIS Development Team. (2015). </w:t>
      </w:r>
      <w:r>
        <w:rPr>
          <w:i/>
        </w:rPr>
        <w:t>QGIS geographic information system</w:t>
      </w:r>
      <w:r>
        <w:t>. Open Source Geospatial Foundation Project.</w:t>
      </w:r>
    </w:p>
    <w:p w14:paraId="3BED6499" w14:textId="77777777" w:rsidR="0066152E" w:rsidRDefault="00A730D2">
      <w:pPr>
        <w:pStyle w:val="Bibliography"/>
      </w:pPr>
      <w:r>
        <w:t xml:space="preserve">17.R Core Team. (2016). </w:t>
      </w:r>
      <w:r>
        <w:rPr>
          <w:i/>
        </w:rPr>
        <w:t>R: A language and environment for statistical computing</w:t>
      </w:r>
      <w:r>
        <w:t>. R Foundation for Statistical Computing, Vienna, Austria.</w:t>
      </w:r>
    </w:p>
    <w:p w14:paraId="1D3911C2" w14:textId="77777777" w:rsidR="0066152E" w:rsidRDefault="00A730D2">
      <w:pPr>
        <w:pStyle w:val="Bibliography"/>
      </w:pPr>
      <w:r>
        <w:t xml:space="preserve">18.Ready, J., Kaschner, K., South, A.B., Eastwood, P.D., Rees, T. &amp; Rius, J. </w:t>
      </w:r>
      <w:r>
        <w:rPr>
          <w:i/>
        </w:rPr>
        <w:t>et al.</w:t>
      </w:r>
      <w:r>
        <w:t xml:space="preserve"> (2010). Predicting the distributions of marine organisms at the global scale. </w:t>
      </w:r>
      <w:r>
        <w:rPr>
          <w:i/>
        </w:rPr>
        <w:t>Ecological Modelling</w:t>
      </w:r>
      <w:r>
        <w:t>, 221, 467–478.</w:t>
      </w:r>
    </w:p>
    <w:p w14:paraId="316B0097" w14:textId="77777777" w:rsidR="0066152E" w:rsidRDefault="00A730D2">
      <w:pPr>
        <w:pStyle w:val="Bibliography"/>
      </w:pPr>
      <w:r>
        <w:t xml:space="preserve">19.Rondinini, C., Wilson, K.A., Boitani, L., Grantham, H. &amp; Possingham, H.P. (2006). Tradeoffs of different types of species occurrence data for use in systematic conservation planning: Species data for conservation planning. </w:t>
      </w:r>
      <w:r>
        <w:rPr>
          <w:i/>
        </w:rPr>
        <w:t>Ecology Letters</w:t>
      </w:r>
      <w:r>
        <w:t>, 9, 1136–1145.</w:t>
      </w:r>
    </w:p>
    <w:p w14:paraId="710274C6" w14:textId="77777777" w:rsidR="0066152E" w:rsidRDefault="00A730D2">
      <w:pPr>
        <w:pStyle w:val="Bibliography"/>
      </w:pPr>
      <w:r>
        <w:t xml:space="preserve">20.Selig, E.R., Longo, C., Halpern, B.S., Best, B.D., Hardy, D. &amp; Elfes, C.T. </w:t>
      </w:r>
      <w:r>
        <w:rPr>
          <w:i/>
        </w:rPr>
        <w:t>et al.</w:t>
      </w:r>
      <w:r>
        <w:t xml:space="preserve"> (2013). Assessing global marine biodiversity status within a coupled socio-ecological perspective. </w:t>
      </w:r>
      <w:r>
        <w:rPr>
          <w:i/>
        </w:rPr>
        <w:t>PLoS ONE</w:t>
      </w:r>
      <w:r>
        <w:t>, 8, e60284.</w:t>
      </w:r>
    </w:p>
    <w:p w14:paraId="0646BA8E" w14:textId="77777777" w:rsidR="0066152E" w:rsidRDefault="00A730D2">
      <w:pPr>
        <w:pStyle w:val="Bibliography"/>
      </w:pPr>
      <w:r>
        <w:t xml:space="preserve">21.Spalding, M.D., Fox, H.E., Allen, G.R., Davidson, N., Ferdaña, Z.A. &amp; Finlayson, M.A.X. </w:t>
      </w:r>
      <w:r>
        <w:rPr>
          <w:i/>
        </w:rPr>
        <w:t>et al.</w:t>
      </w:r>
      <w:r>
        <w:t xml:space="preserve"> (2007). Marine ecoregions of the world: A bioregionalization of coastal and shelf areas. </w:t>
      </w:r>
      <w:r>
        <w:rPr>
          <w:i/>
        </w:rPr>
        <w:t>BioScience</w:t>
      </w:r>
      <w:r>
        <w:t>, 57, 573–583.</w:t>
      </w:r>
    </w:p>
    <w:sectPr w:rsidR="0066152E">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844B3" w14:textId="77777777" w:rsidR="00A4564C" w:rsidRDefault="00A4564C">
      <w:pPr>
        <w:spacing w:after="0"/>
      </w:pPr>
      <w:r>
        <w:separator/>
      </w:r>
    </w:p>
  </w:endnote>
  <w:endnote w:type="continuationSeparator" w:id="0">
    <w:p w14:paraId="70B94510" w14:textId="77777777" w:rsidR="00A4564C" w:rsidRDefault="00A45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44DC" w14:textId="77777777" w:rsidR="00D17FE4" w:rsidRDefault="00D17FE4" w:rsidP="00640C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68B87B" w14:textId="77777777" w:rsidR="00D17FE4" w:rsidRDefault="00D17FE4" w:rsidP="00D17F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606E" w14:textId="77777777" w:rsidR="00D17FE4" w:rsidRDefault="00D17FE4" w:rsidP="00640C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41BA121" w14:textId="77777777" w:rsidR="00D17FE4" w:rsidRDefault="00D17FE4" w:rsidP="00D17F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C0BC3" w14:textId="77777777" w:rsidR="00A4564C" w:rsidRDefault="00A4564C">
      <w:r>
        <w:separator/>
      </w:r>
    </w:p>
  </w:footnote>
  <w:footnote w:type="continuationSeparator" w:id="0">
    <w:p w14:paraId="5A780EAA" w14:textId="77777777" w:rsidR="00A4564C" w:rsidRDefault="00A456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75D3A"/>
    <w:multiLevelType w:val="multilevel"/>
    <w:tmpl w:val="459840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850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2A1FCB6"/>
    <w:multiLevelType w:val="multilevel"/>
    <w:tmpl w:val="BC76AB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6152E"/>
    <w:rsid w:val="00784D58"/>
    <w:rsid w:val="008D6863"/>
    <w:rsid w:val="00A4564C"/>
    <w:rsid w:val="00A730D2"/>
    <w:rsid w:val="00AC2420"/>
    <w:rsid w:val="00B86B75"/>
    <w:rsid w:val="00BC48D5"/>
    <w:rsid w:val="00C36279"/>
    <w:rsid w:val="00D17FE4"/>
    <w:rsid w:val="00E315A3"/>
    <w:rsid w:val="00FC24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E13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564C"/>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404"/>
    <w:pPr>
      <w:spacing w:after="0"/>
    </w:pPr>
    <w:rPr>
      <w:rFonts w:ascii="Lucida Grande" w:hAnsi="Lucida Grande"/>
      <w:sz w:val="18"/>
      <w:szCs w:val="18"/>
    </w:rPr>
  </w:style>
  <w:style w:type="character" w:customStyle="1" w:styleId="BalloonTextChar">
    <w:name w:val="Balloon Text Char"/>
    <w:basedOn w:val="DefaultParagraphFont"/>
    <w:link w:val="BalloonText"/>
    <w:rsid w:val="00FC2404"/>
    <w:rPr>
      <w:rFonts w:ascii="Lucida Grande" w:hAnsi="Lucida Grande"/>
      <w:sz w:val="18"/>
      <w:szCs w:val="18"/>
    </w:rPr>
  </w:style>
  <w:style w:type="paragraph" w:styleId="Footer">
    <w:name w:val="footer"/>
    <w:basedOn w:val="Normal"/>
    <w:link w:val="FooterChar"/>
    <w:rsid w:val="00D17FE4"/>
    <w:pPr>
      <w:tabs>
        <w:tab w:val="center" w:pos="4320"/>
        <w:tab w:val="right" w:pos="8640"/>
      </w:tabs>
      <w:spacing w:after="0"/>
    </w:pPr>
  </w:style>
  <w:style w:type="character" w:customStyle="1" w:styleId="FooterChar">
    <w:name w:val="Footer Char"/>
    <w:basedOn w:val="DefaultParagraphFont"/>
    <w:link w:val="Footer"/>
    <w:rsid w:val="00D17FE4"/>
  </w:style>
  <w:style w:type="character" w:styleId="PageNumber">
    <w:name w:val="page number"/>
    <w:basedOn w:val="DefaultParagraphFont"/>
    <w:rsid w:val="00D17F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564C"/>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404"/>
    <w:pPr>
      <w:spacing w:after="0"/>
    </w:pPr>
    <w:rPr>
      <w:rFonts w:ascii="Lucida Grande" w:hAnsi="Lucida Grande"/>
      <w:sz w:val="18"/>
      <w:szCs w:val="18"/>
    </w:rPr>
  </w:style>
  <w:style w:type="character" w:customStyle="1" w:styleId="BalloonTextChar">
    <w:name w:val="Balloon Text Char"/>
    <w:basedOn w:val="DefaultParagraphFont"/>
    <w:link w:val="BalloonText"/>
    <w:rsid w:val="00FC2404"/>
    <w:rPr>
      <w:rFonts w:ascii="Lucida Grande" w:hAnsi="Lucida Grande"/>
      <w:sz w:val="18"/>
      <w:szCs w:val="18"/>
    </w:rPr>
  </w:style>
  <w:style w:type="paragraph" w:styleId="Footer">
    <w:name w:val="footer"/>
    <w:basedOn w:val="Normal"/>
    <w:link w:val="FooterChar"/>
    <w:rsid w:val="00D17FE4"/>
    <w:pPr>
      <w:tabs>
        <w:tab w:val="center" w:pos="4320"/>
        <w:tab w:val="right" w:pos="8640"/>
      </w:tabs>
      <w:spacing w:after="0"/>
    </w:pPr>
  </w:style>
  <w:style w:type="character" w:customStyle="1" w:styleId="FooterChar">
    <w:name w:val="Footer Char"/>
    <w:basedOn w:val="DefaultParagraphFont"/>
    <w:link w:val="Footer"/>
    <w:rsid w:val="00D17FE4"/>
  </w:style>
  <w:style w:type="character" w:styleId="PageNumber">
    <w:name w:val="page number"/>
    <w:basedOn w:val="DefaultParagraphFont"/>
    <w:rsid w:val="00D17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ucnredlist.org" TargetMode="External"/><Relationship Id="rId12" Type="http://schemas.openxmlformats.org/officeDocument/2006/relationships/hyperlink" Target="www.protectedplanet.net" TargetMode="External"/><Relationship Id="rId13" Type="http://schemas.openxmlformats.org/officeDocument/2006/relationships/hyperlink" Target="www.aquamaps.org" TargetMode="External"/><Relationship Id="rId14" Type="http://schemas.openxmlformats.org/officeDocument/2006/relationships/hyperlink" Target="http://www.iobis.or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hara@nceas.ucsb.edu" TargetMode="External"/><Relationship Id="rId9" Type="http://schemas.openxmlformats.org/officeDocument/2006/relationships/hyperlink" Target="https://github.com/OHI-Science/IUCN-AquaMaps" TargetMode="External"/><Relationship Id="rId10" Type="http://schemas.openxmlformats.org/officeDocument/2006/relationships/hyperlink" Target="http://www.gbif.org/resource/80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4016</Words>
  <Characters>23298</Characters>
  <Application>Microsoft Macintosh Word</Application>
  <DocSecurity>0</DocSecurity>
  <Lines>388</Lines>
  <Paragraphs>91</Paragraphs>
  <ScaleCrop>false</ScaleCrop>
  <Company>NCEAS</Company>
  <LinksUpToDate>false</LinksUpToDate>
  <CharactersWithSpaces>27223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lastModifiedBy>Casey O'Hara</cp:lastModifiedBy>
  <cp:revision>4</cp:revision>
  <dcterms:created xsi:type="dcterms:W3CDTF">2016-05-17T23:16:00Z</dcterms:created>
  <dcterms:modified xsi:type="dcterms:W3CDTF">2016-05-17T23:36:00Z</dcterms:modified>
</cp:coreProperties>
</file>