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6.png" ContentType="image/png"/>
  <Override PartName="/word/media/rId36.png" ContentType="image/png"/>
  <Override PartName="/word/media/rId34.png" ContentType="image/png"/>
  <Override PartName="/word/media/rId35.png" ContentType="image/png"/>
  <Override PartName="/word/media/rId33.png" ContentType="image/png"/>
  <Override PartName="/word/media/rId58.png" ContentType="image/png"/>
  <Override PartName="/word/media/rId41.png" ContentType="image/png"/>
  <Override PartName="/word/media/rId37.png" ContentType="image/png"/>
  <Override PartName="/word/media/rId59.png" ContentType="image/png"/>
  <Override PartName="/word/media/rId39.png" ContentType="image/png"/>
  <Override PartName="/word/media/rId62.png" ContentType="image/png"/>
  <Override PartName="/word/media/rId61.jpg" ContentType="image/jpe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rPr>
          <w:vertAlign w:val="superscript"/>
        </w:rPr>
        <w:t xml:space="preserve">1</w:t>
      </w:r>
      <w:r>
        <w:t xml:space="preserve">,</w:t>
      </w:r>
      <w:r>
        <w:t xml:space="preserve"> </w:t>
      </w:r>
      <w:r>
        <w:t xml:space="preserve">Jamie</w:t>
      </w:r>
      <w:r>
        <w:t xml:space="preserve"> </w:t>
      </w:r>
      <w:r>
        <w:t xml:space="preserve">Afflerbach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t xml:space="preserve">1,</w:t>
      </w:r>
      <w:r>
        <w:t xml:space="preserve"> </w:t>
      </w:r>
      <w:r>
        <w:t xml:space="preserve">2,</w:t>
      </w:r>
      <w:r>
        <w:t xml:space="preserve"> </w:t>
      </w:r>
      <w:r>
        <w:t xml:space="preserve">3</w:t>
      </w:r>
    </w:p>
    <w:p>
      <w:r>
        <w:rPr>
          <w:i/>
        </w:rPr>
        <w:t xml:space="preserve">Author affiliation:</w:t>
      </w:r>
      <w:r>
        <w:t xml:space="preserve"> </w:t>
      </w:r>
    </w:p>
    <w:p>
      <w:pPr>
        <w:pStyle w:val="Compact"/>
        <w:numPr>
          <w:numId w:val="1001"/>
          <w:ilvl w:val="0"/>
        </w:numPr>
      </w:pPr>
      <w:r>
        <w:t xml:space="preserve">National Center for Ecological Analysis and Synthesis,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r>
        <w:rPr>
          <w:i/>
        </w:rPr>
        <w:t xml:space="preserve">Corresponding author:</w:t>
      </w:r>
      <w:r>
        <w:t xml:space="preserve"> </w:t>
      </w:r>
      <w:r>
        <w:t xml:space="preserve"> </w:t>
      </w:r>
      <w:r>
        <w:t xml:space="preserve">Casey O'Hara, National Center for Ecological Analysis and Synthesis, 735 State Street, Suite 300, Santa Barbara CA 93101; (805) 892-2500;</w:t>
      </w:r>
      <w:r>
        <w:t xml:space="preserve"> </w:t>
      </w:r>
      <w:hyperlink r:id="rId21">
        <w:r>
          <w:rPr>
            <w:rStyle w:val="Link"/>
          </w:rPr>
          <w:t xml:space="preserve">ohara@nceas.ucsb.edu</w:t>
        </w:r>
      </w:hyperlink>
    </w:p>
    <w:p>
      <w:r>
        <w:rPr>
          <w:i/>
        </w:rPr>
        <w:t xml:space="preserve">Classification:</w:t>
      </w:r>
      <w:r>
        <w:t xml:space="preserve"> </w:t>
      </w:r>
      <w:r>
        <w:t xml:space="preserve">BIOLOGICAL SCIENCES: Ecology? Environmental Sciences? Sustainability Science?</w:t>
      </w:r>
    </w:p>
    <w:p>
      <w:r>
        <w:rPr>
          <w:i/>
        </w:rPr>
        <w:t xml:space="preserve">Keywords:</w:t>
      </w:r>
      <w:r>
        <w:t xml:space="preserve"> </w:t>
      </w:r>
      <w:r>
        <w:t xml:space="preserve"> </w:t>
      </w:r>
      <w:r>
        <w:t xml:space="preserve">TBD</w:t>
      </w:r>
    </w:p>
    <w:p>
      <w:r>
        <w:pict>
          <v:rect style="width:0;height:1.5pt" o:hralign="center" o:hrstd="t" o:hr="t"/>
        </w:pict>
      </w:r>
    </w:p>
    <w:p>
      <w:pPr>
        <w:pStyle w:val="Heading2"/>
      </w:pPr>
      <w:bookmarkStart w:id="22" w:name="abstract"/>
      <w:bookmarkEnd w:id="22"/>
      <w:r>
        <w:t xml:space="preserve">Abstract</w:t>
      </w:r>
    </w:p>
    <w:p>
      <w:r>
        <w:rPr>
          <w:i/>
        </w:rPr>
        <w:t xml:space="preserve">Abstract. Provide an abstract of no more than 250 words on page 2 of the manuscript. Abstracts should explain to the general reader the major contributions of the article. References in the abstract must be cited in full within the abstract itself and cited in the text.</w:t>
      </w:r>
    </w:p>
    <w:p>
      <w:r>
        <w:t xml:space="preserve">Species distribution data provide the foundation for a wide range of ecological research and conservation science and management, yet most species ranges remain unknown, and existing range maps have little overlap. In the ocean, two global species distribution datasets, produced by AquaMaps (REF) and the International Union for Conservation of Nature (IUCN) (REF), dominate our understanding of marine species ranges throughout the world's oceans. Together they represent 28,847 species, mostly from AquaMaps, with only 2,046 species overlapping. 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known occurrences. We illustrate the implications of these differences by repeating two recent applications - the Ocean Health Index (Halpern et al. 2012, 2015) biodiversity goal and a global analysis of gaps in coverage of marine protected areas (Klein et al. 2015) - and find significantly different estimates of the status of global biodiversity and effectiveness of conservation depending on how the two datasets were prioritized.</w:t>
      </w:r>
      <w:r>
        <w:t xml:space="preserve"> </w:t>
      </w:r>
      <w:r>
        <w:rPr>
          <w:i/>
          <w:b/>
        </w:rPr>
        <w:t xml:space="preserve">Creating a single, highly accurate dataset of global marine species ranges will be difficult. Understanding the implications of dataset differences for conservation planning and decision-making is essential.</w:t>
      </w:r>
      <w:r>
        <w:t xml:space="preserve"> </w:t>
      </w:r>
    </w:p>
    <w:p>
      <w:r>
        <w:t xml:space="preserve">(223 words; 1593 char with spaces)</w:t>
      </w:r>
    </w:p>
    <w:p>
      <w:r>
        <w:pict>
          <v:rect style="width:0;height:1.5pt" o:hralign="center" o:hrstd="t" o:hr="t"/>
        </w:pict>
      </w:r>
    </w:p>
    <w:p>
      <w:pPr>
        <w:pStyle w:val="Heading2"/>
      </w:pPr>
      <w:bookmarkStart w:id="23" w:name="significance"/>
      <w:bookmarkEnd w:id="23"/>
      <w:r>
        <w:t xml:space="preserve">Significance</w:t>
      </w:r>
    </w:p>
    <w:p>
      <w:r>
        <w:rPr>
          <w:i/>
        </w:rPr>
        <w:t xml:space="preserve">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r>
        <w:pict>
          <v:rect style="width:0;height:1.5pt" o:hralign="center" o:hrstd="t" o:hr="t"/>
        </w:pict>
      </w:r>
    </w:p>
    <w:tbl>
      <w:tblPr>
        <w:tblStyle w:val="TableNormal"/>
        <w:tblW w:type="pct" w:w="0.0"/>
      </w:tblPr>
      <w:tblGrid/>
      <w:tr>
        <w:tc>
          <w:tcPr>
            <w:tcBorders>
              <w:bottom w:val="single"/>
            </w:tcBorders>
            <w:vAlign w:val="bottom"/>
          </w:tcPr>
          <w:p>
            <w:pPr>
              <w:pStyle w:val="Compact"/>
              <w:jc w:val="left"/>
            </w:pPr>
            <w:r>
              <w:t xml:space="preserve">Section</w:t>
            </w:r>
          </w:p>
        </w:tc>
        <w:tc>
          <w:tcPr>
            <w:tcBorders>
              <w:bottom w:val="single"/>
            </w:tcBorders>
            <w:vAlign w:val="bottom"/>
          </w:tcPr>
          <w:p>
            <w:pPr>
              <w:pStyle w:val="Compact"/>
              <w:jc w:val="right"/>
            </w:pPr>
            <w:r>
              <w:t xml:space="preserve">Word #</w:t>
            </w:r>
          </w:p>
        </w:tc>
        <w:tc>
          <w:tcPr>
            <w:tcBorders>
              <w:bottom w:val="single"/>
            </w:tcBorders>
            <w:vAlign w:val="bottom"/>
          </w:tcPr>
          <w:p>
            <w:pPr>
              <w:pStyle w:val="Compact"/>
              <w:jc w:val="right"/>
            </w:pPr>
            <w:r>
              <w:t xml:space="preserve">Char # (w/spc)</w:t>
            </w:r>
          </w:p>
        </w:tc>
      </w:tr>
      <w:tr>
        <w:tc>
          <w:p>
            <w:pPr>
              <w:pStyle w:val="Compact"/>
              <w:jc w:val="left"/>
            </w:pPr>
            <w:r>
              <w:t xml:space="preserve">Introduction</w:t>
            </w:r>
          </w:p>
        </w:tc>
        <w:tc>
          <w:p>
            <w:pPr>
              <w:pStyle w:val="Compact"/>
              <w:jc w:val="right"/>
            </w:pPr>
            <w:r>
              <w:t xml:space="preserve">512 words</w:t>
            </w:r>
          </w:p>
        </w:tc>
        <w:tc>
          <w:p>
            <w:pPr>
              <w:pStyle w:val="Compact"/>
              <w:jc w:val="right"/>
            </w:pPr>
            <w:r>
              <w:t xml:space="preserve">3411 char</w:t>
            </w:r>
          </w:p>
        </w:tc>
      </w:tr>
      <w:tr>
        <w:tc>
          <w:p>
            <w:pPr>
              <w:pStyle w:val="Compact"/>
              <w:jc w:val="left"/>
            </w:pPr>
            <w:r>
              <w:t xml:space="preserve">Results/Discussion</w:t>
            </w:r>
          </w:p>
        </w:tc>
        <w:tc>
          <w:p>
            <w:pPr>
              <w:pStyle w:val="Compact"/>
              <w:jc w:val="right"/>
            </w:pPr>
            <w:r>
              <w:t xml:space="preserve">802 words</w:t>
            </w:r>
          </w:p>
        </w:tc>
        <w:tc>
          <w:p>
            <w:pPr>
              <w:pStyle w:val="Compact"/>
              <w:jc w:val="right"/>
            </w:pPr>
            <w:r>
              <w:t xml:space="preserve">5410 char</w:t>
            </w:r>
          </w:p>
        </w:tc>
      </w:tr>
      <w:tr>
        <w:tc>
          <w:p>
            <w:pPr>
              <w:pStyle w:val="Compact"/>
              <w:jc w:val="left"/>
            </w:pPr>
            <w:r>
              <w:t xml:space="preserve">Implications (incomplete)</w:t>
            </w:r>
          </w:p>
        </w:tc>
        <w:tc>
          <w:p>
            <w:pPr>
              <w:pStyle w:val="Compact"/>
              <w:jc w:val="right"/>
            </w:pPr>
            <w:r>
              <w:t xml:space="preserve">532 words</w:t>
            </w:r>
          </w:p>
        </w:tc>
        <w:tc>
          <w:p>
            <w:pPr>
              <w:pStyle w:val="Compact"/>
              <w:jc w:val="right"/>
            </w:pPr>
            <w:r>
              <w:t xml:space="preserve">3334 char</w:t>
            </w:r>
          </w:p>
        </w:tc>
      </w:tr>
      <w:tr>
        <w:tc>
          <w:p>
            <w:pPr>
              <w:pStyle w:val="Compact"/>
              <w:jc w:val="left"/>
            </w:pPr>
            <w:r>
              <w:t xml:space="preserve">Conclusions</w:t>
            </w:r>
          </w:p>
        </w:tc>
        <w:tc>
          <w:p>
            <w:pPr>
              <w:pStyle w:val="Compact"/>
              <w:jc w:val="right"/>
            </w:pPr>
            <w:r>
              <w:t xml:space="preserve">390 words</w:t>
            </w:r>
          </w:p>
        </w:tc>
        <w:tc>
          <w:p>
            <w:pPr>
              <w:pStyle w:val="Compact"/>
              <w:jc w:val="right"/>
            </w:pPr>
            <w:r>
              <w:t xml:space="preserve">2813 char</w:t>
            </w:r>
          </w:p>
        </w:tc>
      </w:tr>
      <w:tr>
        <w:tc>
          <w:p>
            <w:pPr>
              <w:pStyle w:val="Compact"/>
              <w:jc w:val="left"/>
            </w:pPr>
            <w:r>
              <w:t xml:space="preserve">Methods (incomplete)</w:t>
            </w:r>
          </w:p>
        </w:tc>
        <w:tc>
          <w:p>
            <w:pPr>
              <w:pStyle w:val="Compact"/>
              <w:jc w:val="right"/>
            </w:pPr>
            <w:r>
              <w:t xml:space="preserve">612 words</w:t>
            </w:r>
          </w:p>
        </w:tc>
        <w:tc>
          <w:p>
            <w:pPr>
              <w:pStyle w:val="Compact"/>
              <w:jc w:val="right"/>
            </w:pPr>
            <w:r>
              <w:t xml:space="preserve">3889 char</w:t>
            </w:r>
          </w:p>
        </w:tc>
      </w:tr>
      <w:tr>
        <w:tc>
          <w:p>
            <w:pPr>
              <w:pStyle w:val="Compact"/>
              <w:jc w:val="left"/>
            </w:pPr>
            <w:r>
              <w:t xml:space="preserve">total body</w:t>
            </w:r>
          </w:p>
        </w:tc>
        <w:tc>
          <w:p>
            <w:pPr>
              <w:pStyle w:val="Compact"/>
              <w:jc w:val="right"/>
            </w:pPr>
            <w:r>
              <w:t xml:space="preserve">2848 words</w:t>
            </w:r>
          </w:p>
        </w:tc>
        <w:tc>
          <w:p>
            <w:pPr>
              <w:pStyle w:val="Compact"/>
              <w:jc w:val="right"/>
            </w:pPr>
            <w:r>
              <w:t xml:space="preserve">18857 char</w:t>
            </w:r>
          </w:p>
        </w:tc>
      </w:tr>
    </w:tbl>
    <w:p>
      <w:pPr>
        <w:pStyle w:val="Heading1"/>
      </w:pPr>
      <w:bookmarkStart w:id="24" w:name="introduction"/>
      <w:bookmarkEnd w:id="24"/>
      <w:r>
        <w:t xml:space="preserve">Introduction</w:t>
      </w:r>
    </w:p>
    <w:p>
      <w:r>
        <w:t xml:space="preserve">Knowing where individuals of a species live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r>
        <w:t xml:space="preserve">One major outcome of this body of science is the various compiled databases of species distribution maps. Two global-scale repositories predict marine species ranges throughout the world's oceans – AquaMaps (Kaschner et al. 2013) and International Union for Conservation of Nature (IUCN) (REF). These two spatial datasets have been used for a wide range of purposes, including assessing marine species status (Halpern et al. 2012, 2015</w:t>
      </w:r>
      <w:r>
        <w:t xml:space="preserve"> </w:t>
      </w:r>
      <w:r>
        <w:rPr>
          <w:i/>
        </w:rPr>
        <w:t xml:space="preserve">both</w:t>
      </w:r>
      <w:r>
        <w:t xml:space="preserve">; Selig et al. 2013</w:t>
      </w:r>
      <w:r>
        <w:t xml:space="preserve"> </w:t>
      </w:r>
      <w:r>
        <w:rPr>
          <w:i/>
        </w:rPr>
        <w:t xml:space="preserve">both</w:t>
      </w:r>
      <w:r>
        <w:t xml:space="preserve">), evaluating global biodiversity patterns (Coll et al. 2010</w:t>
      </w:r>
      <w:r>
        <w:t xml:space="preserve"> </w:t>
      </w:r>
      <w:r>
        <w:rPr>
          <w:i/>
        </w:rPr>
        <w:t xml:space="preserve">AM</w:t>
      </w:r>
      <w:r>
        <w:t xml:space="preserve">; Martin et al. 2014</w:t>
      </w:r>
      <w:r>
        <w:t xml:space="preserve"> </w:t>
      </w:r>
      <w:r>
        <w:rPr>
          <w:i/>
        </w:rPr>
        <w:t xml:space="preserve">both and others</w:t>
      </w:r>
      <w:r>
        <w:t xml:space="preserve">, Pimm et al. 2014</w:t>
      </w:r>
      <w:r>
        <w:t xml:space="preserve"> </w:t>
      </w:r>
      <w:r>
        <w:rPr>
          <w:i/>
        </w:rPr>
        <w:t xml:space="preserve">IUCN, mostly focusing on terrestrial but some marine</w:t>
      </w:r>
      <w:r>
        <w:t xml:space="preserve">, Kaschner et al. 2011), predicting range shifts (Molinos et al. 2015</w:t>
      </w:r>
      <w:r>
        <w:t xml:space="preserve"> </w:t>
      </w:r>
      <w:r>
        <w:rPr>
          <w:i/>
        </w:rPr>
        <w:t xml:space="preserve">AquaMaps</w:t>
      </w:r>
      <w:r>
        <w:t xml:space="preserve">, and setting conservation priorities (Klein et al. 2015</w:t>
      </w:r>
      <w:r>
        <w:t xml:space="preserve"> </w:t>
      </w:r>
      <w:r>
        <w:rPr>
          <w:i/>
        </w:rPr>
        <w:t xml:space="preserve">AquaMaps</w:t>
      </w:r>
      <w:r>
        <w:t xml:space="preserve">).</w:t>
      </w:r>
    </w:p>
    <w:p>
      <w:r>
        <w:rPr>
          <w:i/>
          <w:b/>
        </w:rPr>
        <w:t xml:space="preserve">BSH:</w:t>
      </w:r>
      <w:r>
        <w:t xml:space="preserve"> </w:t>
      </w:r>
      <w:r>
        <w:rPr>
          <w:i/>
        </w:rPr>
        <w:t xml:space="preserve">I think Julie makes this comment below, but we may need to be able to substantiate this somehow. Is there a way to quickly figure out how many studies have used AM vs. IUCN?</w:t>
      </w:r>
    </w:p>
    <w:p>
      <w:r>
        <w:rPr>
          <w:i/>
          <w:b/>
        </w:rPr>
        <w:t xml:space="preserve">CCO:</w:t>
      </w:r>
      <w:r>
        <w:t xml:space="preserve"> </w:t>
      </w:r>
      <w:r>
        <w:rPr>
          <w:i/>
        </w:rPr>
        <w:t xml:space="preserve">What about age - AquaMaps is pretty recent (2006 at earliest); before that, would IUCN have been the dominant dataset for marine? Maybe we can track citations of AquaMaps, but citations of IUCN are generic - just cite the Red List - not referencing spatial information specifically, much less marine. Going by citation year field on the maps themselves, the oldest marine record I can find is 2004.</w:t>
      </w:r>
    </w:p>
    <w:p>
      <w:r>
        <w:rPr>
          <w:i/>
        </w:rPr>
        <w:t xml:space="preserve">Three foundational papers relating to AquaMaps (Kaschner et al. 2006, 2011; Ready et al. 2010) have been cited a total of 315 times.</w:t>
      </w:r>
    </w:p>
    <w:p>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2008?).</w:t>
      </w:r>
    </w:p>
    <w:p>
      <w:r>
        <w:t xml:space="preserve">To understand the implications of differences between the AquaMaps and IUCN datasets, we compare how each data source represents the global spatial and taxonomic distribution of species. Most notably, AquaMaps includes range maps for many more species (currently 22,889 species; 79.3% of total), such that most global analyses related to biodiversity to date have used AquaMaps (IUCN range map data exist for only 4,027 unique species). For the 2,013 species (7% of total) mapped in both datasets, we examine how well the maps align, determine several issues that lead to misalignment between predicted species distributions, and outline possible improvements.</w:t>
      </w:r>
    </w:p>
    <w:p>
      <w:r>
        <w:t xml:space="preserve">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the possible consequences of different data use decisions on our understanding of marine biodiversity status and protection.</w:t>
      </w:r>
    </w:p>
    <w:p>
      <w:r>
        <w:pict>
          <v:rect style="width:0;height:1.5pt" o:hralign="center" o:hrstd="t" o:hr="t"/>
        </w:pict>
      </w:r>
    </w:p>
    <w:p>
      <w:pPr>
        <w:pStyle w:val="Heading1"/>
      </w:pPr>
      <w:bookmarkStart w:id="25" w:name="results-and-discussion"/>
      <w:bookmarkEnd w:id="25"/>
      <w:r>
        <w:t xml:space="preserve">Results and Discussion</w:t>
      </w:r>
    </w:p>
    <w:p>
      <w:pPr>
        <w:pStyle w:val="Heading2"/>
      </w:pPr>
      <w:bookmarkStart w:id="26" w:name="how-and-why-the-datasets-differ"/>
      <w:bookmarkEnd w:id="26"/>
      <w:r>
        <w:t xml:space="preserve">How and why the datasets differ</w:t>
      </w:r>
    </w:p>
    <w:p>
      <w:r>
        <w:t xml:space="preserve">The IUCN publishes species range maps, bundled by taxonomic groups, based on expert input on spatial boundaries of a given species' "limits of distribution" (IUCN 2015) - essentially a refined extent of occurrence, based on observation records and refined by expert understanding of the species' range and habitat preferences. In contrast, AquaMaps models species distribution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(Kaschner et al. 2006, Ready et al. 2010)</w:t>
      </w:r>
    </w:p>
    <w:p>
      <w:r>
        <w:t xml:space="preserve">The methodologies behind these datasets imply differences in prediction of species distribution due to errors of commission (falsely</w:t>
      </w:r>
      <w:r>
        <w:t xml:space="preserve"> </w:t>
      </w:r>
      <w:r>
        <w:rPr>
          <w:i/>
        </w:rPr>
        <w:t xml:space="preserve">(erroneously? less accusatory, but an annoying word)</w:t>
      </w:r>
      <w:r>
        <w:t xml:space="preserve"> </w:t>
      </w:r>
      <w:r>
        <w:t xml:space="preserve">indicating species presence) and omission (falsely indicating species absence). Geographic range data such as IUCN range maps generally include large commission errors, while predicted distribution models such as AquaMaps will likely include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w:t>
      </w:r>
      <w:r>
        <w:t xml:space="preserve"> </w:t>
      </w:r>
      <w:r>
        <w:t xml:space="preserve"> </w:t>
      </w:r>
      <w:r>
        <w:t xml:space="preserve">(Rondinini et al. 2006).</w:t>
      </w:r>
      <w:r>
        <w:t xml:space="preserve"> </w:t>
      </w:r>
    </w:p>
    <w:p>
      <w:r>
        <w:t xml:space="preserve">The two datasets have notably different taxonomic (Fig. 1A) and regional (Fig. 1B,C) coverage. IUCN-mapped species focus on tropical latitudes and away from the Atlantic and Eastern Pacific compared to AquaMaps-mapped species. These differences can be mitigated by using both datasets, but the underlying methodological differences complicate such direct comparisons.</w:t>
      </w:r>
    </w:p>
    <w:p>
      <w:r>
        <w:t xml:space="preserve">To explore differences in species distribution and range between the two datasets, we plotted the distribution alignment (where on the map) against the ratio of extent (how much of the map) for each shared species (Fig. 2A). A general negative linear pattern emerges,</w:t>
      </w:r>
      <w:r>
        <w:t xml:space="preserve"> </w:t>
      </w:r>
      <w:r>
        <w:t xml:space="preserve"> </w:t>
      </w:r>
      <w:r>
        <w:t xml:space="preserve">suggesting that increasing similarity in extent correlates with decreasing distribution alignment.</w:t>
      </w:r>
      <w:r>
        <w:t xml:space="preserve"> </w:t>
      </w:r>
      <w:r>
        <w:t xml:space="preserve"> </w:t>
      </w:r>
      <w:r>
        <w:t xml:space="preserve">AquaMaps tends to extrapolate species ranges beyond known occurrences, such that the marginal range predicted by AquaMaps will fall in different locations than the marginal range predicted using IUCN methodology. For species with dissimilar extents, predicted distribution for the smaller range can more easily fall within the generous bounds of the larger range. For species with increasingly similar extents, differences in methodology become more difficult to "hide," and the distribution alignment generally becomes poorer.</w:t>
      </w:r>
    </w:p>
    <w:p>
      <w:r>
        <w:t xml:space="preserve">By dividing the map-paired species into quadrants, we highlight different categories of relationships that in turn help further explain the general pattern. The upper right quadrant includes species (n = 399) whose described ranges agree in both spatial distribution and extent. These species tend to be well-studied and include wide-ranging pelagic organisms such as marine mammals, tunas, and billfishes (Fig. 2B). This result is not surprising, as species with very large ranges are likely to be more aligned regardless of methodology simply because they exist nearly everywhere.</w:t>
      </w:r>
    </w:p>
    <w:p>
      <w:r>
        <w:t xml:space="preserve">The extent-mismatched ranges contained in the upper left quadrant (n = 624) include many species whose spatial distribution is similar, but where the IUCN range is notably larger, often extending into deeper water. For example, corals dominate this quadrant (n = 221; 35.4% of all species in this quadrant), and IUCN range maps tend to extend corals into waters beyond their preferred depths, likely introducing errors of commission.</w:t>
      </w:r>
      <w:r>
        <w:t xml:space="preserve"> </w:t>
      </w:r>
      <w:r>
        <w:t xml:space="preserve"> </w:t>
      </w:r>
      <w:r>
        <w:t xml:space="preserve">Ocean depth is explicitly included in AquaMaps models, while depth is frequently overlooked as a factor in IUCN range maps. Simply clipping IUCN range maps to known depth preferences would resolve many of these mismatches.</w:t>
      </w:r>
    </w:p>
    <w:p>
      <w:r>
        <w:t xml:space="preserve">Species found in the lower right quadrant (n = 624)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extents are meaningless when the distributions are poorly aligned.</w:t>
      </w:r>
    </w:p>
    <w:p>
      <w:r>
        <w:t xml:space="preserve">The most vexing cases are in the lower left quadrant (n = 399), where neither distribution nor extent match well. Data-poor species are more common in this quadrant; indeed, the median number of species occurrence records (summing (averaging?) OBIS and GBIF occurrences) for this quadrant is NA, compared to a median of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r>
        <w:pict>
          <v:rect style="width:0;height:1.5pt" o:hralign="center" o:hrstd="t" o:hr="t"/>
        </w:pict>
      </w:r>
    </w:p>
    <w:p>
      <w:pPr>
        <w:pStyle w:val="Heading1"/>
      </w:pPr>
      <w:bookmarkStart w:id="27" w:name="implications"/>
      <w:bookmarkEnd w:id="27"/>
      <w:r>
        <w:t xml:space="preserve">Implications</w:t>
      </w:r>
    </w:p>
    <w:p>
      <w:r>
        <w:t xml:space="preserve">Clear and significant differences in species range descriptions between AquaMaps and IUCN range maps, due to method-driven differences in errors of commission and omission. To examine the implications of these differences, we replicated two recent studies, varying only the prioritization of one data set over the other.</w:t>
      </w:r>
    </w:p>
    <w:p>
      <w:r>
        <w:rPr>
          <w:b/>
        </w:rPr>
        <w:t xml:space="preserve">Case Study: The Ocean Health Index</w:t>
      </w:r>
      <w:r>
        <w:t xml:space="preserve"> </w:t>
      </w:r>
    </w:p>
    <w:p>
      <w:r>
        <w:t xml:space="preserve">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2013 species included in both sources. OHI currently uses a probability threshold of 40% to determine species presence for AquaMaps data.</w:t>
      </w:r>
    </w:p>
    <w:p>
      <w:r>
        <w:t xml:space="preserve">We recalculated the OHI species status score under several scenarios to observe the impact of toggling the prioritized data set from IUCN to AquaMaps, and toggling the AquaMaps presence threshold from 40% to 0% (</w:t>
      </w:r>
      <w:r>
        <w:t xml:space="preserve">Fig. 3</w:t>
      </w:r>
      <w:r>
        <w:t xml:space="preserve">). Given that only 2013 species overlap out of 28847, it is surprising that changing the priority for overlapping species from IUCN maps to AquaMaps would result in such large score shifts as seen in scenarios 2 and 3. While many country scores showed only small variation across all three scenarios, select countries gained as many as 5 points while others dropped up to 12 points. Significantly, the global score decreased by two full points in scenario 3, indicating that an arbitrary change in how the two datasets are combined results in a more dire assessment of species conservation status.</w:t>
      </w:r>
    </w:p>
    <w:p>
      <w:r>
        <w:pict>
          <v:rect style="width:0;height:1.5pt" o:hralign="center" o:hrstd="t" o:hr="t"/>
        </w:pict>
      </w:r>
    </w:p>
    <w:p>
      <w:r>
        <w:rPr>
          <w:b/>
        </w:rPr>
        <w:t xml:space="preserve">Case Study: MPA Gap Analysis</w:t>
      </w:r>
    </w:p>
    <w:p>
      <w:r>
        <w:t xml:space="preserve">Klein et al. (2015) compared the global distribution of species to the global distribution of marine protected areas to assess how well the MPAs protect key species and to identify which species fall through gaps in protection. The study relied on the AquaMaps database, using a probability threshold of 50% or greater, to determine species presence, and the World Database of Protected Areas to define zones of marine protection. The study determined that currently established MPAs (IUCN categories I through IV overlapping with marine areas) are woefully inadequate in protecting marine biodiversity; 90.5% of species have less than 5% of their overall range represented within MPAs and 1.4% of species have no protection at all ("gap" species).</w:t>
      </w:r>
    </w:p>
    <w:p>
      <w:r>
        <w:t xml:space="preserve">(</w:t>
      </w:r>
      <w:r>
        <w:t xml:space="preserve">Figure 4</w:t>
      </w:r>
      <w:r>
        <w:t xml:space="preserve">) displays the results of applying this methodology under several different scenarios. When comparing the conclusions based upon an IUCN-only scenario to an AquaMaps-only scenario (using 2015 data and a 0% threshold sets the most meaningful comparison) we found a five-fold increase in the proportion of gap species (6.4% vs 1.2%) and dramatically larger proportion of species with less than 2% of their range protected (73.2% vs. 47.7%). However, this comparison also indicates a larger proportion of well-protected species with greater than 10% of range protected (2.9% vs. 1.5%). Conclusions drawn from each of these datasets would paint dramatically different pictures of the protection afforded by our current global MPA network.</w:t>
      </w:r>
    </w:p>
    <w:p>
      <w:r>
        <w:pict>
          <v:rect style="width:0;height:1.5pt" o:hralign="center" o:hrstd="t" o:hr="t"/>
        </w:pict>
      </w:r>
    </w:p>
    <w:p>
      <w:pPr>
        <w:pStyle w:val="Heading1"/>
      </w:pPr>
      <w:bookmarkStart w:id="28" w:name="conclusions"/>
      <w:bookmarkEnd w:id="28"/>
      <w:r>
        <w:t xml:space="preserve">Conclusions</w:t>
      </w:r>
    </w:p>
    <w:p>
      <w:r>
        <w:t xml:space="preserve">AquaMaps and IUCN range maps provide important spatial information on marine species ranges, and show reasonable agreement for many well-studied species, but illustrate uncertainty in our understanding of spatial distribution for many others. Identifying and addressing differences in these datasets will increase their utility for ecology research and conservation actions. We have identified several likely drivers of commission errors and omission errors between these datasets, pointing toward improvements to better align the predictions of species distributions.</w:t>
      </w:r>
    </w:p>
    <w:p>
      <w:r>
        <w:rPr>
          <w:b/>
        </w:rPr>
        <w:t xml:space="preserve">Suggestions for data providers:</w:t>
      </w:r>
    </w:p>
    <w:p>
      <w:pPr>
        <w:pStyle w:val="Compact"/>
        <w:numPr>
          <w:numId w:val="1002"/>
          <w:ilvl w:val="0"/>
        </w:numPr>
      </w:pPr>
      <w:r>
        <w:t xml:space="preserve">The IUCN Red List instructional materials for mapping marine species suggest that "bathymetry can be used to delineate species' ranges limited by depth in the same way as elevation is used for terrestrial species" (IUCN 2015). Unfortunately, this recommendation appears to be applied inconsistently. Especially for demersal communities dependent on photosynthesis, bathymetry should be a primary consideration; even a simple cutoff at the photosynthetic limit of 200 meters would minimize a likely source of commission errors.</w:t>
      </w:r>
    </w:p>
    <w:p>
      <w:pPr>
        <w:pStyle w:val="Compact"/>
        <w:numPr>
          <w:numId w:val="1002"/>
          <w:ilvl w:val="0"/>
        </w:numPr>
      </w:pPr>
      <w:r>
        <w:t xml:space="preserve">The AquaMaps model is a powerful tool for quickly estimating species distribution based on limited information; however, the model's output is only as good as the input data, which for marine species is often sorely limited. AquaMaps encourages experts to review and comment on the predicted species distribution maps; lessons from the small sample of reviewed maps could be generalized, for example to other species in the same taxonomic group, to further refine the predictions. This is especially important for data-poor species.</w:t>
      </w:r>
    </w:p>
    <w:p>
      <w:pPr>
        <w:pStyle w:val="Compact"/>
        <w:numPr>
          <w:numId w:val="1002"/>
          <w:ilvl w:val="0"/>
        </w:numPr>
      </w:pPr>
      <w:r>
        <w:t xml:space="preserve">In addition to environmental preferences and conditions, AquaMaps mapping parameters include area restrictions to help limit over-extrapolation of AquaMaps models. Currently area restrictions are denoted by UN Food and Agriculture Organisation (FAO) fisheries reporting areas (Ready et al. 2010); however, area restrictions based on biogeographical criteria, e.g. Marine Ecoregions of the World (Spalding et al. 2007), would likely provide better resolution and predictive power, especially for data-poor species.</w:t>
      </w:r>
    </w:p>
    <w:p>
      <w:r>
        <w:rPr>
          <w:b/>
        </w:rPr>
        <w:t xml:space="preserve">Suggestions for data users:</w:t>
      </w:r>
    </w:p>
    <w:p>
      <w:pPr>
        <w:pStyle w:val="Compact"/>
        <w:numPr>
          <w:numId w:val="1003"/>
          <w:ilvl w:val="0"/>
        </w:numPr>
      </w:pPr>
      <w:r>
        <w:t xml:space="preserve">For depth-limited species and taxa, clipping IUCN range polygons to a reasonable bathymetry contour can reduce commission errors due to overprediction of species presence into unsuitable habitats.</w:t>
      </w:r>
    </w:p>
    <w:p>
      <w:pPr>
        <w:pStyle w:val="Compact"/>
        <w:numPr>
          <w:numId w:val="1003"/>
          <w:ilvl w:val="0"/>
        </w:numPr>
      </w:pPr>
      <w:r>
        <w:t xml:space="preserve">Using both datasets together can increase the taxonomic and spatial breadth of coverage, as long as the differences between the datasets can be reasonably minimized. Consider:</w:t>
      </w:r>
    </w:p>
    <w:p>
      <w:pPr>
        <w:pStyle w:val="Compact"/>
        <w:numPr>
          <w:numId w:val="1004"/>
          <w:ilvl w:val="1"/>
        </w:numPr>
      </w:pPr>
      <w:r>
        <w:t xml:space="preserve">An AquaMaps presence threshold of 0% most closely approximates the "limits of distribution" defined by IUCN range maps.</w:t>
      </w:r>
    </w:p>
    <w:p>
      <w:pPr>
        <w:pStyle w:val="Compact"/>
        <w:numPr>
          <w:numId w:val="1004"/>
          <w:ilvl w:val="1"/>
        </w:numPr>
      </w:pPr>
      <w:r>
        <w:t xml:space="preserve">Additional filters on AquaMaps distribution criteria, such as expert review status or the number of occurrence cells used to generate the species model, can help avoid overextrapolation for data poor species.</w:t>
      </w:r>
    </w:p>
    <w:p>
      <w:r>
        <w:rPr>
          <w:i/>
        </w:rPr>
        <w:t xml:space="preserve">(do we need a wrap-it-up paragraph here? I put that more at the top of the conclusions section... could shift it down here, but probably not needed in both places)</w:t>
      </w:r>
    </w:p>
    <w:p>
      <w:r>
        <w:pict>
          <v:rect style="width:0;height:1.5pt" o:hralign="center" o:hrstd="t" o:hr="t"/>
        </w:pict>
      </w:r>
    </w:p>
    <w:p>
      <w:pPr>
        <w:pStyle w:val="Heading1"/>
      </w:pPr>
      <w:bookmarkStart w:id="29" w:name="methods"/>
      <w:bookmarkEnd w:id="29"/>
      <w:r>
        <w:t xml:space="preserve">Methods</w:t>
      </w:r>
    </w:p>
    <w:p>
      <w:r>
        <w:rPr>
          <w:b/>
        </w:rPr>
        <w:t xml:space="preserve">Comparison of taxonomic and regional distribution:</w:t>
      </w:r>
      <w:r>
        <w:t xml:space="preserve"> </w:t>
      </w:r>
      <w:r>
        <w:t xml:space="preserve">To examine the overall taxonomic distribution across the spatial datasets (Fig. 1A), we grouped species by taxonomic class and data source (IUCN, AquaMaps, or both), and examined the proportion of each class represented in each data source category.</w:t>
      </w:r>
    </w:p>
    <w:p>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 (Fig. 1B, 1C).</w:t>
      </w:r>
    </w:p>
    <w:p>
      <w:r>
        <w:rPr>
          <w:b/>
        </w:rPr>
        <w:t xml:space="preserve">Comparison of paired maps:</w:t>
      </w:r>
      <w:r>
        <w:t xml:space="preserve"> </w:t>
      </w:r>
      <w:r>
        <w:t xml:space="preserve">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r>
        <w:t xml:space="preserve">Overlaying paired distribution maps for a given species, we defined and calculated</w:t>
      </w:r>
      <w:r>
        <w:t xml:space="preserve"> </w:t>
      </w:r>
      <w:r>
        <w:rPr>
          <w:i/>
        </w:rPr>
        <w:t xml:space="preserve">distribution alignment</w:t>
      </w:r>
      <w:r>
        <w:t xml:space="preserve"> </w:t>
      </w:r>
      <w:r>
        <w:t xml:space="preserve">and</w:t>
      </w:r>
      <w:r>
        <w:t xml:space="preserve"> </w:t>
      </w:r>
      <w:r>
        <w:rPr>
          <w:i/>
        </w:rPr>
        <w:t xml:space="preserve">extent alignment</w:t>
      </w:r>
      <w:r>
        <w:t xml:space="preserve"> </w:t>
      </w:r>
      <w:r>
        <w:t xml:space="preserve">and plotted these in Fig. 2:</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r>
        <w:t xml:space="preserve">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r>
        <w:rPr>
          <w:b/>
        </w:rPr>
        <w:t xml:space="preserve">Methods for OHI case study:</w:t>
      </w:r>
      <w:r>
        <w:rPr>
          <w:b/>
        </w:rPr>
        <w:t xml:space="preserve"> </w:t>
      </w:r>
      <w:r>
        <w:t xml:space="preserve"> </w:t>
      </w:r>
      <w:r>
        <w:t xml:space="preserve">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r>
        <w:rPr>
          <w:b/>
        </w:rPr>
        <w:t xml:space="preserve">Methods for MPA Gap Analysis case study:</w:t>
      </w:r>
      <w:r>
        <w:t xml:space="preserve"> </w:t>
      </w:r>
      <w:r>
        <w:t xml:space="preserve">Based upon the methods described in Klein et al. 2015, we reconstructed the analysis using the subset of protected areas (WDPA 2014) spatially covering a marine area and classified as IUCN I-IV. The WDPA polygons and marine polygons were rasterized to 0.01° and then aggregated to AquaMaps native 0.5° cells, to calculate proportion of protected area and marine within each cell. After verifying our results using the 2014 AquaMaps dataset, we updated the analysis using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 Finally, we combined AquaMaps data (at 0% threshold) and IUCN data, using AquaMaps for the 2013 overlapping species and again compared against the protected area raster.</w:t>
      </w:r>
    </w:p>
    <w:p>
      <w:r>
        <w:t xml:space="preserve">All processing was completed in R (REF), and all code and intermediate data are available on GitHub (REF?) at</w:t>
      </w:r>
      <w:r>
        <w:t xml:space="preserve"> </w:t>
      </w:r>
      <w:hyperlink r:id="rId30">
        <w:r>
          <w:rPr>
            <w:rStyle w:val="Link"/>
          </w:rPr>
          <w:t xml:space="preserve">https://github.com/OHI-Science/IUCN-AquaMaps</w:t>
        </w:r>
      </w:hyperlink>
      <w:r>
        <w:t xml:space="preserve">.</w:t>
      </w:r>
    </w:p>
    <w:p>
      <w:r>
        <w:pict>
          <v:rect style="width:0;height:1.5pt" o:hralign="center" o:hrstd="t" o:hr="t"/>
        </w:pict>
      </w:r>
    </w:p>
    <w:p>
      <w:pPr>
        <w:pStyle w:val="Heading1"/>
      </w:pPr>
      <w:bookmarkStart w:id="31" w:name="figures-and-captions"/>
      <w:bookmarkEnd w:id="31"/>
      <w:r>
        <w:t xml:space="preserve">Figures and captions</w:t>
      </w:r>
    </w:p>
    <w:p>
      <w:r>
        <w:rPr>
          <w:i/>
          <w:b/>
        </w:rPr>
        <w:t xml:space="preserve">still need work on captions; then separate captions from images</w:t>
      </w:r>
    </w:p>
    <w:p>
      <w:r>
        <w:pict>
          <v:rect style="width:0;height:1.5pt" o:hralign="center" o:hrstd="t" o:hr="t"/>
        </w:pict>
      </w:r>
    </w:p>
    <w:p>
      <w:pPr>
        <w:pStyle w:val="Heading3"/>
      </w:pPr>
      <w:bookmarkStart w:id="32" w:name="fig.-1"/>
      <w:bookmarkEnd w:id="32"/>
      <w:r>
        <w:t xml:space="preserve">Fig. 1</w:t>
      </w:r>
      <w:r>
        <w:t xml:space="preserve"> </w:t>
      </w:r>
    </w:p>
    <w:p/>
    <w:p>
      <w:r>
        <w:drawing>
          <wp:inline>
            <wp:extent cx="5440680" cy="2128962"/>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3"/>
                    <a:stretch>
                      <a:fillRect/>
                    </a:stretch>
                  </pic:blipFill>
                  <pic:spPr bwMode="auto">
                    <a:xfrm>
                      <a:off x="0" y="0"/>
                      <a:ext cx="5440680" cy="2128962"/>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34"/>
                    <a:stretch>
                      <a:fillRect/>
                    </a:stretch>
                  </pic:blipFill>
                  <pic:spPr bwMode="auto">
                    <a:xfrm>
                      <a:off x="0" y="0"/>
                      <a:ext cx="5440680" cy="3855494"/>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35"/>
                    <a:stretch>
                      <a:fillRect/>
                    </a:stretch>
                  </pic:blipFill>
                  <pic:spPr bwMode="auto">
                    <a:xfrm>
                      <a:off x="0" y="0"/>
                      <a:ext cx="5440680" cy="3855494"/>
                    </a:xfrm>
                    <a:prstGeom prst="rect">
                      <a:avLst/>
                    </a:prstGeom>
                    <a:noFill/>
                    <a:ln w="9525">
                      <a:noFill/>
                      <a:headEnd/>
                      <a:tailEnd/>
                    </a:ln>
                  </pic:spPr>
                </pic:pic>
              </a:graphicData>
            </a:graphic>
          </wp:inline>
        </w:drawing>
      </w:r>
    </w:p>
    <w:p>
      <w:pPr>
        <w:pStyle w:val="BlockQuote"/>
      </w:pPr>
      <w:r>
        <w:rPr>
          <w:b/>
        </w:rPr>
        <w:t xml:space="preserve">Fig. 1.</w:t>
      </w:r>
      <w:r>
        <w:t xml:space="preserve"> </w:t>
      </w:r>
      <w:r>
        <w:t xml:space="preserve">(A) Number and proportion of species by taxa included in each dataset. AquaMaps encompasses a broader range of taxa than IUCN, while IUCN focuses on comprehensively assessing select taxonomic groups, typically at the level of order or family. Overlapping species are dominated by bony fishes (896 species, primarily tropical taxa) and corals (362 species). (B, C) Global marine species richness according to (B) AquaMaps dataset and (C) IUCN dataset. The margin frequency plots show relative species count per cell at each latitude and longitude; while both datasets peak in tropical latitudes near the equator, the frequency for IUCN maps drops quickly beyond 30°N and 30°S, while the frequency for AquaMaps remains robust well into temperate latitudes. The longitude frequency plots show a slight bias in the IUCN dataset away from the Atlantic and eastern Pacific compared to AquaMaps.</w:t>
      </w:r>
    </w:p>
    <w:p/>
    <w:p>
      <w:r>
        <w:drawing>
          <wp:inline>
            <wp:extent cx="5440680" cy="2741845"/>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36"/>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drawing>
          <wp:inline>
            <wp:extent cx="5440680" cy="2128962"/>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37"/>
                    <a:stretch>
                      <a:fillRect/>
                    </a:stretch>
                  </pic:blipFill>
                  <pic:spPr bwMode="auto">
                    <a:xfrm>
                      <a:off x="0" y="0"/>
                      <a:ext cx="5440680" cy="2128962"/>
                    </a:xfrm>
                    <a:prstGeom prst="rect">
                      <a:avLst/>
                    </a:prstGeom>
                    <a:noFill/>
                    <a:ln w="9525">
                      <a:noFill/>
                      <a:headEnd/>
                      <a:tailEnd/>
                    </a:ln>
                  </pic:spPr>
                </pic:pic>
              </a:graphicData>
            </a:graphic>
          </wp:inline>
        </w:drawing>
      </w:r>
    </w:p>
    <w:p>
      <w:pPr>
        <w:pStyle w:val="BlockQuote"/>
      </w:pPr>
      <w:r>
        <w:rPr>
          <w:b/>
        </w:rPr>
        <w:t xml:space="preserve">Fig. 2.</w:t>
      </w:r>
      <w:r>
        <w:t xml:space="preserve"> </w:t>
      </w:r>
      <w:r>
        <w:t xml:space="preserve">(A) Distribution alignment (overlap of smaller range within larger) versus extent ratio (the ratio of smaller range area to the larger range area) for 2013 species included in both IUCN and AquaMaps datasets. The upper right quadrant (quadrant 1) comprises species whose maps largely agree (better than median value) in both spatial distribution and the extent of described ranges (n = 398; 19.5 %). The upper left quadrant (quadrant 2) comprises species whose maps agree well in distribution, but disagree in extent (n = 625; 30.5 %). The lower right quadrant (quadrant 3) includes species for which the paired maps generally agree in range extent, but disagree on where those ranges occur (n = 624; 30.5 %). The lower left quadrant (quadrant 4) indicates species for which the map pairs agree poorly in both area and distribution (n = 399; 19.5 %).</w:t>
      </w:r>
      <w:r>
        <w:br w:type="textWrapping"/>
      </w:r>
      <w:r>
        <w:t xml:space="preserve">(B) Alignment breakdown of paired-map species by taxonomic group.</w:t>
      </w:r>
    </w:p>
    <w:p>
      <w:pPr>
        <w:pStyle w:val="Heading3"/>
      </w:pPr>
      <w:bookmarkStart w:id="38" w:name="figure-3"/>
      <w:bookmarkEnd w:id="38"/>
      <w:r>
        <w:t xml:space="preserve">Figure 3</w:t>
      </w:r>
    </w:p>
    <w:p/>
    <w:p>
      <w:r>
        <w:drawing>
          <wp:inline>
            <wp:extent cx="5440680" cy="2714057"/>
            <wp:effectExtent b="0" l="0" r="0" t="0"/>
            <wp:docPr descr="" id="1" name="Picture"/>
            <a:graphic>
              <a:graphicData uri="http://schemas.openxmlformats.org/drawingml/2006/picture">
                <pic:pic>
                  <pic:nvPicPr>
                    <pic:cNvPr descr="figures/boxplot_abs_diff.png" id="0" name="Picture"/>
                    <pic:cNvPicPr>
                      <a:picLocks noChangeArrowheads="1" noChangeAspect="1"/>
                    </pic:cNvPicPr>
                  </pic:nvPicPr>
                  <pic:blipFill>
                    <a:blip r:embed="rId39"/>
                    <a:stretch>
                      <a:fillRect/>
                    </a:stretch>
                  </pic:blipFill>
                  <pic:spPr bwMode="auto">
                    <a:xfrm>
                      <a:off x="0" y="0"/>
                      <a:ext cx="5440680" cy="2714057"/>
                    </a:xfrm>
                    <a:prstGeom prst="rect">
                      <a:avLst/>
                    </a:prstGeom>
                    <a:noFill/>
                    <a:ln w="9525">
                      <a:noFill/>
                      <a:headEnd/>
                      <a:tailEnd/>
                    </a:ln>
                  </pic:spPr>
                </pic:pic>
              </a:graphicData>
            </a:graphic>
          </wp:inline>
        </w:drawing>
      </w:r>
    </w:p>
    <w:p>
      <w:pPr>
        <w:pStyle w:val="BlockQuote"/>
      </w:pPr>
      <w:r>
        <w:rPr>
          <w:b/>
        </w:rPr>
        <w:t xml:space="preserve">Fig. 3.</w:t>
      </w:r>
      <w:r>
        <w:t xml:space="preserve"> </w:t>
      </w:r>
      <w:r>
        <w:t xml:space="preserve">Change in status score for the Species Subgoal within the global Ocean Health Index under three different scenarios. Scenario 1 shows the effect of reducing the probability threshold for AquaMaps presence to more accurately track the definition of IUCN “limits of distribution." Reducing the threshold increases the apparent range of a species; the slight decrease in average score suggests increased spatial representation of threatened species. Scenario 2 shows the effect of prioritizing AquaMaps data over IUCN, while maintaining the 40% presence threshold. In general, AquaMaps ranges are smaller than IUCN ranges, so most overlapping species will see a decrease in represented range. The slight bump in mean score may indicate a small increase in spatial representation of low-risk species, a small decrease in spatial representation of high-risk species, or a combination of both. Scenario 3 shows the effect of prioritizing AquaMaps data over IUCN, and simultaneously eliminating the presence threshold. The zero threshold in scenario 3 drives a decrease in scores relative to scenario 2. The large decrease indicates that a zero threshold greatly increases the spatial representation of high-risk species.</w:t>
      </w:r>
    </w:p>
    <w:p>
      <w:r>
        <w:rPr>
          <w:i/>
          <w:b/>
        </w:rPr>
        <w:t xml:space="preserve">NOTE: This figure still needs to be recreated using the latest and greatest data!</w:t>
      </w:r>
      <w:r>
        <w:t xml:space="preserve"> </w:t>
      </w:r>
      <w:r>
        <w:rPr>
          <w:i/>
        </w:rPr>
        <w:t xml:space="preserve">currently they use data generated in November or so, in ohiprep.</w:t>
      </w:r>
    </w:p>
    <w:p>
      <w:pPr>
        <w:pStyle w:val="Heading3"/>
      </w:pPr>
      <w:bookmarkStart w:id="40" w:name="figure-4"/>
      <w:bookmarkEnd w:id="40"/>
      <w:r>
        <w:t xml:space="preserve">Figure 4</w:t>
      </w:r>
    </w:p>
    <w:p/>
    <w:p>
      <w:r>
        <w:drawing>
          <wp:inline>
            <wp:extent cx="5440680" cy="1526831"/>
            <wp:effectExtent b="0" l="0" r="0" t="0"/>
            <wp:docPr descr="" id="1" name="Picture"/>
            <a:graphic>
              <a:graphicData uri="http://schemas.openxmlformats.org/drawingml/2006/picture">
                <pic:pic>
                  <pic:nvPicPr>
                    <pic:cNvPr descr="figures/barchart_mpa_gap.png" id="0" name="Picture"/>
                    <pic:cNvPicPr>
                      <a:picLocks noChangeArrowheads="1" noChangeAspect="1"/>
                    </pic:cNvPicPr>
                  </pic:nvPicPr>
                  <pic:blipFill>
                    <a:blip r:embed="rId41"/>
                    <a:stretch>
                      <a:fillRect/>
                    </a:stretch>
                  </pic:blipFill>
                  <pic:spPr bwMode="auto">
                    <a:xfrm>
                      <a:off x="0" y="0"/>
                      <a:ext cx="5440680" cy="1526831"/>
                    </a:xfrm>
                    <a:prstGeom prst="rect">
                      <a:avLst/>
                    </a:prstGeom>
                    <a:noFill/>
                    <a:ln w="9525">
                      <a:noFill/>
                      <a:headEnd/>
                      <a:tailEnd/>
                    </a:ln>
                  </pic:spPr>
                </pic:pic>
              </a:graphicData>
            </a:graphic>
          </wp:inline>
        </w:drawing>
      </w:r>
    </w:p>
    <w:p>
      <w:pPr>
        <w:pStyle w:val="BlockQuote"/>
      </w:pPr>
      <w:r>
        <w:rPr>
          <w:b/>
        </w:rPr>
        <w:t xml:space="preserve">Fig. 4.</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the 2015 AquaMaps dataset; the small changes despite the inclusion of an additional 5545 species demonstrates the robustness of the conclusions of Klein et al. (2015). Scenario 3, using 2015 AquaMaps data, drops the presence threshold to zero, showing an expected decrease in gap species, but also a decrease in species with 5% or greater protected range. Scenario 4 adds an additional 1745 species unique to the IUCN dataset, resulting in increases in gap species and species with less than 2% coverage. Scenario 5 examines species MPA coverage using only the IUCN dataset.</w:t>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gap</w:t>
            </w:r>
          </w:p>
        </w:tc>
        <w:tc>
          <w:tcPr>
            <w:tcBorders>
              <w:bottom w:val="single"/>
            </w:tcBorders>
            <w:vAlign w:val="bottom"/>
          </w:tcPr>
          <w:p>
            <w:pPr>
              <w:pStyle w:val="Compact"/>
              <w:jc w:val="right"/>
            </w:pPr>
            <w:r>
              <w:t xml:space="preserve">covered 0-2%</w:t>
            </w:r>
          </w:p>
        </w:tc>
        <w:tc>
          <w:tcPr>
            <w:tcBorders>
              <w:bottom w:val="single"/>
            </w:tcBorders>
            <w:vAlign w:val="bottom"/>
          </w:tcPr>
          <w:p>
            <w:pPr>
              <w:pStyle w:val="Compact"/>
              <w:jc w:val="right"/>
            </w:pPr>
            <w:r>
              <w:t xml:space="preserve">covered 2-5%</w:t>
            </w:r>
          </w:p>
        </w:tc>
        <w:tc>
          <w:tcPr>
            <w:tcBorders>
              <w:bottom w:val="single"/>
            </w:tcBorders>
            <w:vAlign w:val="bottom"/>
          </w:tcPr>
          <w:p>
            <w:pPr>
              <w:pStyle w:val="Compact"/>
              <w:jc w:val="right"/>
            </w:pPr>
            <w:r>
              <w:t xml:space="preserve">covered 5-10%</w:t>
            </w:r>
          </w:p>
        </w:tc>
        <w:tc>
          <w:tcPr>
            <w:tcBorders>
              <w:bottom w:val="single"/>
            </w:tcBorders>
            <w:vAlign w:val="bottom"/>
          </w:tcPr>
          <w:p>
            <w:pPr>
              <w:pStyle w:val="Compact"/>
              <w:jc w:val="right"/>
            </w:pPr>
            <w:r>
              <w:t xml:space="preserve">covered &gt;10%</w:t>
            </w:r>
          </w:p>
        </w:tc>
      </w:tr>
      <w:tr>
        <w:tc>
          <w:p>
            <w:pPr>
              <w:pStyle w:val="Compact"/>
              <w:jc w:val="left"/>
            </w:pPr>
            <w:r>
              <w:t xml:space="preserve">am2014 (50%)</w:t>
            </w:r>
          </w:p>
        </w:tc>
        <w:tc>
          <w:p>
            <w:pPr>
              <w:pStyle w:val="Compact"/>
              <w:jc w:val="right"/>
            </w:pPr>
            <w:r>
              <w:t xml:space="preserve">17344</w:t>
            </w:r>
          </w:p>
        </w:tc>
        <w:tc>
          <w:p>
            <w:pPr>
              <w:pStyle w:val="Compact"/>
              <w:jc w:val="right"/>
            </w:pPr>
            <w:r>
              <w:t xml:space="preserve">1.6</w:t>
            </w:r>
          </w:p>
        </w:tc>
        <w:tc>
          <w:p>
            <w:pPr>
              <w:pStyle w:val="Compact"/>
              <w:jc w:val="right"/>
            </w:pPr>
            <w:r>
              <w:t xml:space="preserve">44.6</w:t>
            </w:r>
          </w:p>
        </w:tc>
        <w:tc>
          <w:p>
            <w:pPr>
              <w:pStyle w:val="Compact"/>
              <w:jc w:val="right"/>
            </w:pPr>
            <w:r>
              <w:t xml:space="preserve">44.6</w:t>
            </w:r>
          </w:p>
        </w:tc>
        <w:tc>
          <w:p>
            <w:pPr>
              <w:pStyle w:val="Compact"/>
              <w:jc w:val="right"/>
            </w:pPr>
            <w:r>
              <w:t xml:space="preserve">6.8</w:t>
            </w:r>
          </w:p>
        </w:tc>
        <w:tc>
          <w:p>
            <w:pPr>
              <w:pStyle w:val="Compact"/>
              <w:jc w:val="right"/>
            </w:pPr>
            <w:r>
              <w:t xml:space="preserve">2.4</w:t>
            </w:r>
          </w:p>
        </w:tc>
      </w:tr>
      <w:tr>
        <w:tc>
          <w:p>
            <w:pPr>
              <w:pStyle w:val="Compact"/>
              <w:jc w:val="left"/>
            </w:pPr>
            <w:r>
              <w:t xml:space="preserve">am2015 (50%)</w:t>
            </w:r>
          </w:p>
        </w:tc>
        <w:tc>
          <w:p>
            <w:pPr>
              <w:pStyle w:val="Compact"/>
              <w:jc w:val="right"/>
            </w:pPr>
            <w:r>
              <w:t xml:space="preserve">22885</w:t>
            </w:r>
          </w:p>
        </w:tc>
        <w:tc>
          <w:p>
            <w:pPr>
              <w:pStyle w:val="Compact"/>
              <w:jc w:val="right"/>
            </w:pPr>
            <w:r>
              <w:t xml:space="preserve">1.7</w:t>
            </w:r>
          </w:p>
        </w:tc>
        <w:tc>
          <w:p>
            <w:pPr>
              <w:pStyle w:val="Compact"/>
              <w:jc w:val="right"/>
            </w:pPr>
            <w:r>
              <w:t xml:space="preserve">45.7</w:t>
            </w:r>
          </w:p>
        </w:tc>
        <w:tc>
          <w:p>
            <w:pPr>
              <w:pStyle w:val="Compact"/>
              <w:jc w:val="right"/>
            </w:pPr>
            <w:r>
              <w:t xml:space="preserve">42.7</w:t>
            </w:r>
          </w:p>
        </w:tc>
        <w:tc>
          <w:p>
            <w:pPr>
              <w:pStyle w:val="Compact"/>
              <w:jc w:val="right"/>
            </w:pPr>
            <w:r>
              <w:t xml:space="preserve">7.2</w:t>
            </w:r>
          </w:p>
        </w:tc>
        <w:tc>
          <w:p>
            <w:pPr>
              <w:pStyle w:val="Compact"/>
              <w:jc w:val="right"/>
            </w:pPr>
            <w:r>
              <w:t xml:space="preserve">2.7</w:t>
            </w:r>
          </w:p>
        </w:tc>
      </w:tr>
      <w:tr>
        <w:tc>
          <w:p>
            <w:pPr>
              <w:pStyle w:val="Compact"/>
              <w:jc w:val="left"/>
            </w:pPr>
            <w:r>
              <w:t xml:space="preserve">am2015 (0%)</w:t>
            </w:r>
          </w:p>
        </w:tc>
        <w:tc>
          <w:p>
            <w:pPr>
              <w:pStyle w:val="Compact"/>
              <w:jc w:val="right"/>
            </w:pPr>
            <w:r>
              <w:t xml:space="preserve">22889</w:t>
            </w:r>
          </w:p>
        </w:tc>
        <w:tc>
          <w:p>
            <w:pPr>
              <w:pStyle w:val="Compact"/>
              <w:jc w:val="right"/>
            </w:pPr>
            <w:r>
              <w:t xml:space="preserve">1.2</w:t>
            </w:r>
          </w:p>
        </w:tc>
        <w:tc>
          <w:p>
            <w:pPr>
              <w:pStyle w:val="Compact"/>
              <w:jc w:val="right"/>
            </w:pPr>
            <w:r>
              <w:t xml:space="preserve">46.5</w:t>
            </w:r>
          </w:p>
        </w:tc>
        <w:tc>
          <w:p>
            <w:pPr>
              <w:pStyle w:val="Compact"/>
              <w:jc w:val="right"/>
            </w:pPr>
            <w:r>
              <w:t xml:space="preserve">44.5</w:t>
            </w:r>
          </w:p>
        </w:tc>
        <w:tc>
          <w:p>
            <w:pPr>
              <w:pStyle w:val="Compact"/>
              <w:jc w:val="right"/>
            </w:pPr>
            <w:r>
              <w:t xml:space="preserve">6.4</w:t>
            </w:r>
          </w:p>
        </w:tc>
        <w:tc>
          <w:p>
            <w:pPr>
              <w:pStyle w:val="Compact"/>
              <w:jc w:val="right"/>
            </w:pPr>
            <w:r>
              <w:t xml:space="preserve">1.5</w:t>
            </w:r>
          </w:p>
        </w:tc>
      </w:tr>
      <w:tr>
        <w:tc>
          <w:p>
            <w:pPr>
              <w:pStyle w:val="Compact"/>
              <w:jc w:val="left"/>
            </w:pPr>
            <w:r>
              <w:t xml:space="preserve">am2015 (0%) + iucn2015</w:t>
            </w:r>
          </w:p>
        </w:tc>
        <w:tc>
          <w:p>
            <w:pPr>
              <w:pStyle w:val="Compact"/>
              <w:jc w:val="right"/>
            </w:pPr>
            <w:r>
              <w:t xml:space="preserve">24634</w:t>
            </w:r>
          </w:p>
        </w:tc>
        <w:tc>
          <w:p>
            <w:pPr>
              <w:pStyle w:val="Compact"/>
              <w:jc w:val="right"/>
            </w:pPr>
            <w:r>
              <w:t xml:space="preserve">2.0</w:t>
            </w:r>
          </w:p>
        </w:tc>
        <w:tc>
          <w:p>
            <w:pPr>
              <w:pStyle w:val="Compact"/>
              <w:jc w:val="right"/>
            </w:pPr>
            <w:r>
              <w:t xml:space="preserve">48.0</w:t>
            </w:r>
          </w:p>
        </w:tc>
        <w:tc>
          <w:p>
            <w:pPr>
              <w:pStyle w:val="Compact"/>
              <w:jc w:val="right"/>
            </w:pPr>
            <w:r>
              <w:t xml:space="preserve">42.2</w:t>
            </w:r>
          </w:p>
        </w:tc>
        <w:tc>
          <w:p>
            <w:pPr>
              <w:pStyle w:val="Compact"/>
              <w:jc w:val="right"/>
            </w:pPr>
            <w:r>
              <w:t xml:space="preserve">6.2</w:t>
            </w:r>
          </w:p>
        </w:tc>
        <w:tc>
          <w:p>
            <w:pPr>
              <w:pStyle w:val="Compact"/>
              <w:jc w:val="right"/>
            </w:pPr>
            <w:r>
              <w:t xml:space="preserve">1.6</w:t>
            </w:r>
          </w:p>
        </w:tc>
      </w:tr>
      <w:tr>
        <w:tc>
          <w:p>
            <w:pPr>
              <w:pStyle w:val="Compact"/>
              <w:jc w:val="left"/>
            </w:pPr>
            <w:r>
              <w:t xml:space="preserve">iucn2015</w:t>
            </w:r>
          </w:p>
        </w:tc>
        <w:tc>
          <w:p>
            <w:pPr>
              <w:pStyle w:val="Compact"/>
              <w:jc w:val="right"/>
            </w:pPr>
            <w:r>
              <w:t xml:space="preserve">4024</w:t>
            </w:r>
          </w:p>
        </w:tc>
        <w:tc>
          <w:p>
            <w:pPr>
              <w:pStyle w:val="Compact"/>
              <w:jc w:val="right"/>
            </w:pPr>
            <w:r>
              <w:t xml:space="preserve">6.4</w:t>
            </w:r>
          </w:p>
        </w:tc>
        <w:tc>
          <w:p>
            <w:pPr>
              <w:pStyle w:val="Compact"/>
              <w:jc w:val="right"/>
            </w:pPr>
            <w:r>
              <w:t xml:space="preserve">66.8</w:t>
            </w:r>
          </w:p>
        </w:tc>
        <w:tc>
          <w:p>
            <w:pPr>
              <w:pStyle w:val="Compact"/>
              <w:jc w:val="right"/>
            </w:pPr>
            <w:r>
              <w:t xml:space="preserve">20.1</w:t>
            </w:r>
          </w:p>
        </w:tc>
        <w:tc>
          <w:p>
            <w:pPr>
              <w:pStyle w:val="Compact"/>
              <w:jc w:val="right"/>
            </w:pPr>
            <w:r>
              <w:t xml:space="preserve">3.8</w:t>
            </w:r>
          </w:p>
        </w:tc>
        <w:tc>
          <w:p>
            <w:pPr>
              <w:pStyle w:val="Compact"/>
              <w:jc w:val="right"/>
            </w:pPr>
            <w:r>
              <w:t xml:space="preserve">2.9</w:t>
            </w:r>
          </w:p>
        </w:tc>
      </w:tr>
    </w:tbl>
    <w:p>
      <w:r>
        <w:pict>
          <v:rect style="width:0;height:1.5pt" o:hralign="center" o:hrstd="t" o:hr="t"/>
        </w:pict>
      </w:r>
    </w:p>
    <w:p>
      <w:pPr>
        <w:pStyle w:val="Heading1"/>
      </w:pPr>
      <w:bookmarkStart w:id="42" w:name="references"/>
      <w:bookmarkEnd w:id="42"/>
      <w:r>
        <w:t xml:space="preserve">References</w:t>
      </w:r>
    </w:p>
    <w:p>
      <w:r>
        <w:rPr>
          <w:i/>
          <w:b/>
        </w:rPr>
        <w:t xml:space="preserve">still need to check citations, format properly, put into order</w:t>
      </w:r>
    </w:p>
    <w:p>
      <w:r>
        <w:t xml:space="preserve">Kaschner K et al. (2015) AquaMaps: Predicted range maps for aquatic species. World wide web electronic publication, www.aquamaps.org, Version 08/2015.</w:t>
      </w:r>
    </w:p>
    <w:p>
      <w:r>
        <w:t xml:space="preserve">IUCN (2015). The IUCN Red List of Threatened Species. Version 2015-4.</w:t>
      </w:r>
      <w:r>
        <w:t xml:space="preserve"> </w:t>
      </w:r>
      <w:hyperlink r:id="rId43">
        <w:r>
          <w:rPr>
            <w:rStyle w:val="Link"/>
          </w:rPr>
          <w:t xml:space="preserve">http://www.iucnredlist.org</w:t>
        </w:r>
      </w:hyperlink>
      <w:r>
        <w:t xml:space="preserve">. Downloaded on 21 December 2015.</w:t>
      </w:r>
    </w:p>
    <w:p>
      <w:r>
        <w:t xml:space="preserve">Halpern BS et al. "An index to assess the health and benefits of the global ocean." Nature 488.7413 (2012): 615-620. _</w:t>
      </w:r>
      <w:hyperlink r:id="rId44">
        <w:r>
          <w:rPr>
            <w:rStyle w:val="Link"/>
          </w:rPr>
          <w:t xml:space="preserve">doi:10.1038/nature11397._</w:t>
        </w:r>
      </w:hyperlink>
    </w:p>
    <w:p>
      <w:r>
        <w:t xml:space="preserve">Halpern BS et al. (2015). Patterns and emerging trends in global ocean health. PloS one, 10(3), e0117863.</w:t>
      </w:r>
    </w:p>
    <w:p>
      <w:r>
        <w:t xml:space="preserve">Klein CJ et al. (2015). Shortfalls in the global protected area network at representing marine biodiversity. Scientific Reports 5: 17539. _</w:t>
      </w:r>
      <w:hyperlink r:id="rId45">
        <w:r>
          <w:rPr>
            <w:rStyle w:val="Link"/>
          </w:rPr>
          <w:t xml:space="preserve">doi:10.1038/srep17539._</w:t>
        </w:r>
      </w:hyperlink>
    </w:p>
    <w:p>
      <w:r>
        <w:t xml:space="preserve">Selig ER et al. (2013). Assessing global marine biodiversity status within a coupled socio-ecological perspective. PloS one, 8(4), e60284. _</w:t>
      </w:r>
      <w:hyperlink r:id="rId46">
        <w:r>
          <w:rPr>
            <w:rStyle w:val="Link"/>
          </w:rPr>
          <w:t xml:space="preserve">doi:10.1371/journal.pone.0060284._</w:t>
        </w:r>
      </w:hyperlink>
    </w:p>
    <w:p>
      <w:r>
        <w:t xml:space="preserve">Coll M et al. (2010). The biodiversity of the Mediterranean Sea: estimates, patterns, and threats. PLoS ONE 5(8): e11842.</w:t>
      </w:r>
      <w:r>
        <w:t xml:space="preserve"> </w:t>
      </w:r>
      <w:r>
        <w:rPr>
          <w:i/>
        </w:rPr>
        <w:t xml:space="preserve">used AquaMaps to predict Med biodiversity. Also: Threshold = 0.</w:t>
      </w:r>
    </w:p>
    <w:p>
      <w:r>
        <w:t xml:space="preserve">*Martin CS et al. (2014). Manual of marine and coastal datasets of biodiversity importance. May 2014 release. Cambridge (UK): UNEP World Conservation Monitoring Centre. 28 pp. (+ 4 annexes totalling 174 pp. and one e-supplement).</w:t>
      </w:r>
      <w:r>
        <w:t xml:space="preserve"> </w:t>
      </w:r>
      <w:r>
        <w:rPr>
          <w:i/>
        </w:rPr>
        <w:t xml:space="preserve">review of marine data sets and data gaps etc, incl both IUCN and AM as well as many others</w:t>
      </w:r>
    </w:p>
    <w:p>
      <w:r>
        <w:t xml:space="preserve">Pimm SL et al. (2014). The biodiversity of species and their rates of extinction, distribution, and protection. Science, 344(6187), 1246752.</w:t>
      </w:r>
      <w:r>
        <w:t xml:space="preserve"> </w:t>
      </w:r>
      <w:r>
        <w:rPr>
          <w:i/>
        </w:rPr>
        <w:t xml:space="preserve">uses range maps to show biodiversity areas; may use IUCN range maps. Also discusses gaps and possible things that can be done about them.</w:t>
      </w:r>
    </w:p>
    <w:p>
      <w:r>
        <w:t xml:space="preserve">Kaschner K, Tittensor DP, Ready J, Gerrodette T, Worm B (2011). Current and Future Patterns of Global Marine Mammal Biodiversity. PLoS ONE 6(5): e19653.</w:t>
      </w:r>
      <w:r>
        <w:t xml:space="preserve"> </w:t>
      </w:r>
      <w:r>
        <w:rPr>
          <w:i/>
        </w:rPr>
        <w:t xml:space="preserve">just what the title says - AM development, presence threshold 60%, also analyzes richness as a function of threshold</w:t>
      </w:r>
    </w:p>
    <w:p>
      <w:r>
        <w:t xml:space="preserve">Molinos JG et al. (2015). Climate velocity and the future global redistribution of marine biodiversity. Nature Climate Change. _</w:t>
      </w:r>
      <w:hyperlink r:id="rId47">
        <w:r>
          <w:rPr>
            <w:rStyle w:val="Link"/>
          </w:rPr>
          <w:t xml:space="preserve">doi:10.1038/nclimate2769._</w:t>
        </w:r>
      </w:hyperlink>
    </w:p>
    <w:p>
      <w:r>
        <w:t xml:space="preserve">Rondinini C, Wilson KA, Boitani L, Grantham H, &amp; Possingham HP (2006). Tradeoffs of different types of species occurrence data for use in systematic conservation planning. Ecology letters, 9(10), 1136-1145.</w:t>
      </w:r>
      <w:r>
        <w:t xml:space="preserve"> </w:t>
      </w:r>
      <w:r>
        <w:rPr>
          <w:i/>
        </w:rPr>
        <w:t xml:space="preserve">compares point locality, range maps, and distribution models in terms of omission and commission errors; also outlines Extent of Occurrence and Area of Occupancy distinctions.</w:t>
      </w:r>
    </w:p>
    <w:p>
      <w:r>
        <w:t xml:space="preserve">Jetz W, Sekercioglu CH, and Watson JE (2008). Ecological correlates and conservation implications of overestimating species geographic ranges. Conservation Biology, 22(1), 110-119.</w:t>
      </w:r>
      <w:r>
        <w:t xml:space="preserve"> </w:t>
      </w:r>
      <w:r>
        <w:rPr>
          <w:i/>
        </w:rPr>
        <w:t xml:space="preserve">EOO maps are usually highly interpolated and overestimate small-scale occurrence, which may bias research outcomes</w:t>
      </w:r>
    </w:p>
    <w:p>
      <w:r>
        <w:t xml:space="preserve">Kaschner K, Watson R, Trites AW, Pauly D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Ready J et al. (2010). Predicting the distributions of marine organisms at the global scale. Ecological Modelling 221(3): 467-478.</w:t>
      </w:r>
      <w:r>
        <w:t xml:space="preserve"> </w:t>
      </w:r>
      <w:r>
        <w:rPr>
          <w:i/>
        </w:rPr>
        <w:t xml:space="preserve">Presents AM; assessing AquaMaps against other presence-only species models</w:t>
      </w:r>
    </w:p>
    <w:p>
      <w:r>
        <w:t xml:space="preserve">Spalding MD et al. (2007). Marine ecoregions of the world: a bioregionalization of coastal and shelf areas. BioScience, 57(7), 573-583.</w:t>
      </w:r>
    </w:p>
    <w:p>
      <w:pPr>
        <w:pStyle w:val="Heading3"/>
      </w:pPr>
      <w:bookmarkStart w:id="48" w:name="not-currently-used"/>
      <w:bookmarkEnd w:id="48"/>
      <w:r>
        <w:t xml:space="preserve">NOT CURRENTLY USED:</w:t>
      </w:r>
    </w:p>
    <w:p>
      <w:r>
        <w:t xml:space="preserve">Jones MC, Dyeb SR, Pinnegar JK, Cheung WWL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Hurlbert AH, and Jetz W (2007). Species richness, hotspots, and the scale dependence of range maps in ecology and conservation. Proceedings of the National Academy of Sciences, 104(33), 13384-13389.</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pict>
          <v:rect style="width:0;height:1.5pt" o:hralign="center" o:hrstd="t" o:hr="t"/>
        </w:pict>
      </w:r>
    </w:p>
    <w:p>
      <w:pPr>
        <w:pStyle w:val="Heading1"/>
      </w:pPr>
      <w:bookmarkStart w:id="49" w:name="supplemental-information"/>
      <w:bookmarkEnd w:id="49"/>
      <w:r>
        <w:t xml:space="preserve">Supplemental Information</w:t>
      </w:r>
    </w:p>
    <w:p>
      <w:pPr>
        <w:pStyle w:val="Heading1"/>
      </w:pPr>
      <w:bookmarkStart w:id="50" w:name="outline"/>
      <w:bookmarkEnd w:id="50"/>
      <w:r>
        <w:t xml:space="preserve">Outline</w:t>
      </w:r>
    </w:p>
    <w:p>
      <w:pPr>
        <w:pStyle w:val="Heading2"/>
      </w:pPr>
      <w:bookmarkStart w:id="51" w:name="data-processing"/>
      <w:bookmarkEnd w:id="51"/>
      <w:r>
        <w:t xml:space="preserve">Data processing</w:t>
      </w:r>
    </w:p>
    <w:p>
      <w:r>
        <w:t xml:space="preserve">All code is publicly available and freely downloadable</w:t>
      </w:r>
      <w:r>
        <w:t xml:space="preserve"> </w:t>
      </w:r>
      <w:hyperlink r:id="rId52">
        <w:r>
          <w:rPr>
            <w:rStyle w:val="Link"/>
          </w:rPr>
          <w:t xml:space="preserve">here on GitHub</w:t>
        </w:r>
      </w:hyperlink>
      <w:r>
        <w:t xml:space="preserve">.</w:t>
      </w:r>
    </w:p>
    <w:p>
      <w:pPr>
        <w:pStyle w:val="Heading3"/>
      </w:pPr>
      <w:bookmarkStart w:id="53" w:name="aquamaps"/>
      <w:bookmarkEnd w:id="53"/>
      <w:r>
        <w:t xml:space="preserve">AquaMaps</w:t>
      </w:r>
    </w:p>
    <w:p>
      <w:r>
        <w:t xml:space="preserve">AquaMaps data was provided by AquaMaps directly via ftp. Three SQL files were sent that contained (1) list of all 22889 species and their taxonomic information, (2) information for all (292,000?) half degree cells used for range mapping and (3) the probability of occurrence per cell for all 22889 species. These were extracted into .csv form using R Statistical Software.</w:t>
      </w:r>
    </w:p>
    <w:p>
      <w:r>
        <w:rPr>
          <w:i/>
          <w:b/>
        </w:rPr>
        <w:t xml:space="preserve">Probably just cut, but maybe include in Suppl Materials. - BH</w:t>
      </w:r>
      <w:r>
        <w:t xml:space="preserve">: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pPr>
        <w:pStyle w:val="Heading4"/>
      </w:pPr>
      <w:bookmarkStart w:id="54" w:name="possible-figures"/>
      <w:bookmarkEnd w:id="54"/>
      <w:r>
        <w:t xml:space="preserve">Possible figures</w:t>
      </w:r>
    </w:p>
    <w:p>
      <w:pPr>
        <w:pStyle w:val="Compact"/>
        <w:numPr>
          <w:numId w:val="1005"/>
          <w:ilvl w:val="0"/>
        </w:numPr>
      </w:pPr>
      <w:r>
        <w:t xml:space="preserve">Map of all cells</w:t>
      </w:r>
    </w:p>
    <w:p>
      <w:pPr>
        <w:pStyle w:val="Compact"/>
        <w:numPr>
          <w:numId w:val="1005"/>
          <w:ilvl w:val="0"/>
        </w:numPr>
      </w:pPr>
      <w:r>
        <w:t xml:space="preserve">Map of # of species per cell</w:t>
      </w:r>
    </w:p>
    <w:p>
      <w:pPr>
        <w:pStyle w:val="Compact"/>
        <w:numPr>
          <w:numId w:val="1005"/>
          <w:ilvl w:val="0"/>
        </w:numPr>
      </w:pPr>
      <w:r>
        <w:t xml:space="preserve">Example aquamaps (one species range)</w:t>
      </w:r>
    </w:p>
    <w:p>
      <w:pPr>
        <w:pStyle w:val="Heading3"/>
      </w:pPr>
      <w:bookmarkStart w:id="55" w:name="iucn"/>
      <w:bookmarkEnd w:id="55"/>
      <w:r>
        <w:t xml:space="preserve">IUCN</w:t>
      </w:r>
    </w:p>
    <w:p>
      <w:r>
        <w:t xml:space="preserve">IUCN: While the polygons roughly define regions of presence/absence, additional attributes provide information on extant/extinct ranges, native/introduced ranges, and seasonality.</w:t>
      </w:r>
    </w:p>
    <w:p>
      <w:r>
        <w:t xml:space="preserve">As of December 2015, IUCN had published species distribution maps for 8691 marine species across 24 taxonomic groups. For this analysis, we did not consider IUCN range maps for bird species, as those data are hosted separately by BirdLife International.</w:t>
      </w:r>
    </w:p>
    <w:p>
      <w:pPr>
        <w:pStyle w:val="Compact"/>
        <w:numPr>
          <w:numId w:val="1006"/>
          <w:ilvl w:val="0"/>
        </w:numPr>
      </w:pPr>
      <w:r>
        <w:t xml:space="preserve">which data sets are included?</w:t>
      </w:r>
    </w:p>
    <w:p>
      <w:pPr>
        <w:pStyle w:val="Compact"/>
        <w:numPr>
          <w:numId w:val="1006"/>
          <w:ilvl w:val="0"/>
        </w:numPr>
      </w:pPr>
      <w:r>
        <w:t xml:space="preserve">raster::extract() to convert polys to csvs</w:t>
      </w:r>
    </w:p>
    <w:p>
      <w:pPr>
        <w:pStyle w:val="Compact"/>
        <w:numPr>
          <w:numId w:val="1006"/>
          <w:ilvl w:val="0"/>
        </w:numPr>
      </w:pPr>
      <w:r>
        <w:t xml:space="preserve">which columns are included?</w:t>
      </w:r>
    </w:p>
    <w:p>
      <w:r>
        <w:t xml:space="preserve">JA: I think here we only need a few sentences describing how we downloaded the data and on what date. Link to the IUCN spatial data website.</w:t>
      </w:r>
    </w:p>
    <w:p>
      <w:r>
        <w:t xml:space="preserve">IUCN data is provided as polygon shapefiles. These vectors were rasterized to the same cell resolution as AquaMaps data (0.5 degrees).</w:t>
      </w:r>
    </w:p>
    <w:p>
      <w:pPr>
        <w:pStyle w:val="Heading4"/>
      </w:pPr>
      <w:bookmarkStart w:id="56" w:name="possible-figures-1"/>
      <w:bookmarkEnd w:id="56"/>
      <w:r>
        <w:t xml:space="preserve">Possible figures</w:t>
      </w:r>
    </w:p>
    <w:p>
      <w:pPr>
        <w:pStyle w:val="Heading4"/>
      </w:pPr>
      <w:bookmarkStart w:id="57" w:name="caveats"/>
      <w:bookmarkEnd w:id="57"/>
      <w:r>
        <w:t xml:space="preserve">Caveats</w:t>
      </w:r>
    </w:p>
    <w:p>
      <w:r>
        <w:t xml:space="preserve">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r>
        <w:rPr>
          <w:i/>
          <w:b/>
        </w:rPr>
        <w:t xml:space="preserve">Red List inclusion:</w:t>
      </w:r>
    </w:p>
    <w:p>
      <w:r>
        <w:drawing>
          <wp:inline>
            <wp:extent cx="5440680" cy="1827896"/>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58"/>
                    <a:stretch>
                      <a:fillRect/>
                    </a:stretch>
                  </pic:blipFill>
                  <pic:spPr bwMode="auto">
                    <a:xfrm>
                      <a:off x="0" y="0"/>
                      <a:ext cx="5440680" cy="1827896"/>
                    </a:xfrm>
                    <a:prstGeom prst="rect">
                      <a:avLst/>
                    </a:prstGeom>
                    <a:noFill/>
                    <a:ln w="9525">
                      <a:noFill/>
                      <a:headEnd/>
                      <a:tailEnd/>
                    </a:ln>
                  </pic:spPr>
                </pic:pic>
              </a:graphicData>
            </a:graphic>
          </wp:inline>
        </w:drawing>
      </w:r>
    </w:p>
    <w:p>
      <w:r>
        <w:drawing>
          <wp:inline>
            <wp:extent cx="5440680" cy="2128962"/>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59"/>
                    <a:stretch>
                      <a:fillRect/>
                    </a:stretch>
                  </pic:blipFill>
                  <pic:spPr bwMode="auto">
                    <a:xfrm>
                      <a:off x="0" y="0"/>
                      <a:ext cx="5440680" cy="2128962"/>
                    </a:xfrm>
                    <a:prstGeom prst="rect">
                      <a:avLst/>
                    </a:prstGeom>
                    <a:noFill/>
                    <a:ln w="9525">
                      <a:noFill/>
                      <a:headEnd/>
                      <a:tailEnd/>
                    </a:ln>
                  </pic:spPr>
                </pic:pic>
              </a:graphicData>
            </a:graphic>
          </wp:inline>
        </w:drawing>
      </w:r>
    </w:p>
    <w:p>
      <w:pPr>
        <w:pStyle w:val="Compact"/>
        <w:numPr>
          <w:numId w:val="1007"/>
          <w:ilvl w:val="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r>
        <w:rPr>
          <w:i/>
          <w:b/>
        </w:rPr>
        <w:t xml:space="preserve">table to show data poor status and reviewed status for AquaMaps maps represented in the quadrant plot</w:t>
      </w:r>
      <w:r>
        <w:t xml:space="preserve"> </w:t>
      </w:r>
      <w:r>
        <w:rPr>
          <w:i/>
        </w:rPr>
        <w:t xml:space="preserve">- perhaps update the quadrant plot to reveal data-poor species (and reviewed species? little overlap of reviewed &amp; data-poor) instead of, say, red-list category which doesn't get discussed in the body of the paper? then this table can go in SOM if we like it</w:t>
      </w:r>
    </w:p>
    <w:tbl>
      <w:tblPr>
        <w:tblStyle w:val="TableNormal"/>
        <w:tblW w:type="pct" w:w="0.0"/>
      </w:tblPr>
      <w:tblGrid/>
      <w:tr>
        <w:tc>
          <w:tcPr>
            <w:tcBorders>
              <w:bottom w:val="single"/>
            </w:tcBorders>
            <w:vAlign w:val="bottom"/>
          </w:tcPr>
          <w:p>
            <w:pPr>
              <w:pStyle w:val="Compact"/>
              <w:jc w:val="center"/>
            </w:pPr>
            <w:r>
              <w:t xml:space="preserve">quadrant</w:t>
            </w:r>
          </w:p>
        </w:tc>
        <w:tc>
          <w:tcPr>
            <w:tcBorders>
              <w:bottom w:val="single"/>
            </w:tcBorders>
            <w:vAlign w:val="bottom"/>
          </w:tcPr>
          <w:p>
            <w:pPr>
              <w:pStyle w:val="Compact"/>
              <w:jc w:val="center"/>
            </w:pPr>
            <w:r>
              <w:t xml:space="preserve">n species</w:t>
            </w:r>
          </w:p>
        </w:tc>
        <w:tc>
          <w:tcPr>
            <w:tcBorders>
              <w:bottom w:val="single"/>
            </w:tcBorders>
            <w:vAlign w:val="bottom"/>
          </w:tcPr>
          <w:p>
            <w:pPr>
              <w:pStyle w:val="Compact"/>
              <w:jc w:val="center"/>
            </w:pPr>
            <w:r>
              <w:t xml:space="preserve">n data poor species</w:t>
            </w:r>
          </w:p>
        </w:tc>
        <w:tc>
          <w:tcPr>
            <w:tcBorders>
              <w:bottom w:val="single"/>
            </w:tcBorders>
            <w:vAlign w:val="bottom"/>
          </w:tcPr>
          <w:p>
            <w:pPr>
              <w:pStyle w:val="Compact"/>
              <w:jc w:val="center"/>
            </w:pPr>
            <w:r>
              <w:t xml:space="preserve">mean (median) data points</w:t>
            </w:r>
          </w:p>
        </w:tc>
        <w:tc>
          <w:tcPr>
            <w:tcBorders>
              <w:bottom w:val="single"/>
            </w:tcBorders>
            <w:vAlign w:val="bottom"/>
          </w:tcPr>
          <w:p>
            <w:pPr>
              <w:pStyle w:val="Compact"/>
              <w:jc w:val="center"/>
            </w:pPr>
            <w:r>
              <w:t xml:space="preserve">n reviewed species</w:t>
            </w:r>
          </w:p>
        </w:tc>
      </w:tr>
      <w:tr>
        <w:tc>
          <w:p>
            <w:pPr>
              <w:pStyle w:val="Compact"/>
              <w:jc w:val="center"/>
            </w:pPr>
            <w:r>
              <w:t xml:space="preserve">all AM</w:t>
            </w:r>
          </w:p>
        </w:tc>
        <w:tc>
          <w:p>
            <w:pPr>
              <w:pStyle w:val="Compact"/>
              <w:jc w:val="center"/>
            </w:pPr>
            <w:r>
              <w:t xml:space="preserve">22889</w:t>
            </w:r>
          </w:p>
        </w:tc>
        <w:tc>
          <w:p>
            <w:pPr>
              <w:pStyle w:val="Compact"/>
              <w:jc w:val="center"/>
            </w:pPr>
            <w:r>
              <w:t xml:space="preserve">8749 (38.2%)</w:t>
            </w:r>
          </w:p>
        </w:tc>
        <w:tc>
          <w:p>
            <w:pPr>
              <w:pStyle w:val="Compact"/>
              <w:jc w:val="center"/>
            </w:pPr>
            <w:r>
              <w:t xml:space="preserve">57.1 (16)</w:t>
            </w:r>
          </w:p>
        </w:tc>
        <w:tc>
          <w:p>
            <w:pPr>
              <w:pStyle w:val="Compact"/>
              <w:jc w:val="center"/>
            </w:pPr>
            <w:r>
              <w:t xml:space="preserve">1296 (5.7%)</w:t>
            </w:r>
          </w:p>
        </w:tc>
      </w:tr>
      <w:tr>
        <w:tc>
          <w:p>
            <w:pPr>
              <w:pStyle w:val="Compact"/>
              <w:jc w:val="center"/>
            </w:pPr>
            <w:r>
              <w:t xml:space="preserve">AM&amp;IUCN</w:t>
            </w:r>
          </w:p>
        </w:tc>
        <w:tc>
          <w:p>
            <w:pPr>
              <w:pStyle w:val="Compact"/>
              <w:jc w:val="center"/>
            </w:pPr>
            <w:r>
              <w:t xml:space="preserve">2166</w:t>
            </w:r>
          </w:p>
        </w:tc>
        <w:tc>
          <w:p>
            <w:pPr>
              <w:pStyle w:val="Compact"/>
              <w:jc w:val="center"/>
            </w:pPr>
            <w:r>
              <w:t xml:space="preserve">457 (21.1%)</w:t>
            </w:r>
          </w:p>
        </w:tc>
        <w:tc>
          <w:p>
            <w:pPr>
              <w:pStyle w:val="Compact"/>
              <w:jc w:val="center"/>
            </w:pPr>
            <w:r>
              <w:t xml:space="preserve">89.9 (33)</w:t>
            </w:r>
          </w:p>
        </w:tc>
        <w:tc>
          <w:p>
            <w:pPr>
              <w:pStyle w:val="Compact"/>
              <w:jc w:val="center"/>
            </w:pPr>
            <w:r>
              <w:t xml:space="preserve">290 (13.4%)</w:t>
            </w:r>
          </w:p>
        </w:tc>
      </w:tr>
      <w:tr>
        <w:tc>
          <w:p>
            <w:pPr>
              <w:pStyle w:val="Compact"/>
              <w:jc w:val="center"/>
            </w:pPr>
            <w:r>
              <w:t xml:space="preserve">q1</w:t>
            </w:r>
          </w:p>
        </w:tc>
        <w:tc>
          <w:p>
            <w:pPr>
              <w:pStyle w:val="Compact"/>
              <w:jc w:val="center"/>
            </w:pPr>
            <w:r>
              <w:t xml:space="preserve">401</w:t>
            </w:r>
          </w:p>
        </w:tc>
        <w:tc>
          <w:p>
            <w:pPr>
              <w:pStyle w:val="Compact"/>
              <w:jc w:val="center"/>
            </w:pPr>
            <w:r>
              <w:t xml:space="preserve">33 (8.2%)</w:t>
            </w:r>
          </w:p>
        </w:tc>
        <w:tc>
          <w:p>
            <w:pPr>
              <w:pStyle w:val="Compact"/>
              <w:jc w:val="center"/>
            </w:pPr>
            <w:r>
              <w:t xml:space="preserve">233.0 (78)</w:t>
            </w:r>
          </w:p>
        </w:tc>
        <w:tc>
          <w:p>
            <w:pPr>
              <w:pStyle w:val="Compact"/>
              <w:jc w:val="center"/>
            </w:pPr>
            <w:r>
              <w:t xml:space="preserve">100 (24.9%)</w:t>
            </w:r>
          </w:p>
        </w:tc>
      </w:tr>
      <w:tr>
        <w:tc>
          <w:p>
            <w:pPr>
              <w:pStyle w:val="Compact"/>
              <w:jc w:val="center"/>
            </w:pPr>
            <w:r>
              <w:t xml:space="preserve">q2</w:t>
            </w:r>
          </w:p>
        </w:tc>
        <w:tc>
          <w:p>
            <w:pPr>
              <w:pStyle w:val="Compact"/>
              <w:jc w:val="center"/>
            </w:pPr>
            <w:r>
              <w:t xml:space="preserve">682</w:t>
            </w:r>
          </w:p>
        </w:tc>
        <w:tc>
          <w:p>
            <w:pPr>
              <w:pStyle w:val="Compact"/>
              <w:jc w:val="center"/>
            </w:pPr>
            <w:r>
              <w:t xml:space="preserve">151 (22.1%)</w:t>
            </w:r>
          </w:p>
        </w:tc>
        <w:tc>
          <w:p>
            <w:pPr>
              <w:pStyle w:val="Compact"/>
              <w:jc w:val="center"/>
            </w:pPr>
            <w:r>
              <w:t xml:space="preserve">77.4 (39)</w:t>
            </w:r>
          </w:p>
        </w:tc>
        <w:tc>
          <w:p>
            <w:pPr>
              <w:pStyle w:val="Compact"/>
              <w:jc w:val="center"/>
            </w:pPr>
            <w:r>
              <w:t xml:space="preserve">100 (14.7%)</w:t>
            </w:r>
          </w:p>
        </w:tc>
      </w:tr>
      <w:tr>
        <w:tc>
          <w:p>
            <w:pPr>
              <w:pStyle w:val="Compact"/>
              <w:jc w:val="center"/>
            </w:pPr>
            <w:r>
              <w:t xml:space="preserve">q3</w:t>
            </w:r>
          </w:p>
        </w:tc>
        <w:tc>
          <w:p>
            <w:pPr>
              <w:pStyle w:val="Compact"/>
              <w:jc w:val="center"/>
            </w:pPr>
            <w:r>
              <w:t xml:space="preserve">682</w:t>
            </w:r>
          </w:p>
        </w:tc>
        <w:tc>
          <w:p>
            <w:pPr>
              <w:pStyle w:val="Compact"/>
              <w:jc w:val="center"/>
            </w:pPr>
            <w:r>
              <w:t xml:space="preserve">114 (16.5%)</w:t>
            </w:r>
          </w:p>
        </w:tc>
        <w:tc>
          <w:p>
            <w:pPr>
              <w:pStyle w:val="Compact"/>
              <w:jc w:val="center"/>
            </w:pPr>
            <w:r>
              <w:t xml:space="preserve">52.4 (29)</w:t>
            </w:r>
          </w:p>
        </w:tc>
        <w:tc>
          <w:p>
            <w:pPr>
              <w:pStyle w:val="Compact"/>
              <w:jc w:val="center"/>
            </w:pPr>
            <w:r>
              <w:t xml:space="preserve">65 (9.5%)</w:t>
            </w:r>
          </w:p>
        </w:tc>
      </w:tr>
      <w:tr>
        <w:tc>
          <w:p>
            <w:pPr>
              <w:pStyle w:val="Compact"/>
              <w:jc w:val="center"/>
            </w:pPr>
            <w:r>
              <w:t xml:space="preserve">q4</w:t>
            </w:r>
          </w:p>
        </w:tc>
        <w:tc>
          <w:p>
            <w:pPr>
              <w:pStyle w:val="Compact"/>
              <w:jc w:val="center"/>
            </w:pPr>
            <w:r>
              <w:t xml:space="preserve">410</w:t>
            </w:r>
          </w:p>
        </w:tc>
        <w:tc>
          <w:p>
            <w:pPr>
              <w:pStyle w:val="Compact"/>
              <w:jc w:val="center"/>
            </w:pPr>
            <w:r>
              <w:t xml:space="preserve">159 (39.7%)</w:t>
            </w:r>
          </w:p>
        </w:tc>
        <w:tc>
          <w:p>
            <w:pPr>
              <w:pStyle w:val="Compact"/>
              <w:jc w:val="center"/>
            </w:pPr>
            <w:r>
              <w:t xml:space="preserve">32.1 (13)</w:t>
            </w:r>
          </w:p>
        </w:tc>
        <w:tc>
          <w:p>
            <w:pPr>
              <w:pStyle w:val="Compact"/>
              <w:jc w:val="center"/>
            </w:pPr>
            <w:r>
              <w:t xml:space="preserve">25 (6.2%)</w:t>
            </w:r>
          </w:p>
        </w:tc>
      </w:tr>
    </w:tbl>
    <w:p>
      <w:pPr>
        <w:pStyle w:val="Heading2"/>
      </w:pPr>
      <w:bookmarkStart w:id="60" w:name="illustrative-maps-for-different-quadrants-and-different-mechanistic-problems"/>
      <w:bookmarkEnd w:id="60"/>
      <w:r>
        <w:t xml:space="preserve">illustrative maps for different quadrants and different mechanistic problems</w:t>
      </w:r>
    </w:p>
    <w:p>
      <w:r>
        <w:t xml:space="preserve">Oculina varicosa - Ivory tree coral</w:t>
      </w:r>
      <w:r>
        <w:t xml:space="preserve"> </w:t>
      </w:r>
      <w:r>
        <w:drawing>
          <wp:inline>
            <wp:extent cx="5440680" cy="4243730"/>
            <wp:effectExtent b="0" l="0" r="0" t="0"/>
            <wp:docPr descr="" id="1" name="Picture"/>
            <a:graphic>
              <a:graphicData uri="http://schemas.openxmlformats.org/drawingml/2006/picture">
                <pic:pic>
                  <pic:nvPicPr>
                    <pic:cNvPr descr="figures/oculina/oculina_pic.jpg" id="0" name="Picture"/>
                    <pic:cNvPicPr>
                      <a:picLocks noChangeArrowheads="1" noChangeAspect="1"/>
                    </pic:cNvPicPr>
                  </pic:nvPicPr>
                  <pic:blipFill>
                    <a:blip r:embed="rId61"/>
                    <a:stretch>
                      <a:fillRect/>
                    </a:stretch>
                  </pic:blipFill>
                  <pic:spPr bwMode="auto">
                    <a:xfrm>
                      <a:off x="0" y="0"/>
                      <a:ext cx="5440680" cy="4243730"/>
                    </a:xfrm>
                    <a:prstGeom prst="rect">
                      <a:avLst/>
                    </a:prstGeom>
                    <a:noFill/>
                    <a:ln w="9525">
                      <a:noFill/>
                      <a:headEnd/>
                      <a:tailEnd/>
                    </a:ln>
                  </pic:spPr>
                </pic:pic>
              </a:graphicData>
            </a:graphic>
          </wp:inline>
        </w:drawing>
      </w:r>
    </w:p>
    <w:p>
      <w:pPr>
        <w:pStyle w:val="Compact"/>
        <w:numPr>
          <w:numId w:val="1008"/>
          <w:ilvl w:val="0"/>
        </w:numPr>
      </w:pPr>
      <w:r>
        <w:t xml:space="preserve">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r>
        <w:t xml:space="preserve">plotted against a 200 m bathymetry line:</w:t>
      </w:r>
      <w:r>
        <w:t xml:space="preserve"> </w:t>
      </w:r>
      <w:r>
        <w:drawing>
          <wp:inline>
            <wp:extent cx="5440680" cy="4162746"/>
            <wp:effectExtent b="0" l="0" r="0" t="0"/>
            <wp:docPr descr="" id="1" name="Picture"/>
            <a:graphic>
              <a:graphicData uri="http://schemas.openxmlformats.org/drawingml/2006/picture">
                <pic:pic>
                  <pic:nvPicPr>
                    <pic:cNvPr descr="figures/oculina/oculina_map.png" id="0" name="Picture"/>
                    <pic:cNvPicPr>
                      <a:picLocks noChangeArrowheads="1" noChangeAspect="1"/>
                    </pic:cNvPicPr>
                  </pic:nvPicPr>
                  <pic:blipFill>
                    <a:blip r:embed="rId62"/>
                    <a:stretch>
                      <a:fillRect/>
                    </a:stretch>
                  </pic:blipFill>
                  <pic:spPr bwMode="auto">
                    <a:xfrm>
                      <a:off x="0" y="0"/>
                      <a:ext cx="5440680" cy="4162746"/>
                    </a:xfrm>
                    <a:prstGeom prst="rect">
                      <a:avLst/>
                    </a:prstGeom>
                    <a:noFill/>
                    <a:ln w="9525">
                      <a:noFill/>
                      <a:headEnd/>
                      <a:tailEnd/>
                    </a:ln>
                  </pic:spPr>
                </pic:pic>
              </a:graphicData>
            </a:graphic>
          </wp:inline>
        </w:drawing>
      </w:r>
    </w:p>
    <w:p>
      <w:pPr>
        <w:pStyle w:val="Heading2"/>
      </w:pPr>
      <w:bookmarkStart w:id="63" w:name="aquamaps-effect-of-changing-presence-threshold-on-apparent-distribution"/>
      <w:bookmarkEnd w:id="63"/>
      <w:r>
        <w:t xml:space="preserve">AquaMaps: Effect of changing "presence" threshold on apparent distribution</w:t>
      </w:r>
    </w:p>
    <w:p>
      <w:pPr>
        <w:pStyle w:val="Heading3"/>
      </w:pPr>
      <w:bookmarkStart w:id="64" w:name="aquamaps-presence-threshold-analysis---move-to-som"/>
      <w:bookmarkEnd w:id="64"/>
      <w:r>
        <w:t xml:space="preserve">AquaMaps presence threshold analysis - move to SOM</w:t>
      </w:r>
    </w:p>
    <w:p>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pPr>
        <w:pStyle w:val="Heading3"/>
      </w:pPr>
      <w:bookmarkStart w:id="65" w:name="figure-5-a-b"/>
      <w:bookmarkEnd w:id="65"/>
      <w:r>
        <w:t xml:space="preserve">Figure 5 (a, b):</w:t>
      </w:r>
    </w:p>
    <w:p>
      <w:r>
        <w:drawing>
          <wp:inline>
            <wp:extent cx="5440680" cy="2741845"/>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66"/>
                    <a:stretch>
                      <a:fillRect/>
                    </a:stretch>
                  </pic:blipFill>
                  <pic:spPr bwMode="auto">
                    <a:xfrm>
                      <a:off x="0" y="0"/>
                      <a:ext cx="5440680" cy="2741845"/>
                    </a:xfrm>
                    <a:prstGeom prst="rect">
                      <a:avLst/>
                    </a:prstGeom>
                    <a:noFill/>
                    <a:ln w="9525">
                      <a:noFill/>
                      <a:headEnd/>
                      <a:tailEnd/>
                    </a:ln>
                  </pic:spPr>
                </pic:pic>
              </a:graphicData>
            </a:graphic>
          </wp:inline>
        </w:drawing>
      </w:r>
    </w:p>
    <w:p>
      <w:r>
        <w:drawing>
          <wp:inline>
            <wp:extent cx="5440680" cy="1827896"/>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67"/>
                    <a:stretch>
                      <a:fillRect/>
                    </a:stretch>
                  </pic:blipFill>
                  <pic:spPr bwMode="auto">
                    <a:xfrm>
                      <a:off x="0" y="0"/>
                      <a:ext cx="5440680" cy="1827896"/>
                    </a:xfrm>
                    <a:prstGeom prst="rect">
                      <a:avLst/>
                    </a:prstGeom>
                    <a:noFill/>
                    <a:ln w="9525">
                      <a:noFill/>
                      <a:headEnd/>
                      <a:tailEnd/>
                    </a:ln>
                  </pic:spPr>
                </pic:pic>
              </a:graphicData>
            </a:graphic>
          </wp:inline>
        </w:drawing>
      </w:r>
    </w:p>
    <w:p>
      <w:pPr>
        <w:pStyle w:val="BlockQuote"/>
      </w:pPr>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e3f97a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dc2e98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9b2664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6" Target="media/rId66.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9" Target="media/rId59.png" /><Relationship Type="http://schemas.openxmlformats.org/officeDocument/2006/relationships/image" Id="rId39" Target="media/rId39.png" /><Relationship Type="http://schemas.openxmlformats.org/officeDocument/2006/relationships/image" Id="rId62" Target="media/rId62.png" /><Relationship Type="http://schemas.openxmlformats.org/officeDocument/2006/relationships/image" Id="rId61" Target="media/rId61.jpg" /><Relationship Type="http://schemas.openxmlformats.org/officeDocument/2006/relationships/image" Id="rId67" Target="media/rId67.png" /><Relationship Type="http://schemas.openxmlformats.org/officeDocument/2006/relationships/hyperlink" Id="rId44" Target="doi:10.1038/nature11397._" TargetMode="External" /><Relationship Type="http://schemas.openxmlformats.org/officeDocument/2006/relationships/hyperlink" Id="rId47" Target="doi:10.1038/nclimate2769._" TargetMode="External" /><Relationship Type="http://schemas.openxmlformats.org/officeDocument/2006/relationships/hyperlink" Id="rId45" Target="doi:10.1038/srep17539._" TargetMode="External" /><Relationship Type="http://schemas.openxmlformats.org/officeDocument/2006/relationships/hyperlink" Id="rId46" Target="doi:10.1371/journal.pone.0060284._" TargetMode="External" /><Relationship Type="http://schemas.openxmlformats.org/officeDocument/2006/relationships/hyperlink" Id="rId43" Target="http://www.iucnredlist.org" TargetMode="External" /><Relationship Type="http://schemas.openxmlformats.org/officeDocument/2006/relationships/hyperlink" Id="rId30" Target="https://github.com/OHI-Science/IUCN-AquaMaps" TargetMode="External" /><Relationship Type="http://schemas.openxmlformats.org/officeDocument/2006/relationships/hyperlink" Id="rId52" Target="link%20to%20github" TargetMode="External" /><Relationship Type="http://schemas.openxmlformats.org/officeDocument/2006/relationships/hyperlink" Id="rId21" Target="mailto:ohara@nceas.ucsb.edu" TargetMode="External" /></Relationships>
</file>

<file path=word/_rels/footnotes.xml.rels><?xml version="1.0" encoding="UTF-8"?>
<Relationships xmlns="http://schemas.openxmlformats.org/package/2006/relationships"><Relationship Type="http://schemas.openxmlformats.org/officeDocument/2006/relationships/hyperlink" Id="rId44" Target="doi:10.1038/nature11397._" TargetMode="External" /><Relationship Type="http://schemas.openxmlformats.org/officeDocument/2006/relationships/hyperlink" Id="rId47" Target="doi:10.1038/nclimate2769._" TargetMode="External" /><Relationship Type="http://schemas.openxmlformats.org/officeDocument/2006/relationships/hyperlink" Id="rId45" Target="doi:10.1038/srep17539._" TargetMode="External" /><Relationship Type="http://schemas.openxmlformats.org/officeDocument/2006/relationships/hyperlink" Id="rId46" Target="doi:10.1371/journal.pone.0060284._" TargetMode="External" /><Relationship Type="http://schemas.openxmlformats.org/officeDocument/2006/relationships/hyperlink" Id="rId43" Target="http://www.iucnredlist.org" TargetMode="External" /><Relationship Type="http://schemas.openxmlformats.org/officeDocument/2006/relationships/hyperlink" Id="rId30" Target="https://github.com/OHI-Science/IUCN-AquaMaps" TargetMode="External" /><Relationship Type="http://schemas.openxmlformats.org/officeDocument/2006/relationships/hyperlink" Id="rId52" Target="link%20to%20github" TargetMode="External" /><Relationship Type="http://schemas.openxmlformats.org/officeDocument/2006/relationships/hyperlink" Id="rId21" Target="mailto:ohara@nceas.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Afflerbach1, Benjamin S. Halpern1, 2, 3</dc:creator>
</cp:coreProperties>
</file>