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Link"/>
          </w:rPr>
          <w:t xml:space="preserve">ohara@nceas.ucsb.edu</w:t>
        </w:r>
      </w:hyperlink>
    </w:p>
    <w:p>
      <w:r>
        <w:rPr>
          <w:i/>
        </w:rPr>
        <w:t xml:space="preserve">Classification:</w:t>
      </w:r>
      <w:r>
        <w:t xml:space="preserve"> </w:t>
      </w:r>
      <w:r>
        <w:t xml:space="preserve">BIOLOGICAL SCIENCES: Sustainability Science</w:t>
      </w:r>
    </w:p>
    <w:p>
      <w:r>
        <w:rPr>
          <w:i/>
        </w:rPr>
        <w:t xml:space="preserve">Keywords:</w:t>
      </w:r>
      <w:r>
        <w:t xml:space="preserve"> </w:t>
      </w:r>
      <w:r>
        <w:t xml:space="preserve"> </w:t>
      </w:r>
      <w:r>
        <w:t xml:space="preserve">TBD: These should be words NOT in the title or abstract (BSH comment)</w:t>
      </w:r>
    </w:p>
    <w:p>
      <w:r>
        <w:pict>
          <v:rect style="width:0;height:1.5pt" o:hralign="center" o:hrstd="t" o:hr="t"/>
        </w:pict>
      </w:r>
    </w:p>
    <w:p>
      <w:pPr>
        <w:pStyle w:val="Heading2"/>
      </w:pPr>
      <w:bookmarkStart w:id="22" w:name="abstract"/>
      <w:bookmarkEnd w:id="22"/>
      <w:r>
        <w:t xml:space="preserve">Abstract</w:t>
      </w:r>
    </w:p>
    <w:p>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were used. Until a single, highly accurate dataset of global marine species ranges becomes available, understanding the implications of dataset differences for conservation planning and decision-making remains essential.</w:t>
      </w:r>
    </w:p>
    <w:p>
      <w:pPr>
        <w:pStyle w:val="Heading2"/>
      </w:pPr>
      <w:bookmarkStart w:id="23" w:name="significance"/>
      <w:bookmarkEnd w:id="23"/>
      <w:r>
        <w:t xml:space="preserve">Significance</w:t>
      </w:r>
    </w:p>
    <w:p>
      <w:r>
        <w:t xml:space="preserve">Successful conservation of marine species critically depends on detailed and accurate understanding of where species exist and where they do not. By systematically comparing two widely used global datasets of marine species range maps, we find substantial differences that highlight inconsistencies in our understanding and communication of species ranges. Knowing where and why these inconsistencies occur will substantially improve our ability to develop effective and efficient conservation strategies that support resilient ocean ecosystems.</w:t>
      </w:r>
    </w:p>
    <w:p>
      <w:r>
        <w:pict>
          <v:rect style="width:0;height:1.5pt" o:hralign="center" o:hrstd="t" o:hr="t"/>
        </w:pict>
      </w:r>
    </w:p>
    <w:p>
      <w:r>
        <w:t xml:space="preserve">\body</w:t>
      </w:r>
    </w:p>
    <w:p>
      <w:pPr>
        <w:pStyle w:val="Heading1"/>
      </w:pPr>
      <w:bookmarkStart w:id="24" w:name="introduction"/>
      <w:bookmarkEnd w:id="24"/>
      <w:r>
        <w:t xml:space="preserve">Introduction</w:t>
      </w:r>
    </w:p>
    <w:p>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r>
        <w:t xml:space="preserve">One major outcome of this body of science is the various compiled databases of species distribution maps. Two global-scale repositories predict marine species ranges throughout the world's oceans – AquaMaps (1) and International Union for Conservation of Nature (IUCN) (2). These two spatial datasets have been used in hundreds of studies and applications for a wide range of purposes, including assessing marine species status (3, 4, 5), evaluating global biodiversity patterns (6, 7, 8, 9), predicting range shifts (10), and setting conservation priorities (11).</w:t>
      </w:r>
    </w:p>
    <w:p>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from places or species that are most in need. Inaccurate indications of presence or absence could lead to ineffective marine reserve systems and management plans (12, 13).</w:t>
      </w:r>
    </w:p>
    <w:p>
      <w:r>
        <w:t xml:space="preserve">To understand the implications of differences between the AquaMaps and IUCN datasets, we compare how each data source represents the global spatial and taxonomic distribution of species. Most notably, AquaMaps includes range maps for many more species (currently 22,889 species; 92.9% of total), such that most global analyses related to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r>
        <w:t xml:space="preserve">We then reexamine two recent marine biodiversity studies - an assessment of the status of global biodiversity within the Ocean Health Index (3, 4) and a global analysis of gaps in protection afforded by marine protected areas (MPAs) (11) - as case studies to explore the implications of prioritizing one data set over the other. The results highlight possible consequences of different data use decisions on our understanding of marine biodiversity status and protection.</w:t>
      </w:r>
    </w:p>
    <w:p>
      <w:pPr>
        <w:pStyle w:val="Heading1"/>
      </w:pPr>
      <w:bookmarkStart w:id="25" w:name="results-and-discussion"/>
      <w:bookmarkEnd w:id="25"/>
      <w:r>
        <w:t xml:space="preserve">Results and Discussion</w:t>
      </w:r>
    </w:p>
    <w:p>
      <w:pPr>
        <w:pStyle w:val="Heading2"/>
      </w:pPr>
      <w:bookmarkStart w:id="26" w:name="how-and-why-the-datasets-differ"/>
      <w:bookmarkEnd w:id="26"/>
      <w:r>
        <w:t xml:space="preserve">How and why the datasets differ</w:t>
      </w:r>
    </w:p>
    <w:p>
      <w:r>
        <w:t xml:space="preserve">The IUCN publishes species range maps based on expert input of spatial boundaries of a given species' "limits of distribution" (2) -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raster of "probability of occurrence" for each species (14, 15). Studies frequently define "presence" for AquaMaps by applying a probability threshold, e.g., the Ocean Health Index defines presence as 40% or greater probability of occurrence (3, 4).</w:t>
      </w:r>
    </w:p>
    <w:p>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 (12). By comparing maps resulting from IUCN and AquaMaps methodolog, we can identify and possibly address mechanistic causes for each type of error.</w:t>
      </w:r>
    </w:p>
    <w:p>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bias in the IUCN dataset away from the Atlantic and eastern Pacific compared to AquaMaps. To achieve more comprehensive global coverage of species ranges these two datasets can be used together, but the underlying methodological differences complicate such direct comparisons.</w:t>
      </w:r>
    </w:p>
    <w:p>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supplemental materials (Fig. S1).</w:t>
      </w:r>
    </w:p>
    <w:p>
      <w:r>
        <w:t xml:space="preserve">The upper right quadrant includes species (n = 527) whose described ranges are above average in both spatial distribution and extent.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 We expected to see significant concurrence between maps for IUCN Red List species of concern, assuming that increased attention would lead to improved understanding of species ranges; however, we found no compelling patterns to indicate that this was the case (Fig. S2).</w:t>
      </w:r>
    </w:p>
    <w:p>
      <w:r>
        <w:t xml:space="preserve">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is explicitly included in AquaMaps models, while depth is frequently overlooked as a factor in IUCN range maps. Simply clipping IUCN range maps to known depth preferences would resolve many of these mismatches.</w:t>
      </w:r>
    </w:p>
    <w:p>
      <w:r>
        <w:t xml:space="preserve">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meaningless when the distributions are poorly aligned.</w:t>
      </w:r>
    </w:p>
    <w:p>
      <w:r>
        <w:t xml:space="preserve">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 (16) and the Global Biodiversity Information Facility (GBIF) (17))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1"/>
      </w:pPr>
      <w:bookmarkStart w:id="27" w:name="implications"/>
      <w:bookmarkEnd w:id="27"/>
      <w:r>
        <w:t xml:space="preserve">Implications</w:t>
      </w:r>
    </w:p>
    <w:p>
      <w:r>
        <w:t xml:space="preserve">Method-driven differences in commission and omission errors drive clear and significant differences in species range descriptions between AquaMaps and IUCN datasets. To examine the implications of these differences, we repeated two recent studies, varying only the prioritization of one data set over the other.</w:t>
      </w:r>
    </w:p>
    <w:p>
      <w:r>
        <w:rPr>
          <w:b/>
        </w:rPr>
        <w:t xml:space="preserve">Case Study: The Ocean Health Index</w:t>
      </w:r>
    </w:p>
    <w:p>
      <w:r>
        <w:t xml:space="preserve">The global Ocean Health Index (OHI) (3, 4),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distributions from Red List-assessed species in both IUCN and AquaMaps datasets (n = 7,963), prioritizing IUCN data for the 2,026 species included in both sources. OHI currently uses a probability of occurrence threshold of 40% to determine species presence for AquaMaps data.</w:t>
      </w:r>
    </w:p>
    <w:p>
      <w:r>
        <w:t xml:space="preserve">We calculated the OHI species status score under several scenarios to observe the impact of toggling the prioritized data set from IUCN to AquaMaps, and toggling the AquaMaps presence threshold from 40% to 0% (</w:t>
      </w:r>
      <w:r>
        <w:t xml:space="preserve">Fig. 3</w:t>
      </w:r>
      <w: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r>
        <w:t xml:space="preserve">Given that only 25.4% of species overlap,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very different assessment of species conservation status.</w:t>
      </w:r>
    </w:p>
    <w:p>
      <w:r>
        <w:rPr>
          <w:b/>
        </w:rPr>
        <w:t xml:space="preserve">Case Study: MPA Gap Analysis</w:t>
      </w:r>
    </w:p>
    <w:p>
      <w:r>
        <w:t xml:space="preserve">Klein et al. (11) compare the global distribution of species to the global distribution of marine protected areas to assess how well the MPAs protect species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r>
        <w:t xml:space="preserve">We recalculated the amount of under-protected and gap species using either IUCN or AquaMaps data (using 2015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28" w:name="conclusions"/>
      <w:bookmarkEnd w:id="28"/>
      <w:r>
        <w:t xml:space="preserve">Conclusions</w:t>
      </w:r>
    </w:p>
    <w:p>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to marine species. Identifying and addressing differences in these datasets will increase their utility for research and conservation actions. Several likely drivers of commission and omission errors between these datasets point to a few important ways to improve range alignment.</w:t>
      </w:r>
    </w:p>
    <w:p>
      <w:r>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AquaMaps range data, dependent primarily on environmental and physical preferences and conditions, implementing area restrictions based on biogeographical criteria such as Marine Ecoregions of the World (18) 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29" w:name="methods"/>
      <w:bookmarkEnd w:id="29"/>
      <w:r>
        <w:t xml:space="preserve">Methods</w:t>
      </w:r>
    </w:p>
    <w:p>
      <w:r>
        <w:rPr>
          <w:b/>
        </w:rPr>
        <w:t xml:space="preserve">Comparison of taxonomic and regional distribution</w:t>
      </w:r>
      <w:r>
        <w:t xml:space="preserve">: To examine the overall taxonomic distribution across the spatial datasets (Fig. 1A), we grouped species by taxonomic class and data source (IUCN, AquaMaps, or both), and examined the proportion of each class represented in each data source category.</w:t>
      </w:r>
    </w:p>
    <w:p>
      <w:r>
        <w:t xml:space="preserve">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r>
        <w:rPr>
          <w:b/>
        </w:rPr>
        <w:t xml:space="preserve">Comparison of paired maps</w:t>
      </w:r>
      <w:r>
        <w:t xml:space="preserve">: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as outlined above.</w:t>
      </w:r>
    </w:p>
    <w:p>
      <w:r>
        <w:t xml:space="preserve">Overlaying paired distribution maps for a given species, we defined and calculated</w:t>
      </w:r>
      <w:r>
        <w:t xml:space="preserve"> </w:t>
      </w:r>
      <w:r>
        <w:rPr>
          <w:i/>
        </w:rPr>
        <w:t xml:space="preserve">distribution alignment</w:t>
      </w:r>
      <w:r>
        <w:t xml:space="preserve"> </w:t>
      </w:r>
      <w:r>
        <w:t xml:space="preserve">and</w:t>
      </w:r>
      <w:r>
        <w:t xml:space="preserve"> </w:t>
      </w:r>
      <w:r>
        <w:rPr>
          <w:i/>
        </w:rPr>
        <w:t xml:space="preserve">area ratio</w:t>
      </w:r>
      <w:r>
        <w:t xml:space="preserve"> </w:t>
      </w:r>
      <w:r>
        <w:t xml:space="preserve">and plotted these in Fig. 2A:</w:t>
      </w:r>
    </w:p>
    <w:p>
      <m:oMathPara>
        <m:oMathParaPr>
          <m:jc m:val="center"/>
        </m:oMathParaPr>
        <m:oMath>
          <m:sSub>
            <m:e>
              <m:r>
                <m:rPr>
                  <m:sty m:val="p"/>
                </m:rPr>
                <m:t>α</m:t>
              </m:r>
            </m:e>
            <m:sub>
              <m:r>
                <m:rPr>
                  <m:sty m:val="p"/>
                </m:rPr>
                <m:t>d</m:t>
              </m:r>
              <m:r>
                <m:rPr>
                  <m:sty m:val="p"/>
                </m:rPr>
                <m:t>i</m:t>
              </m:r>
              <m:r>
                <m:rPr>
                  <m:sty m:val="p"/>
                </m:rPr>
                <m:t>s</m:t>
              </m:r>
              <m:r>
                <m:rPr>
                  <m:sty m:val="p"/>
                </m:rPr>
                <m:t>t</m:t>
              </m:r>
            </m:sub>
          </m:sSub>
          <m:r>
            <m:rPr>
              <m:sty m:val="p"/>
            </m:rPr>
            <m:t>=</m:t>
          </m:r>
          <m:f>
            <m:fPr>
              <m:type m:val="bar"/>
            </m:fPr>
            <m:num>
              <m:sSub>
                <m:e>
                  <m:r>
                    <m:rPr>
                      <m:sty m:val="p"/>
                    </m:rPr>
                    <m:t>A</m:t>
                  </m:r>
                </m:e>
                <m:sub>
                  <m:r>
                    <m:rPr>
                      <m:sty m:val="p"/>
                    </m:rPr>
                    <m:t>s</m:t>
                  </m:r>
                  <m:r>
                    <m:rPr>
                      <m:sty m:val="p"/>
                    </m:rPr>
                    <m:t>m</m:t>
                  </m:r>
                  <m:r>
                    <m:rPr>
                      <m:sty m:val="p"/>
                    </m:rPr>
                    <m:t>a</m:t>
                  </m:r>
                  <m:r>
                    <m:rPr>
                      <m:sty m:val="p"/>
                    </m:rPr>
                    <m:t>l</m:t>
                  </m:r>
                  <m:r>
                    <m:rPr>
                      <m:sty m:val="p"/>
                    </m:rPr>
                    <m:t>l</m:t>
                  </m:r>
                  <m:r>
                    <m:rPr>
                      <m:sty m:val="p"/>
                    </m:rPr>
                    <m:t>∩</m:t>
                  </m:r>
                  <m:r>
                    <m:rPr>
                      <m:sty m:val="p"/>
                    </m:rPr>
                    <m:t>l</m:t>
                  </m:r>
                  <m:r>
                    <m:rPr>
                      <m:sty m:val="p"/>
                    </m:rPr>
                    <m:t>a</m:t>
                  </m:r>
                  <m:r>
                    <m:rPr>
                      <m:sty m:val="p"/>
                    </m:rPr>
                    <m:t>r</m:t>
                  </m:r>
                  <m:r>
                    <m:rPr>
                      <m:sty m:val="p"/>
                    </m:rPr>
                    <m:t>g</m:t>
                  </m:r>
                  <m:r>
                    <m:rPr>
                      <m:sty m:val="p"/>
                    </m:rPr>
                    <m:t>e</m:t>
                  </m:r>
                </m:sub>
              </m:sSub>
            </m:num>
            <m:den>
              <m:sSub>
                <m:e>
                  <m:r>
                    <m:rPr>
                      <m:sty m:val="p"/>
                    </m:rPr>
                    <m:t>A</m:t>
                  </m:r>
                </m:e>
                <m:sub>
                  <m:r>
                    <m:rPr>
                      <m:sty m:val="p"/>
                    </m:rPr>
                    <m:t>l</m:t>
                  </m:r>
                  <m:r>
                    <m:rPr>
                      <m:sty m:val="p"/>
                    </m:rPr>
                    <m:t>a</m:t>
                  </m:r>
                  <m:r>
                    <m:rPr>
                      <m:sty m:val="p"/>
                    </m:rPr>
                    <m:t>r</m:t>
                  </m:r>
                  <m:r>
                    <m:rPr>
                      <m:sty m:val="p"/>
                    </m:rPr>
                    <m:t>g</m:t>
                  </m:r>
                  <m:r>
                    <m:rPr>
                      <m:sty m:val="p"/>
                    </m:rPr>
                    <m:t>e</m:t>
                  </m:r>
                </m:sub>
              </m:sSub>
            </m:den>
          </m:f>
          <m:r>
            <m:rPr>
              <m:sty m:val="p"/>
            </m:rPr>
            <m:t>*</m:t>
          </m:r>
          <m:r>
            <m:rPr>
              <m:sty m:val="p"/>
            </m:rPr>
            <m:t>100</m:t>
          </m:r>
          <m:r>
            <m:rPr>
              <m:sty m:val="p"/>
            </m:rPr>
            <m:t>%</m:t>
          </m:r>
        </m:oMath>
      </m:oMathPara>
    </w:p>
    <w:p>
      <m:oMathPara>
        <m:oMathParaPr>
          <m:jc m:val="center"/>
        </m:oMathParaPr>
        <m:oMath>
          <m:sSub>
            <m:e>
              <m:r>
                <m:rPr>
                  <m:sty m:val="p"/>
                </m:rPr>
                <m:t>α</m:t>
              </m:r>
            </m:e>
            <m:sub>
              <m:r>
                <m:rPr>
                  <m:sty m:val="p"/>
                </m:rPr>
                <m:t>a</m:t>
              </m:r>
              <m:r>
                <m:rPr>
                  <m:sty m:val="p"/>
                </m:rPr>
                <m:t>r</m:t>
              </m:r>
              <m:r>
                <m:rPr>
                  <m:sty m:val="p"/>
                </m:rPr>
                <m:t>e</m:t>
              </m:r>
              <m:r>
                <m:rPr>
                  <m:sty m:val="p"/>
                </m:rPr>
                <m:t>a</m:t>
              </m:r>
            </m:sub>
          </m:sSub>
          <m:r>
            <m:rPr>
              <m:sty m:val="p"/>
            </m:rPr>
            <m:t>=</m:t>
          </m:r>
          <m:f>
            <m:fPr>
              <m:type m:val="bar"/>
            </m:fPr>
            <m:num>
              <m:sSub>
                <m:e>
                  <m:r>
                    <m:rPr>
                      <m:sty m:val="p"/>
                    </m:rPr>
                    <m:t>A</m:t>
                  </m:r>
                </m:e>
                <m:sub>
                  <m:r>
                    <m:rPr>
                      <m:sty m:val="p"/>
                    </m:rPr>
                    <m:t>s</m:t>
                  </m:r>
                  <m:r>
                    <m:rPr>
                      <m:sty m:val="p"/>
                    </m:rPr>
                    <m:t>m</m:t>
                  </m:r>
                  <m:r>
                    <m:rPr>
                      <m:sty m:val="p"/>
                    </m:rPr>
                    <m:t>a</m:t>
                  </m:r>
                  <m:r>
                    <m:rPr>
                      <m:sty m:val="p"/>
                    </m:rPr>
                    <m:t>l</m:t>
                  </m:r>
                  <m:r>
                    <m:rPr>
                      <m:sty m:val="p"/>
                    </m:rPr>
                    <m:t>l</m:t>
                  </m:r>
                </m:sub>
              </m:sSub>
            </m:num>
            <m:den>
              <m:sSub>
                <m:e>
                  <m:r>
                    <m:rPr>
                      <m:sty m:val="p"/>
                    </m:rPr>
                    <m:t>A</m:t>
                  </m:r>
                </m:e>
                <m:sub>
                  <m:r>
                    <m:rPr>
                      <m:sty m:val="p"/>
                    </m:rPr>
                    <m:t>l</m:t>
                  </m:r>
                  <m:r>
                    <m:rPr>
                      <m:sty m:val="p"/>
                    </m:rPr>
                    <m:t>a</m:t>
                  </m:r>
                  <m:r>
                    <m:rPr>
                      <m:sty m:val="p"/>
                    </m:rPr>
                    <m:t>r</m:t>
                  </m:r>
                  <m:r>
                    <m:rPr>
                      <m:sty m:val="p"/>
                    </m:rPr>
                    <m:t>g</m:t>
                  </m:r>
                  <m:r>
                    <m:rPr>
                      <m:sty m:val="p"/>
                    </m:rPr>
                    <m:t>e</m:t>
                  </m:r>
                </m:sub>
              </m:sSub>
            </m:den>
          </m:f>
          <m:r>
            <m:rPr>
              <m:sty m:val="p"/>
            </m:rPr>
            <m:t>*</m:t>
          </m:r>
          <m:r>
            <m:rPr>
              <m:sty m:val="p"/>
            </m:rPr>
            <m:t>100</m:t>
          </m:r>
          <m:r>
            <m:rPr>
              <m:sty m:val="p"/>
            </m:rPr>
            <m:t>%</m:t>
          </m:r>
        </m:oMath>
      </m:oMathPara>
    </w:p>
    <w:p>
      <w:r>
        <w:t xml:space="preserve">For each species with ranges described in both IUCN and AquaMaps,</w:t>
      </w:r>
      <w:r>
        <w:t xml:space="preserve"> </w:t>
      </w:r>
      <m:oMath>
        <m:sSub>
          <m:e>
            <m:r>
              <m:rPr>
                <m:sty m:val="p"/>
              </m:rPr>
              <m:t>A</m:t>
            </m:r>
          </m:e>
          <m:sub>
            <m:r>
              <m:rPr>
                <m:sty m:val="p"/>
              </m:rPr>
              <m:t>s</m:t>
            </m:r>
            <m:r>
              <m:rPr>
                <m:sty m:val="p"/>
              </m:rPr>
              <m:t>m</m:t>
            </m:r>
            <m:r>
              <m:rPr>
                <m:sty m:val="p"/>
              </m:rPr>
              <m:t>a</m:t>
            </m:r>
            <m:r>
              <m:rPr>
                <m:sty m:val="p"/>
              </m:rPr>
              <m:t>l</m:t>
            </m:r>
            <m:r>
              <m:rPr>
                <m:sty m:val="p"/>
              </m:rPr>
              <m:t>l</m:t>
            </m:r>
          </m:sub>
        </m:sSub>
      </m:oMath>
      <w:r>
        <w:t xml:space="preserve"> </w:t>
      </w:r>
      <w:r>
        <w:t xml:space="preserve">and</w:t>
      </w:r>
      <w:r>
        <w:t xml:space="preserve"> </w:t>
      </w:r>
      <m:oMath>
        <m:sSub>
          <m:e>
            <m:r>
              <m:rPr>
                <m:sty m:val="p"/>
              </m:rPr>
              <m:t>A</m:t>
            </m:r>
          </m:e>
          <m:sub>
            <m:r>
              <m:rPr>
                <m:sty m:val="p"/>
              </m:rPr>
              <m:t>l</m:t>
            </m:r>
            <m:r>
              <m:rPr>
                <m:sty m:val="p"/>
              </m:rPr>
              <m:t>a</m:t>
            </m:r>
            <m:r>
              <m:rPr>
                <m:sty m:val="p"/>
              </m:rPr>
              <m:t>r</m:t>
            </m:r>
            <m:r>
              <m:rPr>
                <m:sty m:val="p"/>
              </m:rPr>
              <m:t>g</m:t>
            </m:r>
            <m:r>
              <m:rPr>
                <m:sty m:val="p"/>
              </m:rPr>
              <m:t>e</m:t>
            </m:r>
          </m:sub>
        </m:sSub>
      </m:oMath>
      <w:r>
        <w:t xml:space="preserve"> </w:t>
      </w:r>
      <w:r>
        <w:t xml:space="preserve">indicate the smaller and larger range representation (regardless of which dataset).</w:t>
      </w:r>
      <w:r>
        <w:t xml:space="preserve"> </w:t>
      </w:r>
      <m:oMath>
        <m:sSub>
          <m:e>
            <m:r>
              <m:rPr>
                <m:sty m:val="p"/>
              </m:rPr>
              <m:t>A</m:t>
            </m:r>
          </m:e>
          <m:sub>
            <m:r>
              <m:rPr>
                <m:sty m:val="p"/>
              </m:rPr>
              <m:t>s</m:t>
            </m:r>
            <m:r>
              <m:rPr>
                <m:sty m:val="p"/>
              </m:rPr>
              <m:t>m</m:t>
            </m:r>
            <m:r>
              <m:rPr>
                <m:sty m:val="p"/>
              </m:rPr>
              <m:t>a</m:t>
            </m:r>
            <m:r>
              <m:rPr>
                <m:sty m:val="p"/>
              </m:rPr>
              <m:t>l</m:t>
            </m:r>
            <m:r>
              <m:rPr>
                <m:sty m:val="p"/>
              </m:rPr>
              <m:t>l</m:t>
            </m:r>
            <m:r>
              <m:rPr>
                <m:sty m:val="p"/>
              </m:rPr>
              <m:t>∩</m:t>
            </m:r>
            <m:r>
              <m:rPr>
                <m:sty m:val="p"/>
              </m:rPr>
              <m:t>l</m:t>
            </m:r>
            <m:r>
              <m:rPr>
                <m:sty m:val="p"/>
              </m:rPr>
              <m:t>a</m:t>
            </m:r>
            <m:r>
              <m:rPr>
                <m:sty m:val="p"/>
              </m:rPr>
              <m:t>r</m:t>
            </m:r>
            <m:r>
              <m:rPr>
                <m:sty m:val="p"/>
              </m:rPr>
              <m:t>g</m:t>
            </m:r>
            <m:r>
              <m:rPr>
                <m:sty m:val="p"/>
              </m:rPr>
              <m:t>e</m:t>
            </m:r>
          </m:sub>
        </m:sSub>
      </m:oMath>
      <w:r>
        <w:t xml:space="preserve"> </w:t>
      </w:r>
      <w:r>
        <w:t xml:space="preserve">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 (19) to overlay a selection of IUCN and AquaMaps maps with a 200 meter bathymetry contour.</w:t>
      </w:r>
    </w:p>
    <w:p>
      <w:r>
        <w:rPr>
          <w:b/>
        </w:rPr>
        <w:t xml:space="preserve">Methods for OHI case study:</w:t>
      </w:r>
      <w:r>
        <w:rPr>
          <w:b/>
        </w:rPr>
        <w:t xml:space="preserve"> </w:t>
      </w:r>
      <w:r>
        <w:t xml:space="preserve"> </w:t>
      </w:r>
      <w:r>
        <w:t xml:space="preserve">Using methods and supplemental materials from OHI (3, 4), we modified the original code for OHI 2015 Species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r>
        <w:rPr>
          <w:b/>
        </w:rPr>
        <w:t xml:space="preserve">Methods for MPA Gap Analysis case study:</w:t>
      </w:r>
      <w:r>
        <w:t xml:space="preserve"> </w:t>
      </w:r>
      <w:r>
        <w:t xml:space="preserve">Based upon the methods described in Klein et al. (11), we reconstructed the analysis using the subset of protected areas from the World Database on Protected Areas (WDPA) (20) 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r>
        <w:t xml:space="preserve">All processing was completed using R statistical software (21), and all code and intermediate data are available on GitHub at</w:t>
      </w:r>
      <w:r>
        <w:t xml:space="preserve"> </w:t>
      </w:r>
      <w:hyperlink r:id="rId30">
        <w:r>
          <w:rPr>
            <w:rStyle w:val="Link"/>
          </w:rPr>
          <w:t xml:space="preserve">https://github.com/OHI-Science/IUCN-AquaMaps</w:t>
        </w:r>
      </w:hyperlink>
      <w:r>
        <w:t xml:space="preserve">.</w:t>
      </w:r>
    </w:p>
    <w:p>
      <w:r>
        <w:pict>
          <v:rect style="width:0;height:1.5pt" o:hralign="center" o:hrstd="t" o:hr="t"/>
        </w:pict>
      </w:r>
    </w:p>
    <w:p>
      <w:pPr>
        <w:pStyle w:val="Heading1"/>
      </w:pPr>
      <w:bookmarkStart w:id="31" w:name="acknowledgments"/>
      <w:bookmarkEnd w:id="31"/>
      <w:r>
        <w:t xml:space="preserve">Acknowledgments</w:t>
      </w:r>
    </w:p>
    <w:p>
      <w:r>
        <w:pict>
          <v:rect style="width:0;height:1.5pt" o:hralign="center" o:hrstd="t" o:hr="t"/>
        </w:pict>
      </w:r>
    </w:p>
    <w:p>
      <w:pPr>
        <w:pStyle w:val="Heading1"/>
      </w:pPr>
      <w:bookmarkStart w:id="32" w:name="references"/>
      <w:bookmarkEnd w:id="32"/>
      <w:r>
        <w:t xml:space="preserve">References</w:t>
      </w:r>
    </w:p>
    <w:p>
      <w:pPr>
        <w:numPr>
          <w:numId w:val="1002"/>
          <w:ilvl w:val="0"/>
        </w:numPr>
      </w:pPr>
      <w:r>
        <w:t xml:space="preserve">Kaschner K et al. (2015) AquaMaps: Predicted range maps for aquatic species. World wide web electronic publication, www.aquamaps.org, Version 08/2015.</w:t>
      </w:r>
      <w:r>
        <w:t xml:space="preserve"> </w:t>
      </w:r>
    </w:p>
    <w:p>
      <w:pPr>
        <w:numPr>
          <w:numId w:val="1002"/>
          <w:ilvl w:val="0"/>
        </w:numPr>
      </w:pPr>
      <w:r>
        <w:t xml:space="preserve">IUCN (2015). The IUCN Red List of Threatened Species. Version 2015-4.</w:t>
      </w:r>
      <w:r>
        <w:t xml:space="preserve"> </w:t>
      </w:r>
      <w:hyperlink r:id="rId33">
        <w:r>
          <w:rPr>
            <w:rStyle w:val="Link"/>
          </w:rPr>
          <w:t xml:space="preserve">http://www.iucnredlist.org</w:t>
        </w:r>
      </w:hyperlink>
      <w:r>
        <w:t xml:space="preserve">. Downloaded on 21 December 2015.</w:t>
      </w:r>
      <w:r>
        <w:t xml:space="preserve"> </w:t>
      </w:r>
    </w:p>
    <w:p>
      <w:pPr>
        <w:numPr>
          <w:numId w:val="1002"/>
          <w:ilvl w:val="0"/>
        </w:numPr>
      </w:pPr>
      <w:r>
        <w:t xml:space="preserve">Halpern BS et al. (2012). An index to assess the health and benefits of the global ocean. Nature, 488(7413), 615-620.</w:t>
      </w:r>
      <w:r>
        <w:t xml:space="preserve"> </w:t>
      </w:r>
    </w:p>
    <w:p>
      <w:pPr>
        <w:numPr>
          <w:numId w:val="1002"/>
          <w:ilvl w:val="0"/>
        </w:numPr>
      </w:pPr>
      <w:r>
        <w:t xml:space="preserve">Halpern BS et al. (2015). Patterns and emerging trends in global ocean health. PloS one, 10(3), e0117863.</w:t>
      </w:r>
      <w:r>
        <w:t xml:space="preserve"> </w:t>
      </w:r>
    </w:p>
    <w:p>
      <w:pPr>
        <w:numPr>
          <w:numId w:val="1002"/>
          <w:ilvl w:val="0"/>
        </w:numPr>
      </w:pPr>
      <w:r>
        <w:t xml:space="preserve">Selig ER et al. (2013). Assessing global marine biodiversity status within a coupled socio-ecological perspective. PloS one, 8(4), e60284.</w:t>
      </w:r>
      <w:r>
        <w:t xml:space="preserve"> </w:t>
      </w:r>
    </w:p>
    <w:p>
      <w:pPr>
        <w:numPr>
          <w:numId w:val="1002"/>
          <w:ilvl w:val="0"/>
        </w:numPr>
      </w:pPr>
      <w:r>
        <w:t xml:space="preserve">Coll M et al. (2010). The biodiversity of the Mediterranean Sea: estimates, patterns, and threats. PLoS ONE 5(8): e11842.</w:t>
      </w:r>
      <w:r>
        <w:t xml:space="preserve"> </w:t>
      </w:r>
    </w:p>
    <w:p>
      <w:pPr>
        <w:numPr>
          <w:numId w:val="1002"/>
          <w:ilvl w:val="0"/>
        </w:numPr>
      </w:pPr>
      <w:r>
        <w:t xml:space="preserve">Martin CS et al. (2014). Manual of marine and coastal datasets of biodiversity importance. May 2014 release. Cambridge (UK): UNEP World Conservation Monitoring Centre. 28 pp.</w:t>
      </w:r>
      <w:r>
        <w:t xml:space="preserve"> </w:t>
      </w:r>
    </w:p>
    <w:p>
      <w:pPr>
        <w:numPr>
          <w:numId w:val="1002"/>
          <w:ilvl w:val="0"/>
        </w:numPr>
      </w:pPr>
      <w:r>
        <w:t xml:space="preserve">Pimm SL et al. (2014). The biodiversity of species and their rates of extinction, distribution, and protection. Science, 344(6187), 1246752.</w:t>
      </w:r>
      <w:r>
        <w:t xml:space="preserve"> </w:t>
      </w:r>
    </w:p>
    <w:p>
      <w:pPr>
        <w:numPr>
          <w:numId w:val="1002"/>
          <w:ilvl w:val="0"/>
        </w:numPr>
      </w:pPr>
      <w:r>
        <w:t xml:space="preserve">Kaschner K, Tittensor DP, Ready J, Gerrodette T, Worm B (2011). Current and Future Patterns of Global Marine Mammal Biodiversity. PLoS ONE 6(5): e19653.</w:t>
      </w:r>
      <w:r>
        <w:t xml:space="preserve"> </w:t>
      </w:r>
    </w:p>
    <w:p>
      <w:pPr>
        <w:numPr>
          <w:numId w:val="1002"/>
          <w:ilvl w:val="0"/>
        </w:numPr>
      </w:pPr>
      <w:r>
        <w:t xml:space="preserve">Molinos JG et al. (2015). Climate velocity and the future global redistribution of marine biodiversity. Nature Climate Change.</w:t>
      </w:r>
      <w:r>
        <w:t xml:space="preserve"> </w:t>
      </w:r>
    </w:p>
    <w:p>
      <w:pPr>
        <w:numPr>
          <w:numId w:val="1002"/>
          <w:ilvl w:val="0"/>
        </w:numPr>
      </w:pPr>
      <w:r>
        <w:t xml:space="preserve">Klein CJ et al. (2015). Shortfalls in the global protected area network at representing marine biodiversity. Scientific Reports 5: 17539.</w:t>
      </w:r>
      <w:r>
        <w:t xml:space="preserve"> </w:t>
      </w:r>
    </w:p>
    <w:p>
      <w:pPr>
        <w:numPr>
          <w:numId w:val="1002"/>
          <w:ilvl w:val="0"/>
        </w:numPr>
      </w:pPr>
      <w:r>
        <w:t xml:space="preserve">Rondinini C, Wilson KA, Boitani L, Grantham H, &amp; Possingham HP (2006). Tradeoffs of different types of species occurrence data for use in systematic conservation planning. Ecology letters, 9(10), 1136-1145.</w:t>
      </w:r>
      <w:r>
        <w:t xml:space="preserve"> </w:t>
      </w:r>
    </w:p>
    <w:p>
      <w:pPr>
        <w:numPr>
          <w:numId w:val="1002"/>
          <w:ilvl w:val="0"/>
        </w:numPr>
      </w:pPr>
      <w:r>
        <w:t xml:space="preserve">Jetz W, Sekercioglu CH, and Watson JE (2008). Ecological correlates and conservation implications of overestimating species geographic ranges. Conservation Biology, 22(1), 110-119.</w:t>
      </w:r>
      <w:r>
        <w:t xml:space="preserve"> </w:t>
      </w:r>
    </w:p>
    <w:p>
      <w:pPr>
        <w:numPr>
          <w:numId w:val="1002"/>
          <w:ilvl w:val="0"/>
        </w:numPr>
      </w:pPr>
      <w:r>
        <w:t xml:space="preserve">Kaschner K, Watson R, Trites AW, Pauly D (2006). Mapping world-wide distributions of marine mammal species using a relative environmental suitability (RES) model. Marine Ecology Progress Series 316: 285–310.</w:t>
      </w:r>
      <w:r>
        <w:t xml:space="preserve"> </w:t>
      </w:r>
    </w:p>
    <w:p>
      <w:pPr>
        <w:numPr>
          <w:numId w:val="1002"/>
          <w:ilvl w:val="0"/>
        </w:numPr>
      </w:pPr>
      <w:r>
        <w:t xml:space="preserve">Ready J et al. (2010). Predicting the distributions of marine organisms at the global scale. Ecological Modelling 221(3): 467-478.</w:t>
      </w:r>
      <w:r>
        <w:t xml:space="preserve"> </w:t>
      </w:r>
    </w:p>
    <w:p>
      <w:pPr>
        <w:numPr>
          <w:numId w:val="1002"/>
          <w:ilvl w:val="0"/>
        </w:numPr>
      </w:pPr>
      <w:r>
        <w:t xml:space="preserve">OBIS (2016). Data from the Ocean Biogeographic Information System. Intergovernmental Oceanographic Commission of UNESCO. Web.</w:t>
      </w:r>
      <w:r>
        <w:t xml:space="preserve"> </w:t>
      </w:r>
      <w:hyperlink r:id="rId34">
        <w:r>
          <w:rPr>
            <w:rStyle w:val="Link"/>
          </w:rPr>
          <w:t xml:space="preserve">http://www.iobis.org</w:t>
        </w:r>
      </w:hyperlink>
      <w:r>
        <w:t xml:space="preserve"> </w:t>
      </w:r>
      <w:r>
        <w:t xml:space="preserve">(consulted on 2016/02/29).</w:t>
      </w:r>
    </w:p>
    <w:p>
      <w:pPr>
        <w:numPr>
          <w:numId w:val="1002"/>
          <w:ilvl w:val="0"/>
        </w:numPr>
      </w:pPr>
      <w:r>
        <w:t xml:space="preserve">GBIF (2010). GBIF Memorandum of Understanding. Copenhagen: Global Biodiversity Information Facility, 20 pp. Accessible online at</w:t>
      </w:r>
      <w:r>
        <w:t xml:space="preserve"> </w:t>
      </w:r>
      <w:hyperlink r:id="rId35">
        <w:r>
          <w:rPr>
            <w:rStyle w:val="Link"/>
          </w:rPr>
          <w:t xml:space="preserve">http://www.gbif.org/resource/80661</w:t>
        </w:r>
      </w:hyperlink>
      <w:r>
        <w:t xml:space="preserve">.</w:t>
      </w:r>
    </w:p>
    <w:p>
      <w:pPr>
        <w:numPr>
          <w:numId w:val="1002"/>
          <w:ilvl w:val="0"/>
        </w:numPr>
      </w:pPr>
      <w:r>
        <w:t xml:space="preserve">Spalding MD et al. (2007). Marine ecoregions of the world: a bioregionalization of coastal and shelf areas. BioScience, 57(7), 573-583.</w:t>
      </w:r>
    </w:p>
    <w:p>
      <w:pPr>
        <w:numPr>
          <w:numId w:val="1002"/>
          <w:ilvl w:val="0"/>
        </w:numPr>
      </w:pPr>
      <w:r>
        <w:t xml:space="preserve">QGIS Development Team (2015). QGIS Geographic Information System. Open Source Geospatial Foundation Project.</w:t>
      </w:r>
      <w:r>
        <w:t xml:space="preserve"> </w:t>
      </w:r>
      <w:hyperlink r:id="rId36">
        <w:r>
          <w:rPr>
            <w:rStyle w:val="Link"/>
          </w:rPr>
          <w:t xml:space="preserve">http://qgis.osgeo.org</w:t>
        </w:r>
      </w:hyperlink>
    </w:p>
    <w:p>
      <w:pPr>
        <w:numPr>
          <w:numId w:val="1002"/>
          <w:ilvl w:val="0"/>
        </w:numPr>
      </w:pPr>
      <w:r>
        <w:t xml:space="preserve">IUCN and UNEP-WCMC (2014). The World Database on Protected Areas (WDPA) [On-line]. Cambridge, UK: UNEP- WCMC. Available at: www.protectedplanet.net [Accessed December 1, 2014].</w:t>
      </w:r>
    </w:p>
    <w:p>
      <w:pPr>
        <w:numPr>
          <w:numId w:val="1002"/>
          <w:ilvl w:val="0"/>
        </w:numPr>
      </w:pPr>
      <w:r>
        <w:t xml:space="preserve">R Core Team (2015). R: A language and environment for statistical computing. R Foundation for Statistical Computing, Vienna, Austria. URL</w:t>
      </w:r>
      <w:r>
        <w:t xml:space="preserve"> </w:t>
      </w:r>
      <w:hyperlink r:id="rId37">
        <w:r>
          <w:rPr>
            <w:rStyle w:val="Link"/>
          </w:rPr>
          <w:t xml:space="preserve">https://www.R-project.org/</w:t>
        </w:r>
      </w:hyperlink>
      <w:r>
        <w:t xml:space="preserve">.</w:t>
      </w:r>
    </w:p>
    <w:p>
      <w:r>
        <w:pict>
          <v:rect style="width:0;height:1.5pt" o:hralign="center" o:hrstd="t" o:hr="t"/>
        </w:pict>
      </w:r>
    </w:p>
    <w:p>
      <w:pPr>
        <w:pStyle w:val="Heading1"/>
      </w:pPr>
      <w:bookmarkStart w:id="38" w:name="figure-legends"/>
      <w:bookmarkEnd w:id="38"/>
      <w:r>
        <w:t xml:space="preserve">Figure Legends</w:t>
      </w:r>
    </w:p>
    <w:p>
      <w:r>
        <w:rPr>
          <w:b/>
        </w:rPr>
        <w:t xml:space="preserve">Fig. 1.</w:t>
      </w:r>
      <w:r>
        <w:t xml:space="preserve"> </w:t>
      </w:r>
      <w:r>
        <w:t xml:space="preserve">(A) Number and proportion of species by taxa included in each dataset. Overlapping species are dominated by bony fishes (983 species, primarily tropical taxa) and corals (396 species). (B, C) Global marine species count per cell according to (B) AquaMaps and (C) IUCN. The margin frequency plots show relative species count per cell at each latitude and longitude.</w:t>
      </w:r>
    </w:p>
    <w:p>
      <w:r>
        <w:rPr>
          <w:b/>
        </w:rPr>
        <w:t xml:space="preserve">Fig. 2.</w:t>
      </w:r>
      <w:r>
        <w:t xml:space="preserve"> </w:t>
      </w:r>
      <w:r>
        <w:t xml:space="preserve">(A) Distribution alignment (overlap of smaller range within larger) versus area ratio (the ratio of smaller range area to the larger range area) for 2,279 species included in both IUCN and AquaMaps datasets. The upper right quadrant (quadrant 1) comprises species whose maps largely agree (better than median value) in both spatial distribution and the extent of described ranges (n = 466; 20.1 %). The upper left quadrant (quadrant 2) comprises species whose maps agree well in distribution, but disagree in area (n = 687; 29.7 %). The lower right quadrant (quadrant 3) includes species for which the paired maps generally agree in range area, but disagree on where those ranges occur (n = 691; 29.9 %). The lower left quadrant (quadrant 4) indicates species for which the map pairs agree poorly in both area and distribution (n = 470; 20.3 %). (B) Alignment quadrant breakdown of species by taxonomic group.</w:t>
      </w:r>
    </w:p>
    <w:p>
      <w:r>
        <w:rPr>
          <w:b/>
        </w:rPr>
        <w:t xml:space="preserve">Fig. 3.</w:t>
      </w:r>
      <w:r>
        <w:t xml:space="preserve"> </w:t>
      </w:r>
      <w:r>
        <w:t xml:space="preserve">Change in status score for the Species Subgoal within the global Ocean Health Index under three different scenarios. Scenario 1 shows the effect of reducing the probability threshold to 0% for AquaMaps presence to more accurately track the definition of IUCN “limits of distribution." Scenario 2 shows the effect of prioritizing AquaMaps data over IUCN, while maintaining the 40% presence threshold. In general, AquaMaps ranges are smaller than IUCN ranges, so most overlapping species will see a decrease in represented range. Scenario 3 shows the effect of prioritizing AquaMaps data over IUCN, and simultaneously eliminating the presence threshold. The zero threshold in scenario 3 drives a decrease in scores relative to scenario 2.</w:t>
      </w:r>
    </w:p>
    <w:p>
      <w:r>
        <w:rPr>
          <w:b/>
        </w:rPr>
        <w:t xml:space="preserve">Fig. 4.</w:t>
      </w:r>
      <w:r>
        <w:t xml:space="preserve"> </w:t>
      </w:r>
      <w:r>
        <w:t xml:space="preserve">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adds an additional 1745 species unique to IUCN, resulting in increases in gap species and species with less than 2% coverage. Scenario 5 examines species MPA coverage using only the IUCN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6ac4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ceb7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qgis.osgeo.org" TargetMode="External" /><Relationship Type="http://schemas.openxmlformats.org/officeDocument/2006/relationships/hyperlink" Id="rId35" Target="http://www.gbif.org/resource/80661" TargetMode="External" /><Relationship Type="http://schemas.openxmlformats.org/officeDocument/2006/relationships/hyperlink" Id="rId34" Target="http://www.iobis.org" TargetMode="External" /><Relationship Type="http://schemas.openxmlformats.org/officeDocument/2006/relationships/hyperlink" Id="rId33" Target="http://www.iucnredlist.org" TargetMode="External" /><Relationship Type="http://schemas.openxmlformats.org/officeDocument/2006/relationships/hyperlink" Id="rId30" Target="https://github.com/OHI-Science/IUCN-AquaMaps" TargetMode="External" /><Relationship Type="http://schemas.openxmlformats.org/officeDocument/2006/relationships/hyperlink" Id="rId37" Target="https://www.R-project.org/" TargetMode="External" /><Relationship Type="http://schemas.openxmlformats.org/officeDocument/2006/relationships/hyperlink" Id="rId21" Target="mailto:ohara@nceas.ucsb.edu" TargetMode="External" /></Relationships>
</file>

<file path=word/_rels/footnotes.xml.rels><?xml version="1.0" encoding="UTF-8"?>
<Relationships xmlns="http://schemas.openxmlformats.org/package/2006/relationships"><Relationship Type="http://schemas.openxmlformats.org/officeDocument/2006/relationships/hyperlink" Id="rId36" Target="http://qgis.osgeo.org" TargetMode="External" /><Relationship Type="http://schemas.openxmlformats.org/officeDocument/2006/relationships/hyperlink" Id="rId35" Target="http://www.gbif.org/resource/80661" TargetMode="External" /><Relationship Type="http://schemas.openxmlformats.org/officeDocument/2006/relationships/hyperlink" Id="rId34" Target="http://www.iobis.org" TargetMode="External" /><Relationship Type="http://schemas.openxmlformats.org/officeDocument/2006/relationships/hyperlink" Id="rId33" Target="http://www.iucnredlist.org" TargetMode="External" /><Relationship Type="http://schemas.openxmlformats.org/officeDocument/2006/relationships/hyperlink" Id="rId30" Target="https://github.com/OHI-Science/IUCN-AquaMaps" TargetMode="External" /><Relationship Type="http://schemas.openxmlformats.org/officeDocument/2006/relationships/hyperlink" Id="rId37" Target="https://www.R-project.org/" TargetMode="External" /><Relationship Type="http://schemas.openxmlformats.org/officeDocument/2006/relationships/hyperlink" Id="rId21" Target="mailto:ohara@nceas.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