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pPr>
        <w:pStyle w:val="FirstParagraph"/>
      </w:pPr>
      <w:r>
        <w:rPr>
          <w:i/>
        </w:rPr>
        <w:t xml:space="preserve">Author affiliation:</w:t>
      </w:r>
      <w:r>
        <w:t xml:space="preserve"> </w:t>
      </w:r>
    </w:p>
    <w:p>
      <w:pPr>
        <w:pStyle w:val="Compact"/>
        <w:numPr>
          <w:numId w:val="1001"/>
          <w:ilvl w:val="0"/>
        </w:numPr>
      </w:pPr>
      <w:r>
        <w:t xml:space="preserve">National Center for Ecological Analysis and Synthesis,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pPr>
        <w:pStyle w:val="FirstParagraph"/>
      </w:pPr>
      <w:r>
        <w:rPr>
          <w:i/>
        </w:rPr>
        <w:t xml:space="preserve">Corresponding author:</w:t>
      </w:r>
      <w:r>
        <w:t xml:space="preserve"> </w:t>
      </w:r>
      <w:r>
        <w:t xml:space="preserve"> </w:t>
      </w:r>
      <w:r>
        <w:t xml:space="preserve">Casey O'Hara, National Center for Ecological Analysis and Synthesis, 735 State Street, Suite 300, Santa Barbara CA 93101; (805) 892-2500;</w:t>
      </w:r>
      <w:r>
        <w:t xml:space="preserve"> </w:t>
      </w:r>
      <w:hyperlink r:id="rId21">
        <w:r>
          <w:rPr>
            <w:rStyle w:val="Hyperlink"/>
          </w:rPr>
          <w:t xml:space="preserve">ohara@nceas.ucsb.edu</w:t>
        </w:r>
      </w:hyperlink>
    </w:p>
    <w:p>
      <w:pPr>
        <w:pStyle w:val="BodyText"/>
      </w:pPr>
      <w:r>
        <w:rPr>
          <w:i/>
        </w:rPr>
        <w:t xml:space="preserve">Classification:</w:t>
      </w:r>
      <w:r>
        <w:t xml:space="preserve"> </w:t>
      </w:r>
      <w:r>
        <w:t xml:space="preserve">BIOLOGICAL SCIENCES: Sustainability Science</w:t>
      </w:r>
    </w:p>
    <w:p>
      <w:pPr>
        <w:pStyle w:val="BodyText"/>
      </w:pPr>
      <w:r>
        <w:rPr>
          <w:i/>
        </w:rPr>
        <w:t xml:space="preserve">Keywords:</w:t>
      </w:r>
      <w:r>
        <w:t xml:space="preserve"> </w:t>
      </w:r>
      <w:r>
        <w:t xml:space="preserve"> </w:t>
      </w:r>
      <w:r>
        <w:t xml:space="preserve">Marine spatial planning, species distribution model, extent of occurrence, spatial ecology</w:t>
      </w:r>
    </w:p>
    <w:p>
      <w:r>
        <w:pict>
          <v:rect style="width:0;height:1.5pt" o:hralign="center" o:hrstd="t" o:hr="t"/>
        </w:pict>
      </w:r>
    </w:p>
    <w:p>
      <w:pPr>
        <w:pStyle w:val="Heading2"/>
      </w:pPr>
      <w:bookmarkStart w:id="22" w:name="summary"/>
      <w:bookmarkEnd w:id="22"/>
      <w:r>
        <w:t xml:space="preserve">Summary</w:t>
      </w:r>
    </w:p>
    <w:p>
      <w:pPr>
        <w:pStyle w:val="Compact"/>
        <w:numPr>
          <w:numId w:val="1002"/>
          <w:ilvl w:val="0"/>
        </w:numPr>
      </w:pPr>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Together these databases represent 24,637 species (92.9% within AquaMaps, 16.3% within IUCN), with only 2,279 shared species.</w:t>
      </w:r>
      <w:r>
        <w:br w:type="textWrapping"/>
      </w:r>
    </w:p>
    <w:p>
      <w:pPr>
        <w:pStyle w:val="Compact"/>
        <w:numPr>
          <w:numId w:val="1002"/>
          <w:ilvl w:val="0"/>
        </w:numPr>
      </w:pPr>
      <w:r>
        <w:t xml:space="preserve">Here we examine differences in predicted species ranges between the two datasets by comparing alignment of distribution (predicted species range common to both datasets) and area (extent of range predicted by each dataset) to identify potential sources of misalignment.</w:t>
      </w:r>
    </w:p>
    <w:p>
      <w:pPr>
        <w:pStyle w:val="Compact"/>
        <w:numPr>
          <w:numId w:val="1002"/>
          <w:ilvl w:val="0"/>
        </w:numPr>
      </w:pPr>
      <w:r>
        <w:t xml:space="preserve">We find that these misalignments mainly result from divergent methodologies that introduce differing frequencies of commission and omission errors. For example, species ranges predicted by IUCN range maps frequently overextend into unsuitably deep territory, as in the case of many coral and reef-associated species; similarly, the AquaMaps species distribution model often predicts species presence far afield from known occurrences when extrapolating based on limited observations.</w:t>
      </w:r>
    </w:p>
    <w:p>
      <w:pPr>
        <w:pStyle w:val="Compact"/>
        <w:numPr>
          <w:numId w:val="1002"/>
          <w:ilvl w:val="0"/>
        </w:numPr>
      </w:pPr>
      <w:r>
        <w:rPr>
          <w:b/>
        </w:rPr>
        <w:t xml:space="preserve">Policy implications:</w:t>
      </w:r>
      <w:r>
        <w:t xml:space="preserve"> </w:t>
      </w:r>
      <w:r>
        <w:t xml:space="preserve">We illustrate the scientific and management implications of these differences by repeating two recent applications - an assessment of global biodiversity within the Ocean Health Index and a global analysis of gaps in coverage of marine protected areas - and find significantly different results depending on how the two datasets are used. Until a single, highly accurate dataset of global marine species ranges becomes available, understanding the implications of dataset differences for conservation planning and decision-making remains essential.</w:t>
      </w:r>
    </w:p>
    <w:p>
      <w:r>
        <w:pict>
          <v:rect style="width:0;height:1.5pt" o:hralign="center" o:hrstd="t" o:hr="t"/>
        </w:pict>
      </w:r>
    </w:p>
    <w:p>
      <w:pPr>
        <w:pStyle w:val="Heading1"/>
      </w:pPr>
      <w:bookmarkStart w:id="23" w:name="introduction"/>
      <w:bookmarkEnd w:id="23"/>
      <w:r>
        <w:t xml:space="preserve">Introduction</w:t>
      </w:r>
    </w:p>
    <w:p>
      <w:pPr>
        <w:pStyle w:val="FirstParagraph"/>
      </w:pPr>
      <w:r>
        <w:t xml:space="preserve">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w:t>
      </w:r>
      <w:r>
        <w:t xml:space="preserve"> </w:t>
      </w:r>
    </w:p>
    <w:p>
      <w:pPr>
        <w:pStyle w:val="BodyText"/>
      </w:pPr>
      <w:r>
        <w:t xml:space="preserve">One major outcome of this body of science is the various compiled databases of species distribution maps. Two global-scale repositories predict marine species ranges throughout the world's oceans – AquaMaps</w:t>
      </w:r>
      <w:r>
        <w:t xml:space="preserve"> </w:t>
      </w:r>
      <w:r>
        <w:t xml:space="preserve">(Kaschner</w:t>
      </w:r>
      <w:r>
        <w:t xml:space="preserve"> </w:t>
      </w:r>
      <w:r>
        <w:rPr>
          <w:i/>
        </w:rPr>
        <w:t xml:space="preserve">et al.</w:t>
      </w:r>
      <w:r>
        <w:t xml:space="preserve"> </w:t>
      </w:r>
      <w:r>
        <w:t xml:space="preserve">2015)</w:t>
      </w:r>
      <w:r>
        <w:t xml:space="preserve"> </w:t>
      </w:r>
      <w:r>
        <w:t xml:space="preserve">and International Union for Conservation of Nature (IUCN)</w:t>
      </w:r>
      <w:r>
        <w:t xml:space="preserve"> </w:t>
      </w:r>
      <w:r>
        <w:t xml:space="preserve">(IUCN 2015)</w:t>
      </w:r>
      <w:r>
        <w:t xml:space="preserve">. These two spatial datasets have been used in hundreds of studies and applications for a wide range of purposes, including assessing marine species status</w:t>
      </w:r>
      <w:r>
        <w:t xml:space="preserve"> </w:t>
      </w:r>
      <w:r>
        <w:t xml:space="preserve">(Halpern</w:t>
      </w:r>
      <w:r>
        <w:t xml:space="preserve"> </w:t>
      </w:r>
      <w:r>
        <w:rPr>
          <w:i/>
        </w:rPr>
        <w:t xml:space="preserve">et al.</w:t>
      </w:r>
      <w:r>
        <w:t xml:space="preserve"> </w:t>
      </w:r>
      <w:r>
        <w:t xml:space="preserve">2012, 2015; Selig</w:t>
      </w:r>
      <w:r>
        <w:t xml:space="preserve"> </w:t>
      </w:r>
      <w:r>
        <w:rPr>
          <w:i/>
        </w:rPr>
        <w:t xml:space="preserve">et al.</w:t>
      </w:r>
      <w:r>
        <w:t xml:space="preserve"> </w:t>
      </w:r>
      <w:r>
        <w:t xml:space="preserve">2013)</w:t>
      </w:r>
      <w:r>
        <w:t xml:space="preserve">, evaluating global biodiversity patterns</w:t>
      </w:r>
      <w:r>
        <w:t xml:space="preserve"> </w:t>
      </w:r>
      <w:r>
        <w:t xml:space="preserve">(Coll</w:t>
      </w:r>
      <w:r>
        <w:t xml:space="preserve"> </w:t>
      </w:r>
      <w:r>
        <w:rPr>
          <w:i/>
        </w:rPr>
        <w:t xml:space="preserve">et al.</w:t>
      </w:r>
      <w:r>
        <w:t xml:space="preserve"> </w:t>
      </w:r>
      <w:r>
        <w:t xml:space="preserve">2010; Kaschner</w:t>
      </w:r>
      <w:r>
        <w:t xml:space="preserve"> </w:t>
      </w:r>
      <w:r>
        <w:rPr>
          <w:i/>
        </w:rPr>
        <w:t xml:space="preserve">et al.</w:t>
      </w:r>
      <w:r>
        <w:t xml:space="preserve"> </w:t>
      </w:r>
      <w:r>
        <w:t xml:space="preserve">2011; Martin</w:t>
      </w:r>
      <w:r>
        <w:t xml:space="preserve"> </w:t>
      </w:r>
      <w:r>
        <w:rPr>
          <w:i/>
        </w:rPr>
        <w:t xml:space="preserve">et al.</w:t>
      </w:r>
      <w:r>
        <w:t xml:space="preserve"> </w:t>
      </w:r>
      <w:r>
        <w:t xml:space="preserve">2014; Pimm</w:t>
      </w:r>
      <w:r>
        <w:t xml:space="preserve"> </w:t>
      </w:r>
      <w:r>
        <w:rPr>
          <w:i/>
        </w:rPr>
        <w:t xml:space="preserve">et al.</w:t>
      </w:r>
      <w:r>
        <w:t xml:space="preserve"> </w:t>
      </w:r>
      <w:r>
        <w:t xml:space="preserve">2014)</w:t>
      </w:r>
      <w:r>
        <w:t xml:space="preserve">, predicting species range shifts</w:t>
      </w:r>
      <w:r>
        <w:t xml:space="preserve"> </w:t>
      </w:r>
      <w:r>
        <w:t xml:space="preserve">(García Molinos</w:t>
      </w:r>
      <w:r>
        <w:t xml:space="preserve"> </w:t>
      </w:r>
      <w:r>
        <w:rPr>
          <w:i/>
        </w:rPr>
        <w:t xml:space="preserve">et al.</w:t>
      </w:r>
      <w:r>
        <w:t xml:space="preserve"> </w:t>
      </w:r>
      <w:r>
        <w:t xml:space="preserve">2015)</w:t>
      </w:r>
      <w:r>
        <w:t xml:space="preserve">, and setting conservation priorities</w:t>
      </w:r>
      <w:r>
        <w:t xml:space="preserve"> </w:t>
      </w:r>
      <w:r>
        <w:t xml:space="preserve">(Klein</w:t>
      </w:r>
      <w:r>
        <w:t xml:space="preserve"> </w:t>
      </w:r>
      <w:r>
        <w:rPr>
          <w:i/>
        </w:rPr>
        <w:t xml:space="preserve">et al.</w:t>
      </w:r>
      <w:r>
        <w:t xml:space="preserve"> </w:t>
      </w:r>
      <w:r>
        <w:t xml:space="preserve">2015)</w:t>
      </w:r>
      <w:r>
        <w:t xml:space="preserve">.</w:t>
      </w:r>
    </w:p>
    <w:p>
      <w:pPr>
        <w:pStyle w:val="BodyText"/>
      </w:pPr>
      <w:r>
        <w:rPr>
          <w:i/>
          <w:b/>
        </w:rPr>
        <w:t xml:space="preserve">sentence about SAUP - how can we rephrase the "two global-scale repositories" sentence to exclude it? "broad taxonomic coverage"? something about not focusing just on economically important species? (is that a valid assumption about SAUP)</w:t>
      </w:r>
    </w:p>
    <w:p>
      <w:pPr>
        <w:pStyle w:val="BodyText"/>
      </w:pPr>
      <w:r>
        <w:rPr>
          <w:i/>
          <w:b/>
        </w:rPr>
        <w:t xml:space="preserve">or: "Several global-scale repositories predict ... In this paper we focus on two datasets that cover a broad taxonomic range: ..."</w:t>
      </w:r>
    </w:p>
    <w:p>
      <w:pPr>
        <w:pStyle w:val="BodyText"/>
      </w:pPr>
      <w:r>
        <w:t xml:space="preserve">Neither dataset claims to represent the "truth" of a species' spatial distribution, but rather each presents one understanding of the truth - one database relying primarily on expert opinion and the other on modeling. Uncertainties inherent in the methods and intents inevitably drive differences in the range predictions made by each dataset. Significant differences could</w:t>
      </w:r>
      <w:r>
        <w:t xml:space="preserve"> </w:t>
      </w:r>
      <w:r>
        <w:rPr>
          <w:i/>
          <w:b/>
        </w:rPr>
        <w:t xml:space="preserve">lead to, communicate, imply</w:t>
      </w:r>
      <w:r>
        <w:t xml:space="preserve"> </w:t>
      </w:r>
      <w:r>
        <w:t xml:space="preserve">dramatically different understandings of our marine ecosystems, with significant implications for policy and conservation recommendations. Importantly, biases in taxonomic or spatial coverage within a dataset could shift management and conservation actions away from places or species that are most in need. Inaccurate indications of presence or absence could lead to ineffective marine reserve systems and management plans</w:t>
      </w:r>
      <w:r>
        <w:t xml:space="preserve"> </w:t>
      </w:r>
      <w:r>
        <w:t xml:space="preserve">(Rondinini</w:t>
      </w:r>
      <w:r>
        <w:t xml:space="preserve"> </w:t>
      </w:r>
      <w:r>
        <w:rPr>
          <w:i/>
        </w:rPr>
        <w:t xml:space="preserve">et al.</w:t>
      </w:r>
      <w:r>
        <w:t xml:space="preserve"> </w:t>
      </w:r>
      <w:r>
        <w:t xml:space="preserve">2006; Jetz, Sekercioglu &amp; Watson 2008)</w:t>
      </w:r>
      <w:r>
        <w:t xml:space="preserve">.</w:t>
      </w:r>
    </w:p>
    <w:p>
      <w:pPr>
        <w:pStyle w:val="BodyText"/>
      </w:pPr>
      <w:r>
        <w:t xml:space="preserve">To understand the implications of differences between the AquaMaps and IUCN datasets, we compare how each data source represents the global spatial and taxonomic distribution of marine species. Most notably, AquaMaps includes range maps for many more species (currently 22,889 species; 92.9% of total), such that most global analyses related to marine biodiversity to date have used AquaMaps (IUCN range map data exist for only 4,027 unique marine species).</w:t>
      </w:r>
    </w:p>
    <w:p>
      <w:pPr>
        <w:pStyle w:val="BodyText"/>
      </w:pPr>
      <w:r>
        <w:t xml:space="preserve">We can reasonably assume that range predictions from these two datasets would be more tightly aligned for well-understood species. For the 2,279 species (9.3% of total) mapped in both datasets, we examine how well the predicted ranges align in distribution and area, and determine several issues that lead to poor alignment between the two datasets. ___</w:t>
      </w:r>
    </w:p>
    <w:p>
      <w:pPr>
        <w:pStyle w:val="BodyText"/>
      </w:pPr>
      <w:r>
        <w:t xml:space="preserve">We then reexamine two recent marine biodiversity studies - an assessment of the status of global biodiversity within the Ocean Health Index (OHI)</w:t>
      </w:r>
      <w:r>
        <w:t xml:space="preserve"> </w:t>
      </w:r>
      <w:r>
        <w:t xml:space="preserve">(Halpern</w:t>
      </w:r>
      <w:r>
        <w:t xml:space="preserve"> </w:t>
      </w:r>
      <w:r>
        <w:rPr>
          <w:i/>
        </w:rPr>
        <w:t xml:space="preserve">et al.</w:t>
      </w:r>
      <w:r>
        <w:t xml:space="preserve"> </w:t>
      </w:r>
      <w:r>
        <w:t xml:space="preserve">2012, 2015)</w:t>
      </w:r>
      <w:r>
        <w:t xml:space="preserve"> </w:t>
      </w:r>
      <w:r>
        <w:t xml:space="preserve">and a global analysis of gaps in protection afforded by marine protected areas (MPAs)</w:t>
      </w:r>
      <w:r>
        <w:t xml:space="preserve"> </w:t>
      </w:r>
      <w:r>
        <w:t xml:space="preserve">(Klein</w:t>
      </w:r>
      <w:r>
        <w:t xml:space="preserve"> </w:t>
      </w:r>
      <w:r>
        <w:rPr>
          <w:i/>
        </w:rPr>
        <w:t xml:space="preserve">et al.</w:t>
      </w:r>
      <w:r>
        <w:t xml:space="preserve"> </w:t>
      </w:r>
      <w:r>
        <w:t xml:space="preserve">2015)</w:t>
      </w:r>
      <w:r>
        <w:t xml:space="preserve"> </w:t>
      </w:r>
      <w:r>
        <w:t xml:space="preserve">- as case studies to explore the implications of prioritizing one data set over the other. The results highlight possible consequences of different data use decisions on our understanding of marine biodiversity status and protection.</w:t>
      </w:r>
    </w:p>
    <w:p>
      <w:pPr>
        <w:pStyle w:val="BodyText"/>
      </w:pPr>
      <w:r>
        <w:rPr>
          <w:i/>
          <w:b/>
        </w:rPr>
        <w:t xml:space="preserve">While we cannot recommend one data set as more accurate than the other, we do suggest methods to improve confidence in species range predictions and conservation outcomes based on these two datasets.</w:t>
      </w:r>
    </w:p>
    <w:p>
      <w:pPr>
        <w:pStyle w:val="BodyText"/>
      </w:pPr>
      <w:r>
        <w:rPr>
          <w:i/>
          <w:b/>
        </w:rPr>
        <w:t xml:space="preserve">acknowledge or debunk other global data sets - e.g. SAUP?</w:t>
      </w:r>
    </w:p>
    <w:p>
      <w:pPr>
        <w:pStyle w:val="Heading1"/>
      </w:pPr>
      <w:bookmarkStart w:id="24" w:name="methods"/>
      <w:bookmarkEnd w:id="24"/>
      <w:r>
        <w:t xml:space="preserve">Methods</w:t>
      </w:r>
    </w:p>
    <w:p>
      <w:pPr>
        <w:pStyle w:val="FirstParagraph"/>
      </w:pPr>
      <w:r>
        <w:t xml:space="preserve">_About the datasets__:</w:t>
      </w:r>
    </w:p>
    <w:p>
      <w:pPr>
        <w:pStyle w:val="BodyText"/>
      </w:pPr>
      <w:r>
        <w:t xml:space="preserve">The IUCN publishes species range maps based on expert input of spatial boundaries of a given species' "limits of distribution"</w:t>
      </w:r>
      <w:r>
        <w:t xml:space="preserve"> </w:t>
      </w:r>
      <w:r>
        <w:t xml:space="preserve">(IUCN 2015)</w:t>
      </w:r>
      <w:r>
        <w:t xml:space="preserve"> </w:t>
      </w:r>
      <w:r>
        <w:t xml:space="preserve">- essentially a refined extent of occurrence (EOO), based on observation records and informed by expert understanding of species' range and habitat preferences. In contrast, AquaMaps models species distribution based on environmental preferences (e.g., temperature, depth, salinity) deduced from occurrence records, published species databases such as FishBase, and expert knowledge. The AquaMaps model overlays these environmental preferences atop a map of environmental attributes on a 0.5 degree grid, creating a global map of "probability of occurrence" for each species</w:t>
      </w:r>
      <w:r>
        <w:t xml:space="preserve"> </w:t>
      </w:r>
      <w:r>
        <w:t xml:space="preserve">(Kaschner</w:t>
      </w:r>
      <w:r>
        <w:t xml:space="preserve"> </w:t>
      </w:r>
      <w:r>
        <w:rPr>
          <w:i/>
        </w:rPr>
        <w:t xml:space="preserve">et al.</w:t>
      </w:r>
      <w:r>
        <w:t xml:space="preserve"> </w:t>
      </w:r>
      <w:r>
        <w:t xml:space="preserve">2006; Ready</w:t>
      </w:r>
      <w:r>
        <w:t xml:space="preserve"> </w:t>
      </w:r>
      <w:r>
        <w:rPr>
          <w:i/>
        </w:rPr>
        <w:t xml:space="preserve">et al.</w:t>
      </w:r>
      <w:r>
        <w:t xml:space="preserve"> </w:t>
      </w:r>
      <w:r>
        <w:t xml:space="preserve">2010)</w:t>
      </w:r>
      <w:r>
        <w:t xml:space="preserve">. Studies using AquaMaps data frequently define "presence" by applying a probability threshold, e.g., previously, the Ocean Health Index defined presence as 40% or greater probability of occurrence</w:t>
      </w:r>
      <w:r>
        <w:t xml:space="preserve"> </w:t>
      </w:r>
      <w:r>
        <w:t xml:space="preserve">(Halpern</w:t>
      </w:r>
      <w:r>
        <w:t xml:space="preserve"> </w:t>
      </w:r>
      <w:r>
        <w:rPr>
          <w:i/>
        </w:rPr>
        <w:t xml:space="preserve">et al.</w:t>
      </w:r>
      <w:r>
        <w:t xml:space="preserve"> </w:t>
      </w:r>
      <w:r>
        <w:t xml:space="preserve">2012, 2015)</w:t>
      </w:r>
      <w:r>
        <w:t xml:space="preserve">. In the 2016 OHI assessment, the presence threshold was eliminated, to better approximate the "extent of occurrence" generally indicated by IUCN maps, since the two datasets are used together.</w:t>
      </w:r>
      <w:r>
        <w:t xml:space="preserve"> </w:t>
      </w:r>
      <w:r>
        <w:t xml:space="preserve">(</w:t>
      </w:r>
      <w:r>
        <w:rPr>
          <w:b/>
        </w:rPr>
        <w:t xml:space="preserve">???</w:t>
      </w:r>
      <w:r>
        <w:t xml:space="preserve">)</w:t>
      </w:r>
    </w:p>
    <w:p>
      <w:pPr>
        <w:pStyle w:val="BodyText"/>
      </w:pPr>
      <w:r>
        <w:rPr>
          <w:i/>
          <w:b/>
        </w:rPr>
        <w:t xml:space="preserve">should this go in the discussion?</w:t>
      </w:r>
      <w:r>
        <w:t xml:space="preserve"> </w:t>
      </w:r>
      <w:r>
        <w:rPr>
          <w:i/>
        </w:rPr>
        <w:t xml:space="preserve">The methodologies behind the creation of these datasets imply differences in prediction of species distribution due to errors of commission (falsely indicating species presence) and omission (falsely indicating species absence). Geographic range data such as IUCN range maps frequently introduce commission errors, while species distribution models such as AquaMaps will likely introduce fewer commission errors but more omission errors. Each type of error bears different implications for conservation goals: commission errors can result in prioritizing areas not relevant to conservation goals, while omission errors may result in protected area networks that fail to include important habitat and range</w:t>
      </w:r>
      <w:r>
        <w:rPr>
          <w:i/>
        </w:rPr>
        <w:t xml:space="preserve"> </w:t>
      </w:r>
      <w:r>
        <w:rPr>
          <w:i/>
        </w:rPr>
        <w:t xml:space="preserve">(Rondinini</w:t>
      </w:r>
      <w:r>
        <w:rPr>
          <w:i/>
        </w:rPr>
        <w:t xml:space="preserve"> </w:t>
      </w:r>
      <w:r>
        <w:rPr>
          <w:i/>
          <w:i/>
        </w:rPr>
        <w:t xml:space="preserve">et al.</w:t>
      </w:r>
      <w:r>
        <w:rPr>
          <w:i/>
        </w:rPr>
        <w:t xml:space="preserve"> </w:t>
      </w:r>
      <w:r>
        <w:rPr>
          <w:i/>
        </w:rPr>
        <w:t xml:space="preserve">2006)</w:t>
      </w:r>
      <w:r>
        <w:rPr>
          <w:i/>
        </w:rPr>
        <w:t xml:space="preserve">. By comparing maps resulting from IUCN and AquaMaps methodologies, we can identify and possibly address mechanistic causes for each type of error.</w:t>
      </w:r>
    </w:p>
    <w:p>
      <w:pPr>
        <w:pStyle w:val="BodyText"/>
      </w:pPr>
      <w:r>
        <w:rPr>
          <w:b/>
        </w:rPr>
        <w:t xml:space="preserve">Comparison of taxonomic and regional distribution</w:t>
      </w:r>
      <w:r>
        <w:t xml:space="preserve">: To examine the overall taxonomic distribution across the spatial datasets (Fig. 1A), we grouped species by taxonomic class and data source, and determined the proportion of each class represented in each dataset. We defined "paired map" species as those with spatial data in both datasets.</w:t>
      </w:r>
    </w:p>
    <w:p>
      <w:pPr>
        <w:pStyle w:val="BodyText"/>
      </w:pPr>
      <w:r>
        <w:t xml:space="preserve">To compare the spatial representation of the two datasets directly, we rasterized the IUCN species polygons to the same 0.5° grid as the AquaMaps species maps; we determined species presence within a grid cell as any non-zero overlap of a species polygon with the cell</w:t>
      </w:r>
      <w:r>
        <w:t xml:space="preserve"> </w:t>
      </w:r>
      <w:r>
        <w:rPr>
          <w:i/>
          <w:b/>
        </w:rPr>
        <w:t xml:space="preserve">(Fig. SXXX)</w:t>
      </w:r>
      <w:r>
        <w:t xml:space="preserve">. For the AquaMaps dataset, we determined per-cell species count by including all species with non-zero probability of occurrence, to best approximate the "extent of occurrence" generally indicated by IUCN maps</w:t>
      </w:r>
      <w:r>
        <w:t xml:space="preserve"> </w:t>
      </w:r>
      <w:r>
        <w:rPr>
          <w:i/>
          <w:b/>
        </w:rPr>
        <w:t xml:space="preserve">(Fig. SXXX)</w:t>
      </w:r>
      <w:r>
        <w:t xml:space="preserve">. We represented relative distribution of species count for each dataset by plotting average species count against latitude and longitude (Fig. 1B, 1C).</w:t>
      </w:r>
    </w:p>
    <w:p>
      <w:pPr>
        <w:pStyle w:val="BodyText"/>
      </w:pPr>
      <w:r>
        <w:rPr>
          <w:b/>
        </w:rPr>
        <w:t xml:space="preserve">Comparison of paired maps</w:t>
      </w:r>
      <w:r>
        <w:t xml:space="preserve">: Using genus and species binomials as a matching key, we selected the "paired map" species - the subset of marine species that have range maps in both IUCN and AquaMaps current native distribution.</w:t>
      </w:r>
      <w:r>
        <w:t xml:space="preserve"> </w:t>
      </w:r>
      <w:r>
        <w:rPr>
          <w:i/>
        </w:rPr>
        <w:t xml:space="preserve">We used the taxize package</w:t>
      </w:r>
      <w:r>
        <w:rPr>
          <w:i/>
        </w:rPr>
        <w:t xml:space="preserve"> </w:t>
      </w:r>
      <w:r>
        <w:rPr>
          <w:i/>
        </w:rPr>
        <w:t xml:space="preserve">(</w:t>
      </w:r>
      <w:r>
        <w:rPr>
          <w:b/>
          <w:i/>
        </w:rPr>
        <w:t xml:space="preserve">???</w:t>
      </w:r>
      <w:r>
        <w:rPr>
          <w:i/>
        </w:rPr>
        <w:t xml:space="preserve">)</w:t>
      </w:r>
      <w:r>
        <w:rPr>
          <w:i/>
        </w:rPr>
        <w:t xml:space="preserve"> </w:t>
      </w:r>
      <w:r>
        <w:rPr>
          <w:i/>
        </w:rPr>
        <w:t xml:space="preserve">in R</w:t>
      </w:r>
      <w:r>
        <w:rPr>
          <w:i/>
        </w:rPr>
        <w:t xml:space="preserve"> </w:t>
      </w:r>
      <w:r>
        <w:rPr>
          <w:i/>
        </w:rPr>
        <w:t xml:space="preserve">(</w:t>
      </w:r>
      <w:r>
        <w:rPr>
          <w:b/>
          <w:i/>
        </w:rPr>
        <w:t xml:space="preserve">???</w:t>
      </w:r>
      <w:r>
        <w:rPr>
          <w:i/>
        </w:rPr>
        <w:t xml:space="preserve">)</w:t>
      </w:r>
      <w:r>
        <w:rPr>
          <w:i/>
        </w:rPr>
        <w:t xml:space="preserve"> </w:t>
      </w:r>
      <w:r>
        <w:rPr>
          <w:i/>
        </w:rPr>
        <w:t xml:space="preserve">to standardize species names and synonyms; for species with separate subpopulation maps in IUCN, we combined all subpopulations to create a single global population.</w:t>
      </w:r>
      <w:r>
        <w:t xml:space="preserve"> </w:t>
      </w:r>
      <w:r>
        <w:rPr>
          <w:i/>
          <w:b/>
        </w:rPr>
        <w:t xml:space="preserve">To avoid double-counting, we removed subpopulations and species aliases. Used the taxize package? which version?</w:t>
      </w:r>
      <w:r>
        <w:t xml:space="preserve"> </w:t>
      </w:r>
      <w:r>
        <w:t xml:space="preserve">We determined species presence within each spatial cell using the same criteria outlined above.</w:t>
      </w:r>
    </w:p>
    <w:p>
      <w:pPr>
        <w:pStyle w:val="BodyText"/>
      </w:pPr>
      <w:r>
        <w:t xml:space="preserve">Overlaying paired distribution maps for a given species, we defined and calculated</w:t>
      </w:r>
      <w:r>
        <w:t xml:space="preserve"> </w:t>
      </w:r>
      <w:r>
        <w:rPr>
          <w:i/>
        </w:rPr>
        <w:t xml:space="preserve">distribution alignment</w:t>
      </w:r>
      <w:r>
        <w:t xml:space="preserve"> </w:t>
      </w:r>
      <w:r>
        <w:t xml:space="preserve">and</w:t>
      </w:r>
      <w:r>
        <w:t xml:space="preserve"> </w:t>
      </w:r>
      <w:r>
        <w:rPr>
          <w:i/>
        </w:rPr>
        <w:t xml:space="preserve">area ratio</w:t>
      </w:r>
      <w:r>
        <w:t xml:space="preserve"> </w:t>
      </w:r>
      <w:r>
        <w:t xml:space="preserve">and plotted these in Fig. 2A:</w:t>
      </w:r>
    </w:p>
    <w:p>
      <w:pPr>
        <w:pStyle w:val="BodyText"/>
      </w:pPr>
      <m:oMathPara>
        <m:oMathParaPr>
          <m:jc m:val="center"/>
        </m:oMathParaPr>
        <m:oMath>
          <m:sSub>
            <m:e>
              <m:r>
                <m:rPr/>
                <m:t>α</m:t>
              </m:r>
            </m:e>
            <m:sub>
              <m:r>
                <m:rPr/>
                <m:t>d</m:t>
              </m:r>
              <m:r>
                <m:rPr/>
                <m:t>i</m:t>
              </m:r>
              <m:r>
                <m:rPr/>
                <m:t>s</m:t>
              </m:r>
              <m:r>
                <m:rPr/>
                <m:t>t</m:t>
              </m:r>
            </m:sub>
          </m:sSub>
          <m:r>
            <m:rPr/>
            <m:t>=</m:t>
          </m:r>
          <m:f>
            <m:fPr>
              <m:type m:val="bar"/>
            </m:fPr>
            <m:num>
              <m:sSub>
                <m:e>
                  <m:r>
                    <m:rPr/>
                    <m:t>A</m:t>
                  </m:r>
                </m:e>
                <m:sub>
                  <m:r>
                    <m:rPr/>
                    <m:t>s</m:t>
                  </m:r>
                  <m:r>
                    <m:rPr/>
                    <m:t>m</m:t>
                  </m:r>
                  <m:r>
                    <m:rPr/>
                    <m:t>a</m:t>
                  </m:r>
                  <m:r>
                    <m:rPr/>
                    <m:t>l</m:t>
                  </m:r>
                  <m:r>
                    <m:rPr/>
                    <m:t>l</m:t>
                  </m:r>
                  <m:r>
                    <m:rPr/>
                    <m:t>∩</m:t>
                  </m:r>
                  <m:r>
                    <m:rPr/>
                    <m:t>l</m:t>
                  </m:r>
                  <m:r>
                    <m:rPr/>
                    <m:t>a</m:t>
                  </m:r>
                  <m:r>
                    <m:rPr/>
                    <m:t>r</m:t>
                  </m:r>
                  <m:r>
                    <m:rPr/>
                    <m:t>g</m:t>
                  </m:r>
                  <m:r>
                    <m:rPr/>
                    <m:t>e</m:t>
                  </m:r>
                </m:sub>
              </m:sSub>
            </m:num>
            <m:den>
              <m:sSub>
                <m:e>
                  <m:r>
                    <m:rPr/>
                    <m:t>A</m:t>
                  </m:r>
                </m:e>
                <m:sub>
                  <m:r>
                    <m:rPr/>
                    <m:t>l</m:t>
                  </m:r>
                  <m:r>
                    <m:rPr/>
                    <m:t>a</m:t>
                  </m:r>
                  <m:r>
                    <m:rPr/>
                    <m:t>r</m:t>
                  </m:r>
                  <m:r>
                    <m:rPr/>
                    <m:t>g</m:t>
                  </m:r>
                  <m:r>
                    <m:rPr/>
                    <m:t>e</m:t>
                  </m:r>
                </m:sub>
              </m:sSub>
            </m:den>
          </m:f>
          <m:r>
            <m:rPr/>
            <m:t>*</m:t>
          </m:r>
          <m:r>
            <m:rPr/>
            <m:t>100</m:t>
          </m:r>
          <m:r>
            <m:rPr/>
            <m:t>%</m:t>
          </m:r>
        </m:oMath>
      </m:oMathPara>
    </w:p>
    <w:p>
      <w:pPr>
        <w:pStyle w:val="BodyText"/>
      </w:pPr>
      <m:oMathPara>
        <m:oMathParaPr>
          <m:jc m:val="center"/>
        </m:oMathParaPr>
        <m:oMath>
          <m:sSub>
            <m:e>
              <m:r>
                <m:rPr/>
                <m:t>α</m:t>
              </m:r>
            </m:e>
            <m:sub>
              <m:r>
                <m:rPr/>
                <m:t>a</m:t>
              </m:r>
              <m:r>
                <m:rPr/>
                <m:t>r</m:t>
              </m:r>
              <m:r>
                <m:rPr/>
                <m:t>e</m:t>
              </m:r>
              <m:r>
                <m:rPr/>
                <m:t>a</m:t>
              </m:r>
            </m:sub>
          </m:sSub>
          <m:r>
            <m:rPr/>
            <m:t>=</m:t>
          </m:r>
          <m:f>
            <m:fPr>
              <m:type m:val="bar"/>
            </m:fPr>
            <m:num>
              <m:sSub>
                <m:e>
                  <m:r>
                    <m:rPr/>
                    <m:t>A</m:t>
                  </m:r>
                </m:e>
                <m:sub>
                  <m:r>
                    <m:rPr/>
                    <m:t>s</m:t>
                  </m:r>
                  <m:r>
                    <m:rPr/>
                    <m:t>m</m:t>
                  </m:r>
                  <m:r>
                    <m:rPr/>
                    <m:t>a</m:t>
                  </m:r>
                  <m:r>
                    <m:rPr/>
                    <m:t>l</m:t>
                  </m:r>
                  <m:r>
                    <m:rPr/>
                    <m:t>l</m:t>
                  </m:r>
                </m:sub>
              </m:sSub>
            </m:num>
            <m:den>
              <m:sSub>
                <m:e>
                  <m:r>
                    <m:rPr/>
                    <m:t>A</m:t>
                  </m:r>
                </m:e>
                <m:sub>
                  <m:r>
                    <m:rPr/>
                    <m:t>l</m:t>
                  </m:r>
                  <m:r>
                    <m:rPr/>
                    <m:t>a</m:t>
                  </m:r>
                  <m:r>
                    <m:rPr/>
                    <m:t>r</m:t>
                  </m:r>
                  <m:r>
                    <m:rPr/>
                    <m:t>g</m:t>
                  </m:r>
                  <m:r>
                    <m:rPr/>
                    <m:t>e</m:t>
                  </m:r>
                </m:sub>
              </m:sSub>
            </m:den>
          </m:f>
          <m:r>
            <m:rPr/>
            <m:t>*</m:t>
          </m:r>
          <m:r>
            <m:rPr/>
            <m:t>100</m:t>
          </m:r>
          <m:r>
            <m:rPr/>
            <m:t>%</m:t>
          </m:r>
        </m:oMath>
      </m:oMathPara>
    </w:p>
    <w:p>
      <w:pPr>
        <w:pStyle w:val="BodyText"/>
      </w:pPr>
      <w:r>
        <w:t xml:space="preserve">For each paired map species,</w:t>
      </w:r>
      <w:r>
        <w:t xml:space="preserve"> </w:t>
      </w:r>
      <m:oMath>
        <m:sSub>
          <m:e>
            <m:r>
              <m:rPr/>
              <m:t>A</m:t>
            </m:r>
          </m:e>
          <m:sub>
            <m:r>
              <m:rPr/>
              <m:t>s</m:t>
            </m:r>
            <m:r>
              <m:rPr/>
              <m:t>m</m:t>
            </m:r>
            <m:r>
              <m:rPr/>
              <m:t>a</m:t>
            </m:r>
            <m:r>
              <m:rPr/>
              <m:t>l</m:t>
            </m:r>
            <m:r>
              <m:rPr/>
              <m:t>l</m:t>
            </m:r>
          </m:sub>
        </m:sSub>
      </m:oMath>
      <w:r>
        <w:t xml:space="preserve"> </w:t>
      </w:r>
      <w:r>
        <w:t xml:space="preserve">and</w:t>
      </w:r>
      <w:r>
        <w:t xml:space="preserve"> </w:t>
      </w:r>
      <m:oMath>
        <m:sSub>
          <m:e>
            <m:r>
              <m:rPr/>
              <m:t>A</m:t>
            </m:r>
          </m:e>
          <m:sub>
            <m:r>
              <m:rPr/>
              <m:t>l</m:t>
            </m:r>
            <m:r>
              <m:rPr/>
              <m:t>a</m:t>
            </m:r>
            <m:r>
              <m:rPr/>
              <m:t>r</m:t>
            </m:r>
            <m:r>
              <m:rPr/>
              <m:t>g</m:t>
            </m:r>
            <m:r>
              <m:rPr/>
              <m:t>e</m:t>
            </m:r>
          </m:sub>
        </m:sSub>
      </m:oMath>
      <w:r>
        <w:t xml:space="preserve"> </w:t>
      </w:r>
      <w:r>
        <w:t xml:space="preserve">indicate the smaller and larger range representation (regardless of which dataset).</w:t>
      </w:r>
      <w:r>
        <w:t xml:space="preserve"> </w:t>
      </w:r>
      <m:oMath>
        <m:sSub>
          <m:e>
            <m:r>
              <m:rPr/>
              <m:t>A</m:t>
            </m:r>
          </m:e>
          <m:sub>
            <m:r>
              <m:rPr/>
              <m:t>s</m:t>
            </m:r>
            <m:r>
              <m:rPr/>
              <m:t>m</m:t>
            </m:r>
            <m:r>
              <m:rPr/>
              <m:t>a</m:t>
            </m:r>
            <m:r>
              <m:rPr/>
              <m:t>l</m:t>
            </m:r>
            <m:r>
              <m:rPr/>
              <m:t>l</m:t>
            </m:r>
            <m:r>
              <m:rPr/>
              <m:t>∩</m:t>
            </m:r>
            <m:r>
              <m:rPr/>
              <m:t>l</m:t>
            </m:r>
            <m:r>
              <m:rPr/>
              <m:t>a</m:t>
            </m:r>
            <m:r>
              <m:rPr/>
              <m:t>r</m:t>
            </m:r>
            <m:r>
              <m:rPr/>
              <m:t>g</m:t>
            </m:r>
            <m:r>
              <m:rPr/>
              <m:t>e</m:t>
            </m:r>
          </m:sub>
        </m:sSub>
      </m:oMath>
      <w:r>
        <w:t xml:space="preserve"> </w:t>
      </w:r>
      <w:r>
        <w:t xml:space="preserve">represents the amount of overlapping area between the two datasets.</w:t>
      </w:r>
    </w:p>
    <w:p>
      <w:pPr>
        <w:pStyle w:val="BodyText"/>
      </w:pPr>
      <w:r>
        <w:rPr>
          <w:i/>
        </w:rPr>
        <w:t xml:space="preserve">Distribution alignment - overlap as proxy for common understanding; use Bayesian argument to show that these areas are high-confidence areas; area ratio as proxy for errors of commission/omission. While we cannot know which dataset is closer to the "truth" we can make inferences based on expectations of EOO and AOO maps - is AquaMaps AOO?</w:t>
      </w:r>
    </w:p>
    <w:p>
      <w:pPr>
        <w:pStyle w:val="BodyText"/>
      </w:pPr>
      <w:r>
        <w:t xml:space="preserve">Dividing the plot into quadrants based on mean values along each axis, we roughly categorized four qualities of alignment, and for each taxonomic group, based on IUCN taxonomic groupings, determined the proportion of paired map species that fell into each quality category (2B).</w:t>
      </w:r>
    </w:p>
    <w:p>
      <w:pPr>
        <w:pStyle w:val="BodyText"/>
      </w:pPr>
      <w:r>
        <w:t xml:space="preserve">Noting that a large proportion of corals were identified in the upper-left quadrant, we examined a handful of IUCN coral maps and found that each predicted coral presence in far deeper waters than would be expected based on the IUCN's habitat description. Using the IUCN's API [REF] to find life history information for all IUCN-mapped corals, we found that none of the paired-map corals is described as occurring deeper than 200 m; 94% are noted as being limited to 50 m or shallower. We created a 200 m bathymetry raster from Natural Earth's 200 m bathymetry polygon</w:t>
      </w:r>
      <w:r>
        <w:t xml:space="preserve"> </w:t>
      </w:r>
      <w:r>
        <w:t xml:space="preserve">(</w:t>
      </w:r>
      <w:r>
        <w:rPr>
          <w:b/>
        </w:rPr>
        <w:t xml:space="preserve">???</w:t>
      </w:r>
      <w:r>
        <w:t xml:space="preserve">)</w:t>
      </w:r>
      <w:r>
        <w:t xml:space="preserve"> </w:t>
      </w:r>
      <w:r>
        <w:rPr>
          <w:i/>
          <w:b/>
        </w:rPr>
        <w:t xml:space="preserve">(Fig. SXXX)</w:t>
      </w:r>
      <w:r>
        <w:t xml:space="preserve"> </w:t>
      </w:r>
      <w:r>
        <w:t xml:space="preserve">and masked our IUCN coral rasters to exclude presence below 200 m. The resulting maps were again compared to the AquaMaps rasters;</w:t>
      </w:r>
      <w:r>
        <w:t xml:space="preserve"> </w:t>
      </w:r>
      <w:r>
        <w:rPr>
          <w:i/>
          <w:b/>
        </w:rPr>
        <w:t xml:space="preserve">Fig. XXXX</w:t>
      </w:r>
      <w:r>
        <w:t xml:space="preserve"> </w:t>
      </w:r>
      <w:r>
        <w:t xml:space="preserve">plots shifts in coral species alignment due to this depth clipping.</w:t>
      </w:r>
      <w:r>
        <w:t xml:space="preserve"> </w:t>
      </w:r>
      <w:r>
        <w:rPr>
          <w:i/>
          <w:b/>
        </w:rPr>
        <w:t xml:space="preserve">does some of this belong in the results/discussion?</w:t>
      </w:r>
    </w:p>
    <w:p>
      <w:pPr>
        <w:pStyle w:val="BodyText"/>
      </w:pPr>
      <w:r>
        <w:rPr>
          <w:i/>
          <w:b/>
        </w:rPr>
        <w:t xml:space="preserve">To identify data-poor species, we used the robis??? and rgbif??? packages in R to identify known occurrences of each species; occurrences were averaged between the two bases as a proxy for data richness.</w:t>
      </w:r>
    </w:p>
    <w:p>
      <w:pPr>
        <w:pStyle w:val="BodyText"/>
      </w:pPr>
      <w:r>
        <w:rPr>
          <w:b/>
        </w:rPr>
        <w:t xml:space="preserve">Methods for Ocean Health Index (OHI) case study:</w:t>
      </w:r>
      <w:r>
        <w:t xml:space="preserve"> </w:t>
      </w:r>
      <w:r>
        <w:t xml:space="preserve">The Species component of the OHI Biodiversity goal (SPP) uses IUCN Red List extinction risk as a proxy for a species' health. Each species is assigned a risk score based on IUCN Red List extinction risk category, from Least Concern (0.0) to Extinct (1.0) (Data Deficient and unassessed species are excluded). Species range is determined from its IUCN range map, where available, or its AquaMaps range map if an IUCN map is unavailable. For each assessed OHI region, an area-weighted mean extinction risk across all species is calculated, and rescaled to calculate a status score from 0 (mean extinction risk = 0.75) to 100 (mean extinction risk = 0)</w:t>
      </w:r>
      <w:r>
        <w:t xml:space="preserve"> </w:t>
      </w:r>
      <w:r>
        <w:t xml:space="preserve">(Halpern</w:t>
      </w:r>
      <w:r>
        <w:t xml:space="preserve"> </w:t>
      </w:r>
      <w:r>
        <w:rPr>
          <w:i/>
        </w:rPr>
        <w:t xml:space="preserve">et al.</w:t>
      </w:r>
      <w:r>
        <w:t xml:space="preserve"> </w:t>
      </w:r>
      <w:r>
        <w:t xml:space="preserve">2012, 2015)</w:t>
      </w:r>
      <w:r>
        <w:t xml:space="preserve">.</w:t>
      </w:r>
    </w:p>
    <w:p>
      <w:pPr>
        <w:pStyle w:val="BodyText"/>
      </w:pPr>
      <w:r>
        <w:rPr>
          <w:i/>
        </w:rPr>
        <w:t xml:space="preserve">To highlight the differences in the datasets, we recalculated the OHI SPP status values using only one complete dataset at a time. For the AquaMaps dataset, we used a presence threshold of 0% to align with the OHI 2016 assessment.</w:t>
      </w:r>
      <w:r>
        <w:t xml:space="preserve"> </w:t>
      </w:r>
      <w:r>
        <w:rPr>
          <w:i/>
          <w:b/>
        </w:rPr>
        <w:t xml:space="preserve">Fig. 3 compares these single-dataset scores to the 2016 OHI SPP status values.</w:t>
      </w:r>
    </w:p>
    <w:p>
      <w:pPr>
        <w:pStyle w:val="BodyText"/>
      </w:pPr>
      <w:r>
        <w:rPr>
          <w:i/>
        </w:rPr>
        <w:t xml:space="preserve">To highlight the differences in the datasets, we selected the subset of species whose ranges are represented in both datasets, eliminating species found in only one or the other dataset. In the original OHI SPP analysis, IUCN data was used to determine ranges for these overlapping species; we calculated all regional SPP status scores for just these species as our baseline. We then recalculated the scores using AquaMaps ranges at a 40% presence threshold (as used in the original OHI analysis) and a 0% threshold (to better simulate the "limits of distribution" defined by IUCN maps) and compared them to our IUCN baseline.</w:t>
      </w:r>
    </w:p>
    <w:p>
      <w:pPr>
        <w:pStyle w:val="BodyText"/>
      </w:pPr>
      <w:r>
        <w:rPr>
          <w:i/>
        </w:rPr>
        <w:t xml:space="preserve">We then modified the original OHI source code to recalculate the 2015 SPP status scores for all regions and all species to examine the effects of changing the AquaMaps presence threshold from 40% to 0% (all range included), and the effects of changing the data source for the overlapping species from IUCN to AquaMaps. We calculated the differences between these results and the published SPP status scores for 2015.</w:t>
      </w:r>
    </w:p>
    <w:p>
      <w:pPr>
        <w:pStyle w:val="BodyText"/>
      </w:pPr>
      <w:r>
        <w:rPr>
          <w:b/>
        </w:rPr>
        <w:t xml:space="preserve">Methods for MPA Gap Analysis case study:</w:t>
      </w:r>
      <w:r>
        <w:t xml:space="preserve"> </w:t>
      </w:r>
      <w:r>
        <w:t xml:space="preserve">To assess the effectiveness of MPAs in protecting biodiversity, Klein et al.</w:t>
      </w:r>
      <w:r>
        <w:t xml:space="preserve"> </w:t>
      </w:r>
      <w:r>
        <w:t xml:space="preserve">(2015)</w:t>
      </w:r>
      <w:r>
        <w:t xml:space="preserve"> </w:t>
      </w:r>
      <w:r>
        <w:t xml:space="preserve">compared the coverage of the global MPA network presented by the World Database on Protected Areas (WDPA)</w:t>
      </w:r>
      <w:r>
        <w:t xml:space="preserve"> </w:t>
      </w:r>
      <w:r>
        <w:t xml:space="preserve">(IUCN &amp; UNEP-WCMC 2014)</w:t>
      </w:r>
      <w:r>
        <w:t xml:space="preserve"> </w:t>
      </w:r>
      <w:r>
        <w:t xml:space="preserve">to the species ranges described in the 2014 AquaMaps dataset</w:t>
      </w:r>
      <w:r>
        <w:t xml:space="preserve"> </w:t>
      </w:r>
      <w:r>
        <w:t xml:space="preserve">(</w:t>
      </w:r>
      <w:r>
        <w:rPr>
          <w:b/>
        </w:rPr>
        <w:t xml:space="preserve">???</w:t>
      </w:r>
      <w:r>
        <w:t xml:space="preserve">)</w:t>
      </w:r>
      <w:r>
        <w:t xml:space="preserve">. For the primary analysis, the researchers defined species "presence" as 50% or greater probability of occurrence.</w:t>
      </w:r>
    </w:p>
    <w:p>
      <w:pPr>
        <w:pStyle w:val="BodyText"/>
      </w:pPr>
      <w:r>
        <w:t xml:space="preserve">To reconstruct the primary analysis, we selected the subset of protected areas from the 2014 WDPA dataset classified as IUCN protected area management categories I-IV and spatially covering a marine area. The WDPA polygons and marine polygons were rasterized to 0.01° and then aggregated to AquaMaps native 0.5° cells, to calculate proportion of marine protected area within each cell. After verifying our results using the 2014 AquaMaps dataset, we updated the analysis to use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pPr>
        <w:pStyle w:val="BodyText"/>
      </w:pPr>
      <w:r>
        <w:t xml:space="preserve">All processing was completed using R statistical software</w:t>
      </w:r>
      <w:r>
        <w:t xml:space="preserve"> </w:t>
      </w:r>
      <w:r>
        <w:t xml:space="preserve">(R Core Team 2016)</w:t>
      </w:r>
      <w:r>
        <w:t xml:space="preserve">, and all code and intermediate data are available on GitHub at</w:t>
      </w:r>
      <w:r>
        <w:t xml:space="preserve"> </w:t>
      </w:r>
      <w:hyperlink r:id="rId25">
        <w:r>
          <w:rPr>
            <w:rStyle w:val="Hyperlink"/>
          </w:rPr>
          <w:t xml:space="preserve">https://github.com/OHI-Science/IUCN-AquaMaps</w:t>
        </w:r>
      </w:hyperlink>
      <w:r>
        <w:t xml:space="preserve">.</w:t>
      </w:r>
    </w:p>
    <w:p>
      <w:pPr>
        <w:pStyle w:val="Heading1"/>
      </w:pPr>
      <w:bookmarkStart w:id="26" w:name="results-and-discussion"/>
      <w:bookmarkEnd w:id="26"/>
      <w:r>
        <w:t xml:space="preserve">Results and Discussion</w:t>
      </w:r>
    </w:p>
    <w:p>
      <w:pPr>
        <w:pStyle w:val="FirstParagraph"/>
      </w:pPr>
      <w:r>
        <w:t xml:space="preserve">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shift in the IUCN dataset away from the Atlantic and eastern Pacific compared to AquaMaps.</w:t>
      </w:r>
      <w:r>
        <w:t xml:space="preserve"> </w:t>
      </w:r>
      <w:r>
        <w:rPr>
          <w:i/>
          <w:b/>
        </w:rPr>
        <w:t xml:space="preserve">To achieve more comprehensive global coverage of species ranges these two datasets can be used together, but the underlying methodological differences complicate such direct comparisons.</w:t>
      </w:r>
    </w:p>
    <w:p>
      <w:pPr>
        <w:pStyle w:val="BodyText"/>
      </w:pPr>
      <w:r>
        <w:rPr>
          <w:i/>
          <w:b/>
        </w:rPr>
        <w:t xml:space="preserve">Distribution alignment - overlap as proxy for common understanding; these areas are high-confidence areas. Area ratio as proxy for errors of commission/omission. While we cannot know which dataset is closer to the "truth" we can make inferences based on expectations of EOO and AOO maps - is AquaMaps AOO?</w:t>
      </w:r>
    </w:p>
    <w:p>
      <w:pPr>
        <w:pStyle w:val="BodyText"/>
      </w:pPr>
      <w:r>
        <w:rPr>
          <w:i/>
        </w:rPr>
        <w:t xml:space="preserve">Distribution alignment - higher confidence when both datasets predict presence (or absence) in the same area</w:t>
      </w:r>
      <w:r>
        <w:t xml:space="preserve"> </w:t>
      </w:r>
      <w:r>
        <w:rPr>
          <w:i/>
        </w:rPr>
        <w:t xml:space="preserve">Area ratio is defined as the ratio of the smaller range area to the larger range area. This can provide insights into commission and omission errors: a large difference in areas implies a greater number of errors in one or both datasets. While we cannot know which dataset is closer to representing the "truth" of each species' range, we can expect that IUCN (representing EOO) will introduce more commission errors, while AquaMaps (representing AOO) is likely to reduce these at the expense of introducing more omission errors.</w:t>
      </w:r>
    </w:p>
    <w:p>
      <w:pPr>
        <w:pStyle w:val="BodyText"/>
      </w:pPr>
      <w:r>
        <w:rPr>
          <w:i/>
          <w:b/>
        </w:rPr>
        <w:t xml:space="preserve">is this sufficiently described in methods? or revisit here?</w:t>
      </w:r>
      <w:r>
        <w:t xml:space="preserve"> </w:t>
      </w:r>
      <w:r>
        <w:t xml:space="preserve">To explore differences in species distribution and range between the two datasets, we plotted the distribution alignment (how much of the smaller range falls within the larger range, i.e., where on the map) against the area alignment (ratio of smaller range area to larger range area, i.e., how much of the map) for each shared species (Fig. 2A). This analysis revealed a general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pPr>
        <w:pStyle w:val="BodyText"/>
      </w:pPr>
      <w:r>
        <w:t xml:space="preserve">The mean distribution alignment for species included in both datasets was 63%; the mean area alignment was 54.5%. By dividing the map-paired species into quadrants based on these means, we highlight categories of relationships that help further explain this general pattern. Representative maps from each category are provided in the supporting materials (Fig. S1).</w:t>
      </w:r>
    </w:p>
    <w:p>
      <w:pPr>
        <w:pStyle w:val="BodyText"/>
      </w:pPr>
      <w:r>
        <w:t xml:space="preserve">The upper right quadrant includes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pPr>
        <w:pStyle w:val="BodyText"/>
      </w:pPr>
      <w:r>
        <w:t xml:space="preserve">The area-mismatched ranges contained in the upper left quadrant (n = 709) include many species whose spatial distribution is similar, but where the IUCN range is notably larger, often extending into deeper water than the AquaMaps ranges suggest. For example, corals dominate this quadrant (n = 237; 33.4% of all species in this quadrant), and IUCN range maps tend to extend corals into waters beyond their preferred depths, likely introducing errors of commission (Fig. S3).</w:t>
      </w:r>
      <w:r>
        <w:t xml:space="preserve"> </w:t>
      </w:r>
      <w:r>
        <w:rPr>
          <w:i/>
        </w:rPr>
        <w:t xml:space="preserve">Ocean depth preference is explicitly included in AquaMaps models; while depth is recommended by the IUCN as a criterion for range maps, it seems to be overlooked in some cases.</w:t>
      </w:r>
      <w:r>
        <w:t xml:space="preserve"> </w:t>
      </w:r>
      <w:r>
        <w:t xml:space="preserve">Simply clipping IUCN range maps to known depth preferences would resolve many of these commission errors.</w:t>
      </w:r>
    </w:p>
    <w:p>
      <w:pPr>
        <w:pStyle w:val="BodyText"/>
      </w:pPr>
      <w:r>
        <w:t xml:space="preserve">___from IUCN: The limits of distribution can be determined by using known occurrences of the species, along with the knowledge of habitat preferences, remaining suitable habitat, elevation limited, and other expert knowledge of the species and its range.</w:t>
      </w:r>
      <w:r>
        <w:t xml:space="preserve"> </w:t>
      </w:r>
      <w:hyperlink r:id="rId27">
        <w:r>
          <w:rPr>
            <w:rStyle w:val="Hyperlink"/>
          </w:rPr>
          <w:t xml:space="preserve">http://www.iucnredlist.org/technical-documents/red-list-training/iucnspatialresources___</w:t>
        </w:r>
      </w:hyperlink>
    </w:p>
    <w:p>
      <w:pPr>
        <w:pStyle w:val="BodyText"/>
      </w:pPr>
      <w:r>
        <w:rPr>
          <w:i/>
          <w:b/>
        </w:rPr>
        <w:t xml:space="preserve">area ratio suggests similar commission/omission errors, but dist suggests otherwise</w:t>
      </w:r>
      <w:r>
        <w:t xml:space="preserve"> </w:t>
      </w:r>
      <w:r>
        <w:t xml:space="preserve">Species found in the lower right quadrant (n = 635) often represent cases of "two wrongs make a right." For these species, IUCN ranges frequently overextend into unsuitable depths, as in the case of many upper left quadrant species, while at the same time AquaMaps ranges often aggressively extrapolate presence into locations where IUCN predicts absence, likely introducing additional commission errors. Consequently, area ratios are close to 100%, though similar areas are unhelpful when the distributions are poorly aligned.</w:t>
      </w:r>
    </w:p>
    <w:p>
      <w:pPr>
        <w:pStyle w:val="BodyText"/>
      </w:pPr>
      <w:r>
        <w:rPr>
          <w:i/>
        </w:rPr>
        <w:t xml:space="preserve">The most vexing cases are in the lower left quadrant (n = 443), where neither distribution nor area match well.</w:t>
      </w:r>
      <w:r>
        <w:t xml:space="preserve"> </w:t>
      </w:r>
      <w:r>
        <w:rPr>
          <w:i/>
          <w:b/>
        </w:rPr>
        <w:t xml:space="preserve">present a solution here?</w:t>
      </w:r>
      <w:r>
        <w:t xml:space="preserve"> </w:t>
      </w:r>
      <w:r>
        <w:t xml:space="preserve">Data-poor species are more common in this quadrant; indeed, the median number of species occurrence records (averaging occurrences from the Ocean Biogeographic Information System (OBIS)</w:t>
      </w:r>
      <w:r>
        <w:t xml:space="preserve"> </w:t>
      </w:r>
      <w:r>
        <w:t xml:space="preserve">(OBIS 2016)</w:t>
      </w:r>
      <w:r>
        <w:t xml:space="preserve"> </w:t>
      </w:r>
      <w:r>
        <w:t xml:space="preserve">and the Global Biodiversity Information Facility (GBIF)</w:t>
      </w:r>
      <w:r>
        <w:t xml:space="preserve"> </w:t>
      </w:r>
      <w:r>
        <w:t xml:space="preserve">(GBIF 2010)</w:t>
      </w:r>
      <w:r>
        <w:t xml:space="preserve">) for this quadrant is 24 records, compared to a median of 97 records for species across the other three quadrants. When extrapolating from limited observations, the AquaMaps model often predicts species presence well beyond known occurrences, introducing commission errors; at the same time, IUCN range maps generally target known occurrences, possibly introducing omission errors for data-limited species.</w:t>
      </w:r>
    </w:p>
    <w:p>
      <w:pPr>
        <w:pStyle w:val="Heading1"/>
      </w:pPr>
      <w:bookmarkStart w:id="28" w:name="implications"/>
      <w:bookmarkEnd w:id="28"/>
      <w:r>
        <w:t xml:space="preserve">Implications</w:t>
      </w:r>
    </w:p>
    <w:p>
      <w:pPr>
        <w:pStyle w:val="FirstParagraph"/>
      </w:pPr>
      <w:r>
        <w:t xml:space="preserve">Method-driven differences in commission and omission errors produce clear and significant disagreement in species range descriptions between AquaMaps and IUCN datasets.</w:t>
      </w:r>
      <w:r>
        <w:t xml:space="preserve"> </w:t>
      </w:r>
      <w:r>
        <w:rPr>
          <w:i/>
          <w:b/>
        </w:rPr>
        <w:t xml:space="preserve">come back to the idea that neither represents the "truth", and different studies might choose one over the other without recognizing the implications</w:t>
      </w:r>
      <w:r>
        <w:t xml:space="preserve"> </w:t>
      </w:r>
      <w:r>
        <w:t xml:space="preserve">To examine the implications of these differences, we repeated two recent studies, varying only the prioritization of one data set over the other.</w:t>
      </w:r>
    </w:p>
    <w:p>
      <w:pPr>
        <w:pStyle w:val="BodyText"/>
      </w:pPr>
      <w:r>
        <w:rPr>
          <w:b/>
        </w:rPr>
        <w:t xml:space="preserve">Case Study: The Ocean Health Index</w:t>
      </w:r>
    </w:p>
    <w:p>
      <w:pPr>
        <w:pStyle w:val="BodyText"/>
      </w:pPr>
      <w:r>
        <w:t xml:space="preserve">The global Ocean Health Index (OHI)</w:t>
      </w:r>
      <w:r>
        <w:t xml:space="preserve"> </w:t>
      </w:r>
      <w:r>
        <w:t xml:space="preserve">(Halpern</w:t>
      </w:r>
      <w:r>
        <w:t xml:space="preserve"> </w:t>
      </w:r>
      <w:r>
        <w:rPr>
          <w:i/>
        </w:rPr>
        <w:t xml:space="preserve">et al.</w:t>
      </w:r>
      <w:r>
        <w:t xml:space="preserve"> </w:t>
      </w:r>
      <w:r>
        <w:t xml:space="preserve">2012, 2015)</w:t>
      </w:r>
      <w:r>
        <w:t xml:space="preserve">, a composite index comprising ten sustainable benefits provided by a healthy ocean, uses species spatial distribution data and IUCN Red List conservation status to calculate biodiversity status (scored from zero to 100) for each of the world's 221 exclusive economic zones. To maximize the number of represented species, OHI gleans spatial distribution data from Red List-assessed species in both IUCN and AquaMaps datasets (n = 7,963), prioritizing IUCN data for the 2,026 species included in both sources. OHI currently uses a probability of occurrence threshold of 40% to determine species presence for AquaMaps data.</w:t>
      </w:r>
    </w:p>
    <w:p>
      <w:pPr>
        <w:pStyle w:val="BodyText"/>
      </w:pPr>
      <w:r>
        <w:t xml:space="preserve">We calculated the OHI species status score under several scenarios to observe the impact of toggling the prioritized data set from IUCN to AquaMaps, and toggling the AquaMaps presence threshold from 40% to 0% (</w:t>
      </w:r>
      <w:r>
        <w:t xml:space="preserve">Fig. 3</w:t>
      </w:r>
      <w:r>
        <w:t xml:space="preserve">).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pPr>
        <w:pStyle w:val="BodyText"/>
      </w:pPr>
      <w:r>
        <w:t xml:space="preserve">Given that only 25.4% of species are included in both datasets,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different assessment of species conservation status.</w:t>
      </w:r>
    </w:p>
    <w:p>
      <w:pPr>
        <w:pStyle w:val="BodyText"/>
      </w:pPr>
      <w:r>
        <w:rPr>
          <w:b/>
        </w:rPr>
        <w:t xml:space="preserve">Case Study: MPA Gap Analysis</w:t>
      </w:r>
    </w:p>
    <w:p>
      <w:pPr>
        <w:pStyle w:val="BodyText"/>
      </w:pPr>
      <w:r>
        <w:t xml:space="preserve">Klein et al.</w:t>
      </w:r>
      <w:r>
        <w:t xml:space="preserve"> </w:t>
      </w:r>
      <w:r>
        <w:t xml:space="preserve">(2015)</w:t>
      </w:r>
      <w:r>
        <w:t xml:space="preserve"> </w:t>
      </w:r>
      <w:r>
        <w:t xml:space="preserve">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pPr>
        <w:pStyle w:val="BodyText"/>
      </w:pPr>
      <w:r>
        <w:t xml:space="preserve">We recalculated the amount of under-protected and gap species using either IUCN or AquaMaps data (using the most recent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 Conclusions drawn from each of these datasets would paint dramatically different pictures of the protection afforded by our current global MPA network.</w:t>
      </w:r>
    </w:p>
    <w:p>
      <w:pPr>
        <w:pStyle w:val="Heading1"/>
      </w:pPr>
      <w:bookmarkStart w:id="29" w:name="conclusions"/>
      <w:bookmarkEnd w:id="29"/>
      <w:r>
        <w:t xml:space="preserve">Conclusions</w:t>
      </w:r>
    </w:p>
    <w:p>
      <w:pPr>
        <w:pStyle w:val="FirstParagraph"/>
      </w:pPr>
      <w:r>
        <w:t xml:space="preserve">AquaMaps and IUCN range maps show reasonable agreement for many well-studied species, but substantial differences illustrate uncertainty in our understanding of spatial distribution for many others. Although many other approaches exist for species distribution modeling, these two are the only ones applied globally across different marine taxa. Identifying and addressing differences in these datasets will increase their utility for research and conservation actions. Several likely drivers of commission and omission errors between these datasets point to a few important ways to improve range alignment.</w:t>
      </w:r>
    </w:p>
    <w:p>
      <w:pPr>
        <w:pStyle w:val="BodyText"/>
      </w:pPr>
      <w:r>
        <w:t xml:space="preserve">For IUCN range data, clipping ranges to known depth limits improves output for many species, most notably corals and reef-associated fishes. If species' depth limits are not known, simple rules of thumb will likely reduce commission errors without introducing substantial omission errors. For example, for most corals, researchers could clip range maps to the photosynthetic limit of 200 meters. For AquaMaps range data, dependent primarily on environmental and physical preferences and conditions, implementing area restrictions based on biogeographical criteria such as Marine Ecoregions of the World</w:t>
      </w:r>
      <w:r>
        <w:t xml:space="preserve"> </w:t>
      </w:r>
      <w:r>
        <w:t xml:space="preserve">(Spalding</w:t>
      </w:r>
      <w:r>
        <w:t xml:space="preserve"> </w:t>
      </w:r>
      <w:r>
        <w:rPr>
          <w:i/>
        </w:rPr>
        <w:t xml:space="preserve">et al.</w:t>
      </w:r>
      <w:r>
        <w:t xml:space="preserve"> </w:t>
      </w:r>
      <w:r>
        <w:t xml:space="preserve">2007)</w:t>
      </w:r>
      <w:r>
        <w:t xml:space="preserve"> </w:t>
      </w:r>
      <w:r>
        <w:t xml:space="preserve">would likely decrease commission errors and improve predictive power, especially for data-poor species. For either data set, maps based on few occurrences are more likely to include errors of commission and omission. Occurrence counts from external sources such as OBIS or GBIF can help identify relatively data-poor species; additionally, the "occurcells" attribute in the AquaMaps data set, which counts the number of half-degree cells used to generate the environmental envelope for each species, can be used in a similar manner.</w:t>
      </w:r>
    </w:p>
    <w:p>
      <w:pPr>
        <w:pStyle w:val="BodyText"/>
      </w:pPr>
      <w:r>
        <w:t xml:space="preserve">Many studies using AquaMaps data test the sensitivity of results by varying the probability of occurrence threshold to determine presence. This decision ultimately represents a tradeoff between errors of commission (low threshold) and omission (high threshold). Using AquaMaps in conjunction with IUCN can mitigate potential errors, while also increasing the taxonomic and spatial breadth of coverage, as long as the differences between the datasets can be reasonably minimized. In this case, we recommend a presence threshold of 0% as it most closely approximates the "limits of distribution" criterion defined by IUCN data providers.</w:t>
      </w:r>
    </w:p>
    <w:p>
      <w:pPr>
        <w:pStyle w:val="BodyText"/>
      </w:pPr>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30" w:name="acknowledgments"/>
      <w:bookmarkEnd w:id="30"/>
      <w:r>
        <w:t xml:space="preserve">Acknowledgments</w:t>
      </w:r>
    </w:p>
    <w:p>
      <w:pPr>
        <w:pStyle w:val="FirstParagraph"/>
      </w:pPr>
      <w:r>
        <w:t xml:space="preserve">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r>
        <w:pict>
          <v:rect style="width:0;height:1.5pt" o:hralign="center" o:hrstd="t" o:hr="t"/>
        </w:pict>
      </w:r>
    </w:p>
    <w:p>
      <w:pPr>
        <w:pStyle w:val="Heading1"/>
      </w:pPr>
      <w:bookmarkStart w:id="31" w:name="references"/>
      <w:bookmarkEnd w:id="31"/>
      <w:r>
        <w:t xml:space="preserve">References</w:t>
      </w:r>
    </w:p>
    <w:p>
      <w:pPr>
        <w:pStyle w:val="Bibliography"/>
      </w:pPr>
      <w:r>
        <w:t xml:space="preserve">Coll, M., Piroddi, C., Steenbeek, J., Kaschner, K., Ben Rais Lasram, F., Aguzzi, J., Ballesteros, E., Bianchi, C.N., Corbera, J., Dailianis, T., Danovaro, R., Estrada, M., Froglia, C., Galil, B.S., Gasol, J.M., Gertwagen, R., Gil, J., Guilhaumon, F., Kesner-Reyes, K., Kitsos, M.-S., Koukouras, A., Lampadariou, N., Laxamana, E., López-Fé de la Cuadra, C.M., Lotze, H.K., Martin, D., Mouillot, D., Oro, D., Raicevich, S., Rius-Barile, J., Saiz-Salinas, J.I., San Vicente, C., Somot, S., Templado, J., Turon, X., Vafidis, D., Villanueva, R. &amp; Voultsiadou, E. (2010) The biodiversity of the mediterranean sea: Estimates, patterns, and threats ed S.J. Bograd.</w:t>
      </w:r>
      <w:r>
        <w:t xml:space="preserve"> </w:t>
      </w:r>
      <w:r>
        <w:rPr>
          <w:i/>
        </w:rPr>
        <w:t xml:space="preserve">PLoS ONE</w:t>
      </w:r>
      <w:r>
        <w:t xml:space="preserve">,</w:t>
      </w:r>
      <w:r>
        <w:t xml:space="preserve"> </w:t>
      </w:r>
      <w:r>
        <w:rPr>
          <w:b/>
        </w:rPr>
        <w:t xml:space="preserve">5</w:t>
      </w:r>
      <w:r>
        <w:t xml:space="preserve">, e11842.</w:t>
      </w:r>
    </w:p>
    <w:p>
      <w:pPr>
        <w:pStyle w:val="Bibliography"/>
      </w:pPr>
      <w:r>
        <w:t xml:space="preserve">García Molinos, J., Halpern, B.S., Schoeman, D.S., Brown, C.J., Kiessling, W., Moore, P.J., Pandolfi, J.M., Poloczanska, E.S., Richardson, A.J. &amp; Burrows, M.T. (2015) Climate velocity and the future global redistribution of marine biodiversity.</w:t>
      </w:r>
      <w:r>
        <w:t xml:space="preserve"> </w:t>
      </w:r>
      <w:r>
        <w:rPr>
          <w:i/>
        </w:rPr>
        <w:t xml:space="preserve">Nature Climate Change</w:t>
      </w:r>
      <w:r>
        <w:t xml:space="preserve">,</w:t>
      </w:r>
      <w:r>
        <w:t xml:space="preserve"> </w:t>
      </w:r>
      <w:r>
        <w:rPr>
          <w:b/>
        </w:rPr>
        <w:t xml:space="preserve">6</w:t>
      </w:r>
      <w:r>
        <w:t xml:space="preserve">, 83–88.</w:t>
      </w:r>
    </w:p>
    <w:p>
      <w:pPr>
        <w:pStyle w:val="Bibliography"/>
      </w:pPr>
      <w:r>
        <w:t xml:space="preserve">GBIF. (2010) Global biodiversity information facility (GBIF) memorandum of understanding. Global biodiversity information facility,</w:t>
      </w:r>
      <w:r>
        <w:t xml:space="preserve"> </w:t>
      </w:r>
      <w:hyperlink r:id="rId32">
        <w:r>
          <w:rPr>
            <w:rStyle w:val="Hyperlink"/>
          </w:rPr>
          <w:t xml:space="preserve">http://www.gbif.org/resource/80661</w:t>
        </w:r>
      </w:hyperlink>
    </w:p>
    <w:p>
      <w:pPr>
        <w:pStyle w:val="Bibliography"/>
      </w:pPr>
      <w:r>
        <w:t xml:space="preserve">Halpern, B.S., Longo, C., Hardy, D., McLeod, K.L., Samhouri, J.F., Katona, S.K., Kleisner, K., Lester, S.E., O’Leary, J., Ranelletti, M., Rosenberg, A.A., Scarborough, C., Selig, E.R., Best, B.D., Brumbaugh, D.R., Chapin, F.S., Crowder, L.B., Daly, K.L., Doney, S.C., Elfes, C., Fogarty, M.J., Gaines, S.D., Jacobsen, K.I., Karrer, L.B., Leslie, H.M., Neeley, E., Pauly, D., Polasky, S., Ris, B., St Martin, K., Stone, G.S., Sumaila, U.R. &amp; Zeller, D. (2012) An index to assess the health and benefits of the global ocean.</w:t>
      </w:r>
      <w:r>
        <w:t xml:space="preserve"> </w:t>
      </w:r>
      <w:r>
        <w:rPr>
          <w:i/>
        </w:rPr>
        <w:t xml:space="preserve">Nature</w:t>
      </w:r>
      <w:r>
        <w:t xml:space="preserve">,</w:t>
      </w:r>
      <w:r>
        <w:t xml:space="preserve"> </w:t>
      </w:r>
      <w:r>
        <w:rPr>
          <w:b/>
        </w:rPr>
        <w:t xml:space="preserve">488</w:t>
      </w:r>
      <w:r>
        <w:t xml:space="preserve">, 615–620.</w:t>
      </w:r>
    </w:p>
    <w:p>
      <w:pPr>
        <w:pStyle w:val="Bibliography"/>
      </w:pPr>
      <w:r>
        <w:t xml:space="preserve">Halpern, B.S., Longo, C., Lowndes, J.S.S., Best, B.D., Frazier, M., Katona, S.K., Kleisner, K.M., Rosenberg, A.A., Scarborough, C. &amp; Selig, E.R. (2015) Patterns and emerging trends in global ocean health ed A.C. Tsikliras.</w:t>
      </w:r>
      <w:r>
        <w:t xml:space="preserve"> </w:t>
      </w:r>
      <w:r>
        <w:rPr>
          <w:i/>
        </w:rPr>
        <w:t xml:space="preserve">PLOS ONE</w:t>
      </w:r>
      <w:r>
        <w:t xml:space="preserve">,</w:t>
      </w:r>
      <w:r>
        <w:t xml:space="preserve"> </w:t>
      </w:r>
      <w:r>
        <w:rPr>
          <w:b/>
        </w:rPr>
        <w:t xml:space="preserve">10</w:t>
      </w:r>
      <w:r>
        <w:t xml:space="preserve">, e0117863.</w:t>
      </w:r>
    </w:p>
    <w:p>
      <w:pPr>
        <w:pStyle w:val="Bibliography"/>
      </w:pPr>
      <w:r>
        <w:t xml:space="preserve">IUCN. (2015) The IUCN red list of threatened species. International union for the conservation of nature,</w:t>
      </w:r>
      <w:r>
        <w:t xml:space="preserve"> </w:t>
      </w:r>
      <w:hyperlink r:id="rId33">
        <w:r>
          <w:rPr>
            <w:rStyle w:val="Hyperlink"/>
          </w:rPr>
          <w:t xml:space="preserve">http://www.iucnredlist.org</w:t>
        </w:r>
      </w:hyperlink>
    </w:p>
    <w:p>
      <w:pPr>
        <w:pStyle w:val="Bibliography"/>
      </w:pPr>
      <w:r>
        <w:t xml:space="preserve">IUCN &amp; UNEP-WCMC. (2014) The world database on protected areas (WDPA). Cambridge, UK: UNEP-WCMC,</w:t>
      </w:r>
      <w:r>
        <w:t xml:space="preserve"> </w:t>
      </w:r>
      <w:hyperlink r:id="rId34">
        <w:r>
          <w:rPr>
            <w:rStyle w:val="Hyperlink"/>
          </w:rPr>
          <w:t xml:space="preserve">www.protectedplanet.net</w:t>
        </w:r>
      </w:hyperlink>
    </w:p>
    <w:p>
      <w:pPr>
        <w:pStyle w:val="Bibliography"/>
      </w:pPr>
      <w:r>
        <w:t xml:space="preserve">Jetz, W., Sekercioglu, C.H. &amp; Watson, J.E.M. (2008) Ecological correlates and conservation implications of overestimating species geographic ranges:</w:t>
      </w:r>
      <w:r>
        <w:t xml:space="preserve"> </w:t>
      </w:r>
      <w:r>
        <w:rPr>
          <w:i/>
        </w:rPr>
        <w:t xml:space="preserve">Overestimation of species ranges</w:t>
      </w:r>
      <w:r>
        <w:t xml:space="preserve">.</w:t>
      </w:r>
      <w:r>
        <w:t xml:space="preserve"> </w:t>
      </w:r>
      <w:r>
        <w:rPr>
          <w:i/>
        </w:rPr>
        <w:t xml:space="preserve">Conservation Biology</w:t>
      </w:r>
      <w:r>
        <w:t xml:space="preserve">,</w:t>
      </w:r>
      <w:r>
        <w:t xml:space="preserve"> </w:t>
      </w:r>
      <w:r>
        <w:rPr>
          <w:b/>
        </w:rPr>
        <w:t xml:space="preserve">22</w:t>
      </w:r>
      <w:r>
        <w:t xml:space="preserve">, 110–119.</w:t>
      </w:r>
    </w:p>
    <w:p>
      <w:pPr>
        <w:pStyle w:val="Bibliography"/>
      </w:pPr>
      <w:r>
        <w:t xml:space="preserve">Kaschner, K., Rius-Barile, J., Kesner-Reyes, K., Garilao, C., Kullander, S., Rees, T. &amp; Froese, R. (2015) AquaMaps: Predicted range maps for aquatic species,</w:t>
      </w:r>
      <w:r>
        <w:t xml:space="preserve"> </w:t>
      </w:r>
      <w:hyperlink r:id="rId35">
        <w:r>
          <w:rPr>
            <w:rStyle w:val="Hyperlink"/>
          </w:rPr>
          <w:t xml:space="preserve">www.aquamaps.org</w:t>
        </w:r>
      </w:hyperlink>
    </w:p>
    <w:p>
      <w:pPr>
        <w:pStyle w:val="Bibliography"/>
      </w:pPr>
      <w:r>
        <w:t xml:space="preserve">Kaschner, K., Tittensor, D.P., Ready, J., Gerrodette, T. &amp; Worm, B. (2011) Current and future patterns of global marine mammal biodiversity ed S.J. Bograd.</w:t>
      </w:r>
      <w:r>
        <w:t xml:space="preserve"> </w:t>
      </w:r>
      <w:r>
        <w:rPr>
          <w:i/>
        </w:rPr>
        <w:t xml:space="preserve">PLoS ONE</w:t>
      </w:r>
      <w:r>
        <w:t xml:space="preserve">,</w:t>
      </w:r>
      <w:r>
        <w:t xml:space="preserve"> </w:t>
      </w:r>
      <w:r>
        <w:rPr>
          <w:b/>
        </w:rPr>
        <w:t xml:space="preserve">6</w:t>
      </w:r>
      <w:r>
        <w:t xml:space="preserve">, e19653.</w:t>
      </w:r>
    </w:p>
    <w:p>
      <w:pPr>
        <w:pStyle w:val="Bibliography"/>
      </w:pPr>
      <w:r>
        <w:t xml:space="preserve">Kaschner, K., Watson, R., Trites, A.W., Pauly, D. &amp; others. (2006) Mapping world-wide distributions of marine mammal species using a relative environmental suitability (RES) model.</w:t>
      </w:r>
      <w:r>
        <w:t xml:space="preserve"> </w:t>
      </w:r>
      <w:r>
        <w:rPr>
          <w:i/>
        </w:rPr>
        <w:t xml:space="preserve">Marine Ecology Progress Series</w:t>
      </w:r>
      <w:r>
        <w:t xml:space="preserve">,</w:t>
      </w:r>
      <w:r>
        <w:t xml:space="preserve"> </w:t>
      </w:r>
      <w:r>
        <w:rPr>
          <w:b/>
        </w:rPr>
        <w:t xml:space="preserve">316</w:t>
      </w:r>
      <w:r>
        <w:t xml:space="preserve">, 2–3.</w:t>
      </w:r>
    </w:p>
    <w:p>
      <w:pPr>
        <w:pStyle w:val="Bibliography"/>
      </w:pPr>
      <w:r>
        <w:t xml:space="preserve">Klein, C.J., Brown, C.J., Halpern, B.S., Segan, D.B., McGowan, J., Beger, M. &amp; Watson, J.E. (2015) Shortfalls in the global protected area network at representing marine biodiversity.</w:t>
      </w:r>
      <w:r>
        <w:t xml:space="preserve"> </w:t>
      </w:r>
      <w:r>
        <w:rPr>
          <w:i/>
        </w:rPr>
        <w:t xml:space="preserve">Scientific Reports</w:t>
      </w:r>
      <w:r>
        <w:t xml:space="preserve">,</w:t>
      </w:r>
      <w:r>
        <w:t xml:space="preserve"> </w:t>
      </w:r>
      <w:r>
        <w:rPr>
          <w:b/>
        </w:rPr>
        <w:t xml:space="preserve">5</w:t>
      </w:r>
      <w:r>
        <w:t xml:space="preserve">, 17539.</w:t>
      </w:r>
    </w:p>
    <w:p>
      <w:pPr>
        <w:pStyle w:val="Bibliography"/>
      </w:pPr>
      <w:r>
        <w:t xml:space="preserve">Martin, C., Fletcher, R., Jones, M., Kaschner, K., Sullivan, E., Tittensor, D.P., Mcowen, C., Geffert, J., Bochove, J. van, Thomas, H., Blyth, S., Ravilious, C., Tolley, M. &amp; Stanwell-Smith, D. (2014)</w:t>
      </w:r>
      <w:r>
        <w:t xml:space="preserve"> </w:t>
      </w:r>
      <w:r>
        <w:rPr>
          <w:i/>
        </w:rPr>
        <w:t xml:space="preserve">Manual of Marine and Coastal Datasets of Biodiversity Importance</w:t>
      </w:r>
      <w:r>
        <w:t xml:space="preserve">. United Nations Environment Programme.</w:t>
      </w:r>
    </w:p>
    <w:p>
      <w:pPr>
        <w:pStyle w:val="Bibliography"/>
      </w:pPr>
      <w:r>
        <w:t xml:space="preserve">OBIS. (2016) Data from the ocean biogeographic information system. Intergovernmental oceanographic commission of UNESCO,</w:t>
      </w:r>
      <w:r>
        <w:t xml:space="preserve"> </w:t>
      </w:r>
      <w:hyperlink r:id="rId36">
        <w:r>
          <w:rPr>
            <w:rStyle w:val="Hyperlink"/>
          </w:rPr>
          <w:t xml:space="preserve">http://www.iobis.org</w:t>
        </w:r>
      </w:hyperlink>
    </w:p>
    <w:p>
      <w:pPr>
        <w:pStyle w:val="Bibliography"/>
      </w:pPr>
      <w:r>
        <w:t xml:space="preserve">Pimm, S.L., Jenkins, C.N., Abell, R., Brooks, T.M., Gittleman, J.L., Joppa, L.N., Raven, P.H., Roberts, C.M. &amp; Sexton, J.O. (2014) The biodiversity of species and their rates of extinction, distribution, and protection.</w:t>
      </w:r>
      <w:r>
        <w:t xml:space="preserve"> </w:t>
      </w:r>
      <w:r>
        <w:rPr>
          <w:i/>
        </w:rPr>
        <w:t xml:space="preserve">Science</w:t>
      </w:r>
      <w:r>
        <w:t xml:space="preserve">,</w:t>
      </w:r>
      <w:r>
        <w:t xml:space="preserve"> </w:t>
      </w:r>
      <w:r>
        <w:rPr>
          <w:b/>
        </w:rPr>
        <w:t xml:space="preserve">344</w:t>
      </w:r>
      <w:r>
        <w:t xml:space="preserve">, 1246752–1–1246752–10.</w:t>
      </w:r>
    </w:p>
    <w:p>
      <w:pPr>
        <w:pStyle w:val="Bibliography"/>
      </w:pPr>
      <w:r>
        <w:t xml:space="preserve">R Core Team. (2016)</w:t>
      </w:r>
      <w:r>
        <w:t xml:space="preserve"> </w:t>
      </w:r>
      <w:r>
        <w:rPr>
          <w:i/>
        </w:rPr>
        <w:t xml:space="preserve">R: A Language and Environment for Statistical Computing</w:t>
      </w:r>
      <w:r>
        <w:t xml:space="preserve">. R Foundation for Statistical Computing, Vienna, Austria.</w:t>
      </w:r>
    </w:p>
    <w:p>
      <w:pPr>
        <w:pStyle w:val="Bibliography"/>
      </w:pPr>
      <w:r>
        <w:t xml:space="preserve">Ready, J., Kaschner, K., South, A.B., Eastwood, P.D., Rees, T., Rius, J., Agbayani, E., Kullander, S. &amp; Froese, R. (2010) Predicting the distributions of marine organisms at the global scale.</w:t>
      </w:r>
      <w:r>
        <w:t xml:space="preserve"> </w:t>
      </w:r>
      <w:r>
        <w:rPr>
          <w:i/>
        </w:rPr>
        <w:t xml:space="preserve">Ecological Modelling</w:t>
      </w:r>
      <w:r>
        <w:t xml:space="preserve">,</w:t>
      </w:r>
      <w:r>
        <w:t xml:space="preserve"> </w:t>
      </w:r>
      <w:r>
        <w:rPr>
          <w:b/>
        </w:rPr>
        <w:t xml:space="preserve">221</w:t>
      </w:r>
      <w:r>
        <w:t xml:space="preserve">, 467–478.</w:t>
      </w:r>
    </w:p>
    <w:p>
      <w:pPr>
        <w:pStyle w:val="Bibliography"/>
      </w:pPr>
      <w:r>
        <w:t xml:space="preserve">Rondinini, C., Wilson, K.A., Boitani, L., Grantham, H. &amp; Possingham, H.P. (2006) Tradeoffs of different types of species occurrence data for use in systematic conservation planning: Species data for conservation planning.</w:t>
      </w:r>
      <w:r>
        <w:t xml:space="preserve"> </w:t>
      </w:r>
      <w:r>
        <w:rPr>
          <w:i/>
        </w:rPr>
        <w:t xml:space="preserve">Ecology Letters</w:t>
      </w:r>
      <w:r>
        <w:t xml:space="preserve">,</w:t>
      </w:r>
      <w:r>
        <w:t xml:space="preserve"> </w:t>
      </w:r>
      <w:r>
        <w:rPr>
          <w:b/>
        </w:rPr>
        <w:t xml:space="preserve">9</w:t>
      </w:r>
      <w:r>
        <w:t xml:space="preserve">, 1136–1145.</w:t>
      </w:r>
    </w:p>
    <w:p>
      <w:pPr>
        <w:pStyle w:val="Bibliography"/>
      </w:pPr>
      <w:r>
        <w:t xml:space="preserve">Selig, E.R., Longo, C., Halpern, B.S., Best, B.D., Hardy, D., Elfes, C.T., Scarborough, C., Kleisner, K.M. &amp; Katona, S.K. (2013) Assessing global marine biodiversity status within a coupled socio-ecological perspective ed F. Guichard.</w:t>
      </w:r>
      <w:r>
        <w:t xml:space="preserve"> </w:t>
      </w:r>
      <w:r>
        <w:rPr>
          <w:i/>
        </w:rPr>
        <w:t xml:space="preserve">PLoS ONE</w:t>
      </w:r>
      <w:r>
        <w:t xml:space="preserve">,</w:t>
      </w:r>
      <w:r>
        <w:t xml:space="preserve"> </w:t>
      </w:r>
      <w:r>
        <w:rPr>
          <w:b/>
        </w:rPr>
        <w:t xml:space="preserve">8</w:t>
      </w:r>
      <w:r>
        <w:t xml:space="preserve">, e60284.</w:t>
      </w:r>
    </w:p>
    <w:p>
      <w:pPr>
        <w:pStyle w:val="Bibliography"/>
      </w:pPr>
      <w:r>
        <w:t xml:space="preserve">Spalding, M.D., Fox, H.E., Allen, G.R., Davidson, N., Ferdaña, Z.A., Finlayson, M.A.X., Halpern, B.S., Jorge, M.A., Lombana, A.L., Lourie, S.A. &amp; others. (2007) Marine ecoregions of the world: A bioregionalization of coastal and shelf areas.</w:t>
      </w:r>
      <w:r>
        <w:t xml:space="preserve"> </w:t>
      </w:r>
      <w:r>
        <w:rPr>
          <w:i/>
        </w:rPr>
        <w:t xml:space="preserve">BioScience</w:t>
      </w:r>
      <w:r>
        <w:t xml:space="preserve">,</w:t>
      </w:r>
      <w:r>
        <w:t xml:space="preserve"> </w:t>
      </w:r>
      <w:r>
        <w:rPr>
          <w:b/>
        </w:rPr>
        <w:t xml:space="preserve">57</w:t>
      </w:r>
      <w:r>
        <w:t xml:space="preserve">, 573–583.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afbb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eca9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www.gbif.org/resource/80661" TargetMode="External" /><Relationship Type="http://schemas.openxmlformats.org/officeDocument/2006/relationships/hyperlink" Id="rId36" Target="http://www.iobis.org" TargetMode="External" /><Relationship Type="http://schemas.openxmlformats.org/officeDocument/2006/relationships/hyperlink" Id="rId33" Target="http://www.iucnredlist.org" TargetMode="External" /><Relationship Type="http://schemas.openxmlformats.org/officeDocument/2006/relationships/hyperlink" Id="rId27" Target="http://www.iucnredlist.org/technical-documents/red-list-training/iucnspatialresources___" TargetMode="External" /><Relationship Type="http://schemas.openxmlformats.org/officeDocument/2006/relationships/hyperlink" Id="rId25"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35" Target="www.aquamaps.org" TargetMode="External" /><Relationship Type="http://schemas.openxmlformats.org/officeDocument/2006/relationships/hyperlink" Id="rId34" Target="www.protectedplanet.net" TargetMode="External" /></Relationships>
</file>

<file path=word/_rels/footnotes.xml.rels><?xml version="1.0" encoding="UTF-8"?>
<Relationships xmlns="http://schemas.openxmlformats.org/package/2006/relationships"><Relationship Type="http://schemas.openxmlformats.org/officeDocument/2006/relationships/hyperlink" Id="rId32" Target="http://www.gbif.org/resource/80661" TargetMode="External" /><Relationship Type="http://schemas.openxmlformats.org/officeDocument/2006/relationships/hyperlink" Id="rId36" Target="http://www.iobis.org" TargetMode="External" /><Relationship Type="http://schemas.openxmlformats.org/officeDocument/2006/relationships/hyperlink" Id="rId33" Target="http://www.iucnredlist.org" TargetMode="External" /><Relationship Type="http://schemas.openxmlformats.org/officeDocument/2006/relationships/hyperlink" Id="rId27" Target="http://www.iucnredlist.org/technical-documents/red-list-training/iucnspatialresources___" TargetMode="External" /><Relationship Type="http://schemas.openxmlformats.org/officeDocument/2006/relationships/hyperlink" Id="rId25"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35" Target="www.aquamaps.org" TargetMode="External" /><Relationship Type="http://schemas.openxmlformats.org/officeDocument/2006/relationships/hyperlink" Id="rId34" Target="www.protectedplane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coreProperties>
</file>