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36.png" ContentType="image/png"/>
  <Override PartName="/word/media/rId34.png" ContentType="image/png"/>
  <Override PartName="/word/media/rId35.png" ContentType="image/png"/>
  <Override PartName="/word/media/rId33.png" ContentType="image/png"/>
  <Override PartName="/word/media/rId58.png" ContentType="image/png"/>
  <Override PartName="/word/media/rId41.png" ContentType="image/png"/>
  <Override PartName="/word/media/rId37.png" ContentType="image/png"/>
  <Override PartName="/word/media/rId59.png" ContentType="image/png"/>
  <Override PartName="/word/media/rId39.png" ContentType="image/png"/>
  <Override PartName="/word/media/rId62.png" ContentType="image/png"/>
  <Override PartName="/word/media/rId61.jpg" ContentType="image/jpe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Link"/>
          </w:rPr>
          <w:t xml:space="preserve">ohara@nceas.ucsb.edu</w:t>
        </w:r>
      </w:hyperlink>
    </w:p>
    <w:p>
      <w:r>
        <w:rPr>
          <w:i/>
        </w:rPr>
        <w:t xml:space="preserve">Classification:</w:t>
      </w:r>
      <w:r>
        <w:t xml:space="preserve"> </w:t>
      </w:r>
      <w:r>
        <w:t xml:space="preserve">BIOLOGICAL SCIENCES: Ecology? Environmental Sciences? Sustainability Science?</w:t>
      </w:r>
    </w:p>
    <w:p>
      <w:r>
        <w:rPr>
          <w:i/>
        </w:rPr>
        <w:t xml:space="preserve">Keywords:</w:t>
      </w:r>
      <w:r>
        <w:t xml:space="preserve"> </w:t>
      </w:r>
      <w:r>
        <w:t xml:space="preserve"> </w:t>
      </w:r>
      <w:r>
        <w:t xml:space="preserve">TBD</w: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produced by AquaMaps and the International Union for Conservation of Nature (IUCN), dominate our understanding of marine species ranges throughout the world's oceans. Together they represent 28,847 species, mostly from AquaMaps, with only 2,046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global biodiversity and effectiveness of conservation depending on which dataset was used.</w:t>
      </w:r>
      <w:r>
        <w:t xml:space="preserve"> </w:t>
      </w:r>
      <w:r>
        <w:rPr>
          <w:i/>
          <w:b/>
        </w:rPr>
        <w:t xml:space="preserve">Creating a single, highly accurate dataset of global marine species ranges will be difficult. Understanding the implications of dataset differences for conservation planning and decision-making is essential.</w:t>
      </w:r>
      <w:r>
        <w:t xml:space="preserve"> </w:t>
      </w:r>
    </w:p>
    <w:p>
      <w:r>
        <w:t xml:space="preserve">(223 words; 1593 char with spaces)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tbl>
      <w:tblPr>
        <w:tblStyle w:val="TableNormal"/>
        <w:tblW w:type="pct" w:w="0.0"/>
      </w:tblPr>
      <w:tblGrid/>
      <w:tr>
        <w:tc>
          <w:tcPr>
            <w:tcBorders>
              <w:bottom w:val="single"/>
            </w:tcBorders>
            <w:vAlign w:val="bottom"/>
          </w:tcPr>
          <w:p>
            <w:pPr>
              <w:pStyle w:val="Compact"/>
              <w:jc w:val="left"/>
            </w:pPr>
            <w:r>
              <w:t xml:space="preserve">Section</w:t>
            </w:r>
          </w:p>
        </w:tc>
        <w:tc>
          <w:tcPr>
            <w:tcBorders>
              <w:bottom w:val="single"/>
            </w:tcBorders>
            <w:vAlign w:val="bottom"/>
          </w:tcPr>
          <w:p>
            <w:pPr>
              <w:pStyle w:val="Compact"/>
              <w:jc w:val="right"/>
            </w:pPr>
            <w:r>
              <w:t xml:space="preserve">Word #</w:t>
            </w:r>
          </w:p>
        </w:tc>
        <w:tc>
          <w:tcPr>
            <w:tcBorders>
              <w:bottom w:val="single"/>
            </w:tcBorders>
            <w:vAlign w:val="bottom"/>
          </w:tcPr>
          <w:p>
            <w:pPr>
              <w:pStyle w:val="Compact"/>
              <w:jc w:val="right"/>
            </w:pPr>
            <w:r>
              <w:t xml:space="preserve">Char # (w/spc)</w:t>
            </w:r>
          </w:p>
        </w:tc>
      </w:tr>
      <w:tr>
        <w:tc>
          <w:p>
            <w:pPr>
              <w:pStyle w:val="Compact"/>
              <w:jc w:val="left"/>
            </w:pPr>
            <w:r>
              <w:t xml:space="preserve">Introduction</w:t>
            </w:r>
          </w:p>
        </w:tc>
        <w:tc>
          <w:p>
            <w:pPr>
              <w:pStyle w:val="Compact"/>
              <w:jc w:val="right"/>
            </w:pPr>
            <w:r>
              <w:t xml:space="preserve">512 words</w:t>
            </w:r>
          </w:p>
        </w:tc>
        <w:tc>
          <w:p>
            <w:pPr>
              <w:pStyle w:val="Compact"/>
              <w:jc w:val="right"/>
            </w:pPr>
            <w:r>
              <w:t xml:space="preserve">3411 char</w:t>
            </w:r>
          </w:p>
        </w:tc>
      </w:tr>
      <w:tr>
        <w:tc>
          <w:p>
            <w:pPr>
              <w:pStyle w:val="Compact"/>
              <w:jc w:val="left"/>
            </w:pPr>
            <w:r>
              <w:t xml:space="preserve">Results/Discussion</w:t>
            </w:r>
          </w:p>
        </w:tc>
        <w:tc>
          <w:p>
            <w:pPr>
              <w:pStyle w:val="Compact"/>
              <w:jc w:val="right"/>
            </w:pPr>
            <w:r>
              <w:t xml:space="preserve">802 words</w:t>
            </w:r>
          </w:p>
        </w:tc>
        <w:tc>
          <w:p>
            <w:pPr>
              <w:pStyle w:val="Compact"/>
              <w:jc w:val="right"/>
            </w:pPr>
            <w:r>
              <w:t xml:space="preserve">5410 char</w:t>
            </w:r>
          </w:p>
        </w:tc>
      </w:tr>
      <w:tr>
        <w:tc>
          <w:p>
            <w:pPr>
              <w:pStyle w:val="Compact"/>
              <w:jc w:val="left"/>
            </w:pPr>
            <w:r>
              <w:t xml:space="preserve">Implications (incomplete)</w:t>
            </w:r>
          </w:p>
        </w:tc>
        <w:tc>
          <w:p>
            <w:pPr>
              <w:pStyle w:val="Compact"/>
              <w:jc w:val="right"/>
            </w:pPr>
            <w:r>
              <w:t xml:space="preserve">532 words</w:t>
            </w:r>
          </w:p>
        </w:tc>
        <w:tc>
          <w:p>
            <w:pPr>
              <w:pStyle w:val="Compact"/>
              <w:jc w:val="right"/>
            </w:pPr>
            <w:r>
              <w:t xml:space="preserve">3334 char</w:t>
            </w:r>
          </w:p>
        </w:tc>
      </w:tr>
      <w:tr>
        <w:tc>
          <w:p>
            <w:pPr>
              <w:pStyle w:val="Compact"/>
              <w:jc w:val="left"/>
            </w:pPr>
            <w:r>
              <w:t xml:space="preserve">Conclusions</w:t>
            </w:r>
          </w:p>
        </w:tc>
        <w:tc>
          <w:p>
            <w:pPr>
              <w:pStyle w:val="Compact"/>
              <w:jc w:val="right"/>
            </w:pPr>
            <w:r>
              <w:t xml:space="preserve">390 words</w:t>
            </w:r>
          </w:p>
        </w:tc>
        <w:tc>
          <w:p>
            <w:pPr>
              <w:pStyle w:val="Compact"/>
              <w:jc w:val="right"/>
            </w:pPr>
            <w:r>
              <w:t xml:space="preserve">2813 char</w:t>
            </w:r>
          </w:p>
        </w:tc>
      </w:tr>
      <w:tr>
        <w:tc>
          <w:p>
            <w:pPr>
              <w:pStyle w:val="Compact"/>
              <w:jc w:val="left"/>
            </w:pPr>
            <w:r>
              <w:t xml:space="preserve">Methods (incomplete)</w:t>
            </w:r>
          </w:p>
        </w:tc>
        <w:tc>
          <w:p>
            <w:pPr>
              <w:pStyle w:val="Compact"/>
              <w:jc w:val="right"/>
            </w:pPr>
            <w:r>
              <w:t xml:space="preserve">612 words</w:t>
            </w:r>
          </w:p>
        </w:tc>
        <w:tc>
          <w:p>
            <w:pPr>
              <w:pStyle w:val="Compact"/>
              <w:jc w:val="right"/>
            </w:pPr>
            <w:r>
              <w:t xml:space="preserve">3889 char</w:t>
            </w:r>
          </w:p>
        </w:tc>
      </w:tr>
      <w:tr>
        <w:tc>
          <w:p>
            <w:pPr>
              <w:pStyle w:val="Compact"/>
              <w:jc w:val="left"/>
            </w:pPr>
            <w:r>
              <w:t xml:space="preserve">total body</w:t>
            </w:r>
          </w:p>
        </w:tc>
        <w:tc>
          <w:p>
            <w:pPr>
              <w:pStyle w:val="Compact"/>
              <w:jc w:val="right"/>
            </w:pPr>
            <w:r>
              <w:t xml:space="preserve">2848 words</w:t>
            </w:r>
          </w:p>
        </w:tc>
        <w:tc>
          <w:p>
            <w:pPr>
              <w:pStyle w:val="Compact"/>
              <w:jc w:val="right"/>
            </w:pPr>
            <w:r>
              <w:t xml:space="preserve">18857 char</w:t>
            </w:r>
          </w:p>
        </w:tc>
      </w:tr>
    </w:tbl>
    <w:p>
      <w:pPr>
        <w:pStyle w:val="Heading1"/>
      </w:pPr>
      <w:bookmarkStart w:id="24" w:name="introduction"/>
      <w:bookmarkEnd w:id="24"/>
      <w:r>
        <w:t xml:space="preserve">Introduction</w:t>
      </w:r>
    </w:p>
    <w:p>
      <w:r>
        <w:t xml:space="preserve">Knowing where individuals of a species live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(Kaschner et al. 2013) and International Union for Conservation of Nature (IUCN) (REF). These two spatial datasets have been used for a wide range of purposes, including assessing marine species status (Halpern et al. 2012, 2015</w:t>
      </w:r>
      <w:r>
        <w:t xml:space="preserve"> </w:t>
      </w:r>
      <w:r>
        <w:rPr>
          <w:i/>
        </w:rPr>
        <w:t xml:space="preserve">both</w:t>
      </w:r>
      <w:r>
        <w:t xml:space="preserve">; Selig et al. 2013</w:t>
      </w:r>
      <w:r>
        <w:t xml:space="preserve"> </w:t>
      </w:r>
      <w:r>
        <w:rPr>
          <w:i/>
        </w:rPr>
        <w:t xml:space="preserve">both</w:t>
      </w:r>
      <w:r>
        <w:t xml:space="preserve">), evaluating global biodiversity patterns (Coll et al. 2010</w:t>
      </w:r>
      <w:r>
        <w:t xml:space="preserve"> </w:t>
      </w:r>
      <w:r>
        <w:rPr>
          <w:i/>
        </w:rPr>
        <w:t xml:space="preserve">AM</w:t>
      </w:r>
      <w:r>
        <w:t xml:space="preserve">; Martin et al. 2014</w:t>
      </w:r>
      <w:r>
        <w:t xml:space="preserve"> </w:t>
      </w:r>
      <w:r>
        <w:rPr>
          <w:i/>
        </w:rPr>
        <w:t xml:space="preserve">both and others</w:t>
      </w:r>
      <w:r>
        <w:t xml:space="preserve">, Pimm 2014</w:t>
      </w:r>
      <w:r>
        <w:t xml:space="preserve"> </w:t>
      </w:r>
      <w:r>
        <w:rPr>
          <w:i/>
        </w:rPr>
        <w:t xml:space="preserve">IUCN, mostly focusing on terrestrial but some marine</w:t>
      </w:r>
      <w:r>
        <w:t xml:space="preserve">), predicting range shifts (Molinos et al. 2015</w:t>
      </w:r>
      <w:r>
        <w:t xml:space="preserve"> </w:t>
      </w:r>
      <w:r>
        <w:rPr>
          <w:i/>
        </w:rPr>
        <w:t xml:space="preserve">AquaMaps</w:t>
      </w:r>
      <w:r>
        <w:t xml:space="preserve">, and setting conservation priorities (Klein et al. 2015</w:t>
      </w:r>
      <w:r>
        <w:t xml:space="preserve"> </w:t>
      </w:r>
      <w:r>
        <w:rPr>
          <w:i/>
        </w:rPr>
        <w:t xml:space="preserve">AquaMaps</w:t>
      </w:r>
      <w:r>
        <w:t xml:space="preserve">).</w:t>
      </w:r>
      <w:r>
        <w:t xml:space="preserve"> </w:t>
      </w:r>
    </w:p>
    <w:p>
      <w:r>
        <w:rPr>
          <w:i/>
          <w:b/>
        </w:rPr>
        <w:t xml:space="preserve">BSH:</w:t>
      </w:r>
      <w:r>
        <w:t xml:space="preserve"> </w:t>
      </w:r>
      <w:r>
        <w:rPr>
          <w:i/>
        </w:rPr>
        <w:t xml:space="preserve">I think Julie makes this comment below, but we may need to be able to substantiate this somehow. Is there a way to quickly figure out how many studies have used AM vs. IUCN?</w:t>
      </w:r>
    </w:p>
    <w:p>
      <w:r>
        <w:rPr>
          <w:i/>
          <w:b/>
        </w:rPr>
        <w:t xml:space="preserve">CCO:</w:t>
      </w:r>
      <w:r>
        <w:t xml:space="preserve"> </w:t>
      </w:r>
      <w:r>
        <w:rPr>
          <w:i/>
        </w:rPr>
        <w:t xml:space="preserve">What about age - AquaMaps is pretty recent (2006 at earliest); before that, would IUCN have been the dominant dataset for marine? Maybe we can track citations of AquaMaps, but citations of IUCN are generic - just cite the Red List - not referencing spatial information specifically, much less marine. Going by citation year field on the maps themselves, the oldest marine record I can find is 2004.</w:t>
      </w:r>
    </w:p>
    <w:p>
      <w:r>
        <w:rPr>
          <w:i/>
        </w:rPr>
        <w:t xml:space="preserve">Four foundational papers relating to AquaMaps (Kaschner et al. 2006, 2011; 2013; Ready et al. 2010) have been cited a total of 379 times.</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79.3% of total), such that most global analyses related to biodiversity to date have used AquaMaps (IUCN range map data exist for only 4,027 unique species). For the 2,013 species (7% of total) mapped in both datasets, we examine how well the maps align, determine several issues that lead to misalignment between predicted species distributions, and outline possible improvements.</w:t>
      </w:r>
    </w:p>
    <w:p>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the possible consequences of different data use decisions on our understanding of marine biodiversity status and protection.</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bundled by taxonomic groups (REF), based on expert input on spatial boundaries of a given species' "limits of distribution" (REF IUCN 2014) - essentially a refined extent of occurrence, based on observation records and refined by expert understanding of the species' range and habitat preferences. In contrast,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r>
        <w:t xml:space="preserve">The methodologies behind these datasets imply differences in prediction of species distribution due to errors of commission (falsely</w:t>
      </w:r>
      <w:r>
        <w:t xml:space="preserve"> </w:t>
      </w:r>
      <w:r>
        <w:rPr>
          <w:i/>
        </w:rPr>
        <w:t xml:space="preserve">(erroneously? less accusatory, but an annoying word)</w:t>
      </w:r>
      <w:r>
        <w:t xml:space="preserve"> </w:t>
      </w:r>
      <w:r>
        <w:t xml:space="preserve">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w:t>
      </w:r>
      <w:r>
        <w:t xml:space="preserve"> </w:t>
      </w:r>
      <w:r>
        <w:t xml:space="preserve"> </w:t>
      </w:r>
      <w:r>
        <w:t xml:space="preserve">(Rondinini, 2006).</w:t>
      </w:r>
      <w:r>
        <w:t xml:space="preserve"> </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p>
    <w:p>
      <w:r>
        <w:t xml:space="preserve">To explore differences in species distribution and range between the two datasets, we plotted the distribution alignment (where on the map) against the ratio of extent (how much of the map) for each shared species (Fig. 2A).</w:t>
      </w:r>
    </w:p>
    <w:p>
      <w:r>
        <w:t xml:space="preserve">A general negative linear pattern emerges,</w:t>
      </w:r>
      <w:r>
        <w:t xml:space="preserve"> </w:t>
      </w:r>
      <w:r>
        <w:t xml:space="preserve"> </w:t>
      </w:r>
      <w:r>
        <w:t xml:space="preserve">suggesting that increasing similarity in extent correlates with decreasing distribution alignment.</w:t>
      </w:r>
      <w:r>
        <w:t xml:space="preserve"> </w:t>
      </w:r>
      <w:r>
        <w:t xml:space="preserve"> </w:t>
      </w:r>
      <w:r>
        <w:t xml:space="preserve">AquaMaps tends to extrapolate species ranges beyond known occurrences, such that the marginal range predicted by AquaMaps will fall in different locations than the marginal range predicted using IUCN methodology. For species with dissimilar extents, predicted distribution for the smaller range can more easily fall within the generous bounds of the larger range. For species with increasingly similar extents, differences in methodology become more difficult to "hide," and the distribution alignment generally becomes poorer.</w:t>
      </w:r>
    </w:p>
    <w:p>
      <w:r>
        <w:t xml:space="preserve">By dividing the map-paired species into quadrants, we highlight different categories of relationships that in turn help further explain the general pattern. The upper right quadrant includes species (n = 399) whose described ranges agree in both spatial distribution and extent. These species tend to be well-studied and include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ranges contained in the upper left quadrant (n = 624) include many species whose spatial distribution is similar, but where the IUCN range is notably larger, often extending into deeper water. For example, corals dominate this quadrant (n = 221; 35.4% of all species in this quadrant), and IUCN range maps tend to extend corals into waters beyond their preferred depths, likely introducing errors of commission.</w:t>
      </w:r>
      <w:r>
        <w:t xml:space="preserve"> </w:t>
      </w:r>
      <w:r>
        <w:t xml:space="preserve"> </w:t>
      </w:r>
      <w:r>
        <w:t xml:space="preserve">Ocean depth is explicitly included in AquaMaps models, while depth is frequently overlooked as a factor in IUCN range maps. Simply clipping IUCN range maps to known depth preferences would resolve many of these mismatches.</w:t>
      </w:r>
    </w:p>
    <w:p>
      <w:r>
        <w:t xml:space="preserve">Species found in the lower right quadrant (n = 624)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extents are meaningless when the distributions are poorly aligned.</w:t>
      </w:r>
    </w:p>
    <w:p>
      <w:r>
        <w:t xml:space="preserve">The most vexing cases are in the lower left quadrant (n = 399), where neither distribution nor extent match well. Data-poor species are more common in this quadrant; indeed, the median number of species occurrence records (summing (averaging?) OBIS and GBIF occurrences) for this quadrant is NA, compared to a median of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r>
        <w:pict>
          <v:rect style="width:0;height:1.5pt" o:hralign="center" o:hrstd="t" o:hr="t"/>
        </w:pict>
      </w:r>
    </w:p>
    <w:p>
      <w:pPr>
        <w:pStyle w:val="Heading1"/>
      </w:pPr>
      <w:bookmarkStart w:id="27" w:name="implications"/>
      <w:bookmarkEnd w:id="27"/>
      <w:r>
        <w:t xml:space="preserve">Implications</w:t>
      </w:r>
    </w:p>
    <w:p>
      <w:r>
        <w:t xml:space="preserve">Clear and significant differences in species range descriptions between AquaMaps and IUCN range maps, due to method-driven differences in errors of commission and omission. To examine the implications of these differences, we replicated two recent studies, varying only the prioritization of one data set over the other.</w:t>
      </w:r>
    </w:p>
    <w:p>
      <w:r>
        <w:rPr>
          <w:b/>
        </w:rPr>
        <w:t xml:space="preserve">Case Study: The Ocean Health Index</w:t>
      </w:r>
      <w:r>
        <w:t xml:space="preserve"> </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2013 species included in both sources. OHI currently uses a probability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3</w:t>
      </w:r>
      <w:r>
        <w:t xml:space="preserve">). Given that only 2013 species overlap out of 28847, it is surprising that changing the priority for overlapping species from IUCN maps to AquaMaps would result in such large score shifts as seen in scenarios 2 and 3. While many country scores showed only small variation across all three scenarios, select countries gained as many as 5 points while others dropped up to 12 points. Significantly, the global score decreased by two full points in scenario 3, indicating that an arbitrary change in how the two datasets are combined results in a more dire assessment of species conservation status.</w:t>
      </w:r>
    </w:p>
    <w:p>
      <w:r>
        <w:pict>
          <v:rect style="width:0;height:1.5pt" o:hralign="center" o:hrstd="t" o:hr="t"/>
        </w:pict>
      </w:r>
    </w:p>
    <w:p>
      <w:r>
        <w:rPr>
          <w:b/>
        </w:rPr>
        <w:t xml:space="preserve">Case Study: MPA Gap Analysis</w:t>
      </w:r>
    </w:p>
    <w:p>
      <w:r>
        <w:t xml:space="preserve">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established MPAs (IUCN categories I through IV overlapping with marine areas) are woefully inadequate in protecting marine biodiversity; 90.5% of species have less than 5% of their overall range represented within MPAs and 1.4% of species have no protection at all ("gap" species).</w:t>
      </w:r>
    </w:p>
    <w:p>
      <w:r>
        <w:t xml:space="preserve">(</w:t>
      </w:r>
      <w:r>
        <w:t xml:space="preserve">Figure 4</w:t>
      </w:r>
      <w:r>
        <w:t xml:space="preserve">) displays the results of applying this methodology under several different scenarios. When comparing the conclusions based upon an IUCN-only scenario to an AquaMaps-only scenario (using 2015 data and a 0% threshold sets the most meaningful comparison) we found a five-fold increase in the proportion of gap species (6.4% vs 1.2%) and dramatically larger proportion of species with less than 2% of their range protected (73.2% vs. 47.7%). However, this comparison also indicates a larger proportion of well-protected species with greater than 10% of range protected (2.9% vs. 1.5%). Conclusions drawn from each of these datasets would paint dramatically different pictures of the protection afforded by our current global MPA network.</w:t>
      </w:r>
    </w:p>
    <w:p>
      <w:r>
        <w:pict>
          <v:rect style="width:0;height:1.5pt" o:hralign="center" o:hrstd="t" o:hr="t"/>
        </w:pict>
      </w:r>
    </w:p>
    <w:p>
      <w:pPr>
        <w:pStyle w:val="Heading1"/>
      </w:pPr>
      <w:bookmarkStart w:id="28" w:name="conclusions"/>
      <w:bookmarkEnd w:id="28"/>
      <w:r>
        <w:t xml:space="preserve">Conclusions</w:t>
      </w:r>
    </w:p>
    <w:p>
      <w:r>
        <w:t xml:space="preserve">AquaMaps and IUCN range maps provide important spatial information on marine species ranges, and show reasonable agreement for many well-studied species, but illustrate uncertainty in our understanding of spatial distribution for many others. Identifying and addressing differences in these datasets will increase their utility for ecology research and conservation actions. We have identified several likely drivers of commission errors and omission errors between these datasets, pointing toward improvements to better align the predictions of species distributions.</w:t>
      </w:r>
    </w:p>
    <w:p>
      <w:r>
        <w:rPr>
          <w:b/>
        </w:rPr>
        <w:t xml:space="preserve">Suggestions for data providers:</w:t>
      </w:r>
    </w:p>
    <w:p>
      <w:pPr>
        <w:pStyle w:val="Compact"/>
        <w:numPr>
          <w:numId w:val="1002"/>
          <w:ilvl w:val="0"/>
        </w:numPr>
      </w:pPr>
      <w:r>
        <w:t xml:space="preserve">The IUCN Red List instructional materials for mapping marine species suggest that "bathymetry can be used to delineate species' ranges limited by depth in the same way as elevation is used for terrestrial species" (REF</w:t>
      </w:r>
      <w:r>
        <w:t xml:space="preserve"> </w:t>
      </w:r>
      <w:hyperlink r:id="rId29">
        <w:r>
          <w:rPr>
            <w:rStyle w:val="Link"/>
          </w:rPr>
          <w:t xml:space="preserve">https://www.conservationtraining.org/mod/scorm/player.php?a=1412&amp;currentorg=M5L1_ORG&amp;scoid=6492</w:t>
        </w:r>
      </w:hyperlink>
      <w:r>
        <w:t xml:space="preserve">).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pPr>
        <w:pStyle w:val="Compact"/>
        <w:numPr>
          <w:numId w:val="1002"/>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can be generalized, for example to other species in the same taxonomic group, to further refine the predictions. This is especially important for data-poor species.</w:t>
      </w:r>
    </w:p>
    <w:p>
      <w:pPr>
        <w:pStyle w:val="Compact"/>
        <w:numPr>
          <w:numId w:val="1002"/>
          <w:ilvl w:val="0"/>
        </w:numPr>
      </w:pPr>
      <w:r>
        <w:t xml:space="preserve">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area restrictions based on biogeographical criteria, e.g. Marine Ecoregions of the World (REF), would likely provide better resolution and predictive power, especially for data-poor species.</w:t>
      </w:r>
    </w:p>
    <w:p>
      <w:r>
        <w:rPr>
          <w:b/>
        </w:rPr>
        <w:t xml:space="preserve">Suggestions for data users:</w:t>
      </w:r>
    </w:p>
    <w:p>
      <w:pPr>
        <w:pStyle w:val="Compact"/>
        <w:numPr>
          <w:numId w:val="1003"/>
          <w:ilvl w:val="0"/>
        </w:numPr>
      </w:pPr>
      <w:r>
        <w:t xml:space="preserve">For depth-limited species and taxa, clipping IUCN range polygons to a reasonable bathymetry contour can reduce commission errors due to overprediction of species presence into unsuitable habitats.</w:t>
      </w:r>
    </w:p>
    <w:p>
      <w:pPr>
        <w:pStyle w:val="Compact"/>
        <w:numPr>
          <w:numId w:val="1003"/>
          <w:ilvl w:val="0"/>
        </w:numPr>
      </w:pPr>
      <w:r>
        <w:t xml:space="preserve">Using both datasets together can increase the taxonomic and spatial breadth of coverage, as long as the differences between the datasets can be reasonably minimized. Consider:</w:t>
      </w:r>
    </w:p>
    <w:p>
      <w:pPr>
        <w:pStyle w:val="Compact"/>
        <w:numPr>
          <w:numId w:val="1004"/>
          <w:ilvl w:val="1"/>
        </w:numPr>
      </w:pPr>
      <w:r>
        <w:t xml:space="preserve">An AquaMaps presence threshold of 0% most closely approximates the "limits of distribution" defined by IUCN range maps.</w:t>
      </w:r>
    </w:p>
    <w:p>
      <w:pPr>
        <w:pStyle w:val="Compact"/>
        <w:numPr>
          <w:numId w:val="1004"/>
          <w:ilvl w:val="1"/>
        </w:numPr>
      </w:pPr>
      <w:r>
        <w:t xml:space="preserve">Additional filters on AquaMaps distribution criteria, such as expert review status or the number of occurrence cells used to generate the species model, can help avoid overextrapolation for data poor species.</w:t>
      </w:r>
    </w:p>
    <w:p>
      <w:r>
        <w:rPr>
          <w:i/>
        </w:rPr>
        <w:t xml:space="preserve">(do we need a wrap-it-up paragraph here? I put that more at the top of the conclusions section... could shift it down here, but probably not needed in both places)</w:t>
      </w:r>
    </w:p>
    <w:p>
      <w:r>
        <w:pict>
          <v:rect style="width:0;height:1.5pt" o:hralign="center" o:hrstd="t" o:hr="t"/>
        </w:pict>
      </w:r>
    </w:p>
    <w:p>
      <w:pPr>
        <w:pStyle w:val="Heading1"/>
      </w:pPr>
      <w:bookmarkStart w:id="30" w:name="methods"/>
      <w:bookmarkEnd w:id="30"/>
      <w:r>
        <w:t xml:space="preserve">Methods</w:t>
      </w:r>
    </w:p>
    <w:p>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2:</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spatially covering a marine area and classified as IUCN I-IV</w:t>
      </w:r>
      <w:r>
        <w:t xml:space="preserve"> </w:t>
      </w:r>
      <w:r>
        <w:rPr>
          <w:i/>
          <w:b/>
        </w:rPr>
        <w:t xml:space="preserve">(Klein paper, table 1, subset 4 - seems to be the one they focus on the most)</w:t>
      </w:r>
      <w:r>
        <w:t xml:space="preserve">, converting the World Database of Protected Areas (WDPA, REF) dataset to a raster of 0.5° cells indicating proportion of protected area within the cell</w:t>
      </w:r>
      <w:r>
        <w:t xml:space="preserve"> </w:t>
      </w:r>
      <w:r>
        <w:rPr>
          <w:i/>
          <w:b/>
        </w:rPr>
        <w:t xml:space="preserve">(consider also: filter on STATUS == 'Designated', and filter out those pesky fishery management areas and manatee speed zones...)</w:t>
      </w:r>
      <w:r>
        <w:t xml:space="preserve">. To verify our reconstruction we ran the analysis using the AquaMaps dataset available in April 2015 (REF) at a presence threshold of 50%. We then updated the analysis using the most recent AquaMaps dataset (REF?) at 50% threshold</w:t>
      </w:r>
    </w:p>
    <w:p>
      <w:pPr>
        <w:pStyle w:val="Compact"/>
        <w:numPr>
          <w:numId w:val="1005"/>
          <w:ilvl w:val="0"/>
        </w:numPr>
      </w:pPr>
      <w:r>
        <w:t xml:space="preserve">Possible analyses:</w:t>
      </w:r>
      <w:r>
        <w:t xml:space="preserve"> </w:t>
      </w:r>
    </w:p>
    <w:p>
      <w:pPr>
        <w:pStyle w:val="Compact"/>
        <w:numPr>
          <w:numId w:val="1006"/>
          <w:ilvl w:val="1"/>
        </w:numPr>
      </w:pPr>
      <w:r>
        <w:t xml:space="preserve">run AquaMaps (new data) with threshold at 0%</w:t>
      </w:r>
    </w:p>
    <w:p>
      <w:pPr>
        <w:pStyle w:val="Compact"/>
        <w:numPr>
          <w:numId w:val="1007"/>
          <w:ilvl w:val="2"/>
        </w:numPr>
      </w:pPr>
      <w:r>
        <w:t xml:space="preserve">already done in original paper for old data, but redo it to compare to AM + IUCN scenario below</w:t>
      </w:r>
    </w:p>
    <w:p>
      <w:pPr>
        <w:pStyle w:val="Compact"/>
        <w:numPr>
          <w:numId w:val="1006"/>
          <w:ilvl w:val="1"/>
        </w:numPr>
      </w:pPr>
      <w:r>
        <w:t xml:space="preserve">run with IUCN maps only in place of AquaMaps?</w:t>
      </w:r>
      <w:r>
        <w:t xml:space="preserve"> </w:t>
      </w:r>
    </w:p>
    <w:p>
      <w:pPr>
        <w:pStyle w:val="Compact"/>
        <w:numPr>
          <w:numId w:val="1006"/>
          <w:ilvl w:val="1"/>
        </w:numPr>
      </w:pPr>
      <w:r>
        <w:t xml:space="preserve">run with AquaMaps and IUCN both, using 0% threshold; which preferred?</w:t>
      </w:r>
      <w:r>
        <w:t xml:space="preserve"> </w:t>
      </w:r>
    </w:p>
    <w:p>
      <w:pPr>
        <w:pStyle w:val="Compact"/>
        <w:numPr>
          <w:numId w:val="1005"/>
          <w:ilvl w:val="0"/>
        </w:numPr>
      </w:pPr>
      <w:r>
        <w:t xml:space="preserve">Which aspects of the analysis should we focus on?:</w:t>
      </w:r>
      <w:r>
        <w:t xml:space="preserve"> </w:t>
      </w:r>
    </w:p>
    <w:p>
      <w:pPr>
        <w:pStyle w:val="Compact"/>
        <w:numPr>
          <w:numId w:val="1008"/>
          <w:ilvl w:val="1"/>
        </w:numPr>
      </w:pPr>
      <w:r>
        <w:t xml:space="preserve">overall vs broken down by taxonomic groups? (see paper, figure 1)</w:t>
      </w:r>
    </w:p>
    <w:p>
      <w:pPr>
        <w:pStyle w:val="Compact"/>
        <w:numPr>
          <w:numId w:val="1008"/>
          <w:ilvl w:val="1"/>
        </w:numPr>
      </w:pPr>
      <w:r>
        <w:t xml:space="preserve">spatial distribution of gap species (see paper, figure 2) &lt;!--</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r>
        <w:t xml:space="preserve"> </w:t>
      </w:r>
    </w:p>
    <w:p/>
    <w:p>
      <w:r>
        <w:drawing>
          <wp:inline>
            <wp:extent cx="5440680" cy="2128962"/>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128962"/>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4"/>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(896 species, primarily tropical taxa) and corals (362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p>
      <w:r>
        <w:drawing>
          <wp:inline>
            <wp:extent cx="5440680" cy="2741845"/>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6"/>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drawing>
          <wp:inline>
            <wp:extent cx="5440680" cy="2128962"/>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7"/>
                    <a:stretch>
                      <a:fillRect/>
                    </a:stretch>
                  </pic:blipFill>
                  <pic:spPr bwMode="auto">
                    <a:xfrm>
                      <a:off x="0" y="0"/>
                      <a:ext cx="5440680" cy="2128962"/>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2013 species included in both IUCN and AquaMaps datasets. The upper right quadrant (quadrant 1) comprises species whose maps largely agree (better than median value) in both spatial distribution and the extent of described ranges (n = 398; 19.5 %). The upper left quadrant (quadrant 2) comprises species whose maps agree well in distribution, but disagree in extent (n = 625; 30.5 %). The lower right quadrant (quadrant 3) includes species for which the paired maps generally agree in range extent, but disagree on where those ranges occur (n = 624; 30.5 %). The lower left quadrant (quadrant 4) indicates species for which the map pairs agree poorly in both area and distribution (n = 399; 19.5 %).</w:t>
      </w:r>
      <w:r>
        <w:br w:type="textWrapping"/>
      </w:r>
      <w:r>
        <w:t xml:space="preserve">(B) Alignment breakdown of paired-map species by taxonomic group.</w:t>
      </w:r>
    </w:p>
    <w:p>
      <w:pPr>
        <w:pStyle w:val="Heading3"/>
      </w:pPr>
      <w:bookmarkStart w:id="38" w:name="figure-3"/>
      <w:bookmarkEnd w:id="38"/>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39"/>
                    <a:stretch>
                      <a:fillRect/>
                    </a:stretch>
                  </pic:blipFill>
                  <pic:spPr bwMode="auto">
                    <a:xfrm>
                      <a:off x="0" y="0"/>
                      <a:ext cx="5440680" cy="2714057"/>
                    </a:xfrm>
                    <a:prstGeom prst="rect">
                      <a:avLst/>
                    </a:prstGeom>
                    <a:noFill/>
                    <a:ln w="9525">
                      <a:noFill/>
                      <a:headEnd/>
                      <a:tailEnd/>
                    </a:ln>
                  </pic:spPr>
                </pic:pic>
              </a:graphicData>
            </a:graphic>
          </wp:inline>
        </w:drawing>
      </w:r>
    </w:p>
    <w:p>
      <w:pPr>
        <w:pStyle w:val="BlockQuote"/>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for AquaMaps presence to more accurately track the definition of IUCN “limits of distribution." Reducing the threshold increases the apparent range of a species; the slight decrease in average score suggests increased spatial representation of threatened species. Scenario 2 shows the effect of prioritizing AquaMaps data over IUCN, while maintaining the 40% presence threshold.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a combination of both. Scenario 3 shows the effect of prioritizing AquaMaps data over IUCN, and simultaneously eliminating the presence threshold. The zero threshold in scenario 3 drives a decrease in scores relative to scenario 2. The large decrease indicates that a zero threshold greatly increases the spatial representation of high-risk species.</w:t>
      </w:r>
    </w:p>
    <w:p>
      <w:r>
        <w:rPr>
          <w:i/>
          <w:b/>
        </w:rPr>
        <w:t xml:space="preserve">NOTE: This figure still needs to be recreated using the latest and greatest data!</w:t>
      </w:r>
      <w:r>
        <w:t xml:space="preserve"> </w:t>
      </w:r>
      <w:r>
        <w:rPr>
          <w:i/>
        </w:rPr>
        <w:t xml:space="preserve">currently they use data generated in November or so, in ohiprep.</w:t>
      </w:r>
    </w:p>
    <w:p>
      <w:pPr>
        <w:pStyle w:val="Heading3"/>
      </w:pPr>
      <w:bookmarkStart w:id="40" w:name="figure-4"/>
      <w:bookmarkEnd w:id="40"/>
      <w:r>
        <w:t xml:space="preserve">Figure 4</w:t>
      </w:r>
    </w:p>
    <w:p/>
    <w:p>
      <w:r>
        <w:drawing>
          <wp:inline>
            <wp:extent cx="5440680" cy="1526831"/>
            <wp:effectExtent b="0" l="0" r="0" t="0"/>
            <wp:docPr descr="" id="1" name="Picture"/>
            <a:graphic>
              <a:graphicData uri="http://schemas.openxmlformats.org/drawingml/2006/picture">
                <pic:pic>
                  <pic:nvPicPr>
                    <pic:cNvPr descr="figures/barchart_mpa_gap.png" id="0" name="Picture"/>
                    <pic:cNvPicPr>
                      <a:picLocks noChangeArrowheads="1" noChangeAspect="1"/>
                    </pic:cNvPicPr>
                  </pic:nvPicPr>
                  <pic:blipFill>
                    <a:blip r:embed="rId41"/>
                    <a:stretch>
                      <a:fillRect/>
                    </a:stretch>
                  </pic:blipFill>
                  <pic:spPr bwMode="auto">
                    <a:xfrm>
                      <a:off x="0" y="0"/>
                      <a:ext cx="5440680" cy="1526831"/>
                    </a:xfrm>
                    <a:prstGeom prst="rect">
                      <a:avLst/>
                    </a:prstGeom>
                    <a:noFill/>
                    <a:ln w="9525">
                      <a:noFill/>
                      <a:headEnd/>
                      <a:tailEnd/>
                    </a:ln>
                  </pic:spPr>
                </pic:pic>
              </a:graphicData>
            </a:graphic>
          </wp:inline>
        </w:drawing>
      </w:r>
    </w:p>
    <w:p>
      <w:pPr>
        <w:pStyle w:val="BlockQuote"/>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the 2015 AquaMaps dataset; the small changes despite the inclusion of an additional 5545 species demonstrates the robustness of the conclusions of Klein et al. (2015). Scenario 3, using 2015 AquaMaps data, drops the presence threshold to zero, showing an expected decrease in gap species, but also a decrease in species with 5% or greater protected range. Scenario 4 adds an additional 1745 species unique to the IUCN dataset, resulting in increases in gap species and species with less than 2% coverage. Scenario 5 examines species MPA coverage using only the IUCN dataset.</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gap</w:t>
            </w:r>
          </w:p>
        </w:tc>
        <w:tc>
          <w:tcPr>
            <w:tcBorders>
              <w:bottom w:val="single"/>
            </w:tcBorders>
            <w:vAlign w:val="bottom"/>
          </w:tcPr>
          <w:p>
            <w:pPr>
              <w:pStyle w:val="Compact"/>
              <w:jc w:val="right"/>
            </w:pPr>
            <w:r>
              <w:t xml:space="preserve">covered 0-2%</w:t>
            </w:r>
          </w:p>
        </w:tc>
        <w:tc>
          <w:tcPr>
            <w:tcBorders>
              <w:bottom w:val="single"/>
            </w:tcBorders>
            <w:vAlign w:val="bottom"/>
          </w:tcPr>
          <w:p>
            <w:pPr>
              <w:pStyle w:val="Compact"/>
              <w:jc w:val="right"/>
            </w:pPr>
            <w:r>
              <w:t xml:space="preserve">covered 2-5%</w:t>
            </w:r>
          </w:p>
        </w:tc>
        <w:tc>
          <w:tcPr>
            <w:tcBorders>
              <w:bottom w:val="single"/>
            </w:tcBorders>
            <w:vAlign w:val="bottom"/>
          </w:tcPr>
          <w:p>
            <w:pPr>
              <w:pStyle w:val="Compact"/>
              <w:jc w:val="right"/>
            </w:pPr>
            <w:r>
              <w:t xml:space="preserve">covered 5-10%</w:t>
            </w:r>
          </w:p>
        </w:tc>
        <w:tc>
          <w:tcPr>
            <w:tcBorders>
              <w:bottom w:val="single"/>
            </w:tcBorders>
            <w:vAlign w:val="bottom"/>
          </w:tcPr>
          <w:p>
            <w:pPr>
              <w:pStyle w:val="Compact"/>
              <w:jc w:val="right"/>
            </w:pPr>
            <w:r>
              <w:t xml:space="preserve">covered &gt;10%</w:t>
            </w:r>
          </w:p>
        </w:tc>
      </w:tr>
      <w:tr>
        <w:tc>
          <w:p>
            <w:pPr>
              <w:pStyle w:val="Compact"/>
              <w:jc w:val="left"/>
            </w:pPr>
            <w:r>
              <w:t xml:space="preserve">am2014 (50%)</w:t>
            </w:r>
          </w:p>
        </w:tc>
        <w:tc>
          <w:p>
            <w:pPr>
              <w:pStyle w:val="Compact"/>
              <w:jc w:val="right"/>
            </w:pPr>
            <w:r>
              <w:t xml:space="preserve">17344</w:t>
            </w:r>
          </w:p>
        </w:tc>
        <w:tc>
          <w:p>
            <w:pPr>
              <w:pStyle w:val="Compact"/>
              <w:jc w:val="right"/>
            </w:pPr>
            <w:r>
              <w:t xml:space="preserve">1.6</w:t>
            </w:r>
          </w:p>
        </w:tc>
        <w:tc>
          <w:p>
            <w:pPr>
              <w:pStyle w:val="Compact"/>
              <w:jc w:val="right"/>
            </w:pPr>
            <w:r>
              <w:t xml:space="preserve">44.6</w:t>
            </w:r>
          </w:p>
        </w:tc>
        <w:tc>
          <w:p>
            <w:pPr>
              <w:pStyle w:val="Compact"/>
              <w:jc w:val="right"/>
            </w:pPr>
            <w:r>
              <w:t xml:space="preserve">44.6</w:t>
            </w:r>
          </w:p>
        </w:tc>
        <w:tc>
          <w:p>
            <w:pPr>
              <w:pStyle w:val="Compact"/>
              <w:jc w:val="right"/>
            </w:pPr>
            <w:r>
              <w:t xml:space="preserve">6.8</w:t>
            </w:r>
          </w:p>
        </w:tc>
        <w:tc>
          <w:p>
            <w:pPr>
              <w:pStyle w:val="Compact"/>
              <w:jc w:val="right"/>
            </w:pPr>
            <w:r>
              <w:t xml:space="preserve">2.4</w:t>
            </w:r>
          </w:p>
        </w:tc>
      </w:tr>
      <w:tr>
        <w:tc>
          <w:p>
            <w:pPr>
              <w:pStyle w:val="Compact"/>
              <w:jc w:val="left"/>
            </w:pPr>
            <w:r>
              <w:t xml:space="preserve">am2015 (50%)</w:t>
            </w:r>
          </w:p>
        </w:tc>
        <w:tc>
          <w:p>
            <w:pPr>
              <w:pStyle w:val="Compact"/>
              <w:jc w:val="right"/>
            </w:pPr>
            <w:r>
              <w:t xml:space="preserve">22885</w:t>
            </w:r>
          </w:p>
        </w:tc>
        <w:tc>
          <w:p>
            <w:pPr>
              <w:pStyle w:val="Compact"/>
              <w:jc w:val="right"/>
            </w:pPr>
            <w:r>
              <w:t xml:space="preserve">1.7</w:t>
            </w:r>
          </w:p>
        </w:tc>
        <w:tc>
          <w:p>
            <w:pPr>
              <w:pStyle w:val="Compact"/>
              <w:jc w:val="right"/>
            </w:pPr>
            <w:r>
              <w:t xml:space="preserve">45.7</w:t>
            </w:r>
          </w:p>
        </w:tc>
        <w:tc>
          <w:p>
            <w:pPr>
              <w:pStyle w:val="Compact"/>
              <w:jc w:val="right"/>
            </w:pPr>
            <w:r>
              <w:t xml:space="preserve">42.7</w:t>
            </w:r>
          </w:p>
        </w:tc>
        <w:tc>
          <w:p>
            <w:pPr>
              <w:pStyle w:val="Compact"/>
              <w:jc w:val="right"/>
            </w:pPr>
            <w:r>
              <w:t xml:space="preserve">7.2</w:t>
            </w:r>
          </w:p>
        </w:tc>
        <w:tc>
          <w:p>
            <w:pPr>
              <w:pStyle w:val="Compact"/>
              <w:jc w:val="right"/>
            </w:pPr>
            <w:r>
              <w:t xml:space="preserve">2.7</w:t>
            </w:r>
          </w:p>
        </w:tc>
      </w:tr>
      <w:tr>
        <w:tc>
          <w:p>
            <w:pPr>
              <w:pStyle w:val="Compact"/>
              <w:jc w:val="left"/>
            </w:pPr>
            <w:r>
              <w:t xml:space="preserve">am2015 (0%)</w:t>
            </w:r>
          </w:p>
        </w:tc>
        <w:tc>
          <w:p>
            <w:pPr>
              <w:pStyle w:val="Compact"/>
              <w:jc w:val="right"/>
            </w:pPr>
            <w:r>
              <w:t xml:space="preserve">22889</w:t>
            </w:r>
          </w:p>
        </w:tc>
        <w:tc>
          <w:p>
            <w:pPr>
              <w:pStyle w:val="Compact"/>
              <w:jc w:val="right"/>
            </w:pPr>
            <w:r>
              <w:t xml:space="preserve">1.2</w:t>
            </w:r>
          </w:p>
        </w:tc>
        <w:tc>
          <w:p>
            <w:pPr>
              <w:pStyle w:val="Compact"/>
              <w:jc w:val="right"/>
            </w:pPr>
            <w:r>
              <w:t xml:space="preserve">46.5</w:t>
            </w:r>
          </w:p>
        </w:tc>
        <w:tc>
          <w:p>
            <w:pPr>
              <w:pStyle w:val="Compact"/>
              <w:jc w:val="right"/>
            </w:pPr>
            <w:r>
              <w:t xml:space="preserve">44.5</w:t>
            </w:r>
          </w:p>
        </w:tc>
        <w:tc>
          <w:p>
            <w:pPr>
              <w:pStyle w:val="Compact"/>
              <w:jc w:val="right"/>
            </w:pPr>
            <w:r>
              <w:t xml:space="preserve">6.4</w:t>
            </w:r>
          </w:p>
        </w:tc>
        <w:tc>
          <w:p>
            <w:pPr>
              <w:pStyle w:val="Compact"/>
              <w:jc w:val="right"/>
            </w:pPr>
            <w:r>
              <w:t xml:space="preserve">1.5</w:t>
            </w:r>
          </w:p>
        </w:tc>
      </w:tr>
      <w:tr>
        <w:tc>
          <w:p>
            <w:pPr>
              <w:pStyle w:val="Compact"/>
              <w:jc w:val="left"/>
            </w:pPr>
            <w:r>
              <w:t xml:space="preserve">am2015 (0%) + iucn2015</w:t>
            </w:r>
          </w:p>
        </w:tc>
        <w:tc>
          <w:p>
            <w:pPr>
              <w:pStyle w:val="Compact"/>
              <w:jc w:val="right"/>
            </w:pPr>
            <w:r>
              <w:t xml:space="preserve">24634</w:t>
            </w:r>
          </w:p>
        </w:tc>
        <w:tc>
          <w:p>
            <w:pPr>
              <w:pStyle w:val="Compact"/>
              <w:jc w:val="right"/>
            </w:pPr>
            <w:r>
              <w:t xml:space="preserve">2.0</w:t>
            </w:r>
          </w:p>
        </w:tc>
        <w:tc>
          <w:p>
            <w:pPr>
              <w:pStyle w:val="Compact"/>
              <w:jc w:val="right"/>
            </w:pPr>
            <w:r>
              <w:t xml:space="preserve">48.0</w:t>
            </w:r>
          </w:p>
        </w:tc>
        <w:tc>
          <w:p>
            <w:pPr>
              <w:pStyle w:val="Compact"/>
              <w:jc w:val="right"/>
            </w:pPr>
            <w:r>
              <w:t xml:space="preserve">42.2</w:t>
            </w:r>
          </w:p>
        </w:tc>
        <w:tc>
          <w:p>
            <w:pPr>
              <w:pStyle w:val="Compact"/>
              <w:jc w:val="right"/>
            </w:pPr>
            <w:r>
              <w:t xml:space="preserve">6.2</w:t>
            </w:r>
          </w:p>
        </w:tc>
        <w:tc>
          <w:p>
            <w:pPr>
              <w:pStyle w:val="Compact"/>
              <w:jc w:val="right"/>
            </w:pPr>
            <w:r>
              <w:t xml:space="preserve">1.6</w:t>
            </w:r>
          </w:p>
        </w:tc>
      </w:tr>
      <w:tr>
        <w:tc>
          <w:p>
            <w:pPr>
              <w:pStyle w:val="Compact"/>
              <w:jc w:val="left"/>
            </w:pPr>
            <w:r>
              <w:t xml:space="preserve">iucn2015</w:t>
            </w:r>
          </w:p>
        </w:tc>
        <w:tc>
          <w:p>
            <w:pPr>
              <w:pStyle w:val="Compact"/>
              <w:jc w:val="right"/>
            </w:pPr>
            <w:r>
              <w:t xml:space="preserve">4024</w:t>
            </w:r>
          </w:p>
        </w:tc>
        <w:tc>
          <w:p>
            <w:pPr>
              <w:pStyle w:val="Compact"/>
              <w:jc w:val="right"/>
            </w:pPr>
            <w:r>
              <w:t xml:space="preserve">6.4</w:t>
            </w:r>
          </w:p>
        </w:tc>
        <w:tc>
          <w:p>
            <w:pPr>
              <w:pStyle w:val="Compact"/>
              <w:jc w:val="right"/>
            </w:pPr>
            <w:r>
              <w:t xml:space="preserve">66.8</w:t>
            </w:r>
          </w:p>
        </w:tc>
        <w:tc>
          <w:p>
            <w:pPr>
              <w:pStyle w:val="Compact"/>
              <w:jc w:val="right"/>
            </w:pPr>
            <w:r>
              <w:t xml:space="preserve">20.1</w:t>
            </w:r>
          </w:p>
        </w:tc>
        <w:tc>
          <w:p>
            <w:pPr>
              <w:pStyle w:val="Compact"/>
              <w:jc w:val="right"/>
            </w:pPr>
            <w:r>
              <w:t xml:space="preserve">3.8</w:t>
            </w:r>
          </w:p>
        </w:tc>
        <w:tc>
          <w:p>
            <w:pPr>
              <w:pStyle w:val="Compact"/>
              <w:jc w:val="right"/>
            </w:pPr>
            <w:r>
              <w:t xml:space="preserve">2.9</w:t>
            </w:r>
          </w:p>
        </w:tc>
      </w:tr>
    </w:tbl>
    <w:p>
      <w:r>
        <w:pict>
          <v:rect style="width:0;height:1.5pt" o:hralign="center" o:hrstd="t" o:hr="t"/>
        </w:pict>
      </w:r>
    </w:p>
    <w:p>
      <w:pPr>
        <w:pStyle w:val="Heading1"/>
      </w:pPr>
      <w:bookmarkStart w:id="42" w:name="references"/>
      <w:bookmarkEnd w:id="42"/>
      <w:r>
        <w:t xml:space="preserve">References</w:t>
      </w:r>
    </w:p>
    <w:p>
      <w:r>
        <w:rPr>
          <w:i/>
          <w:b/>
        </w:rPr>
        <w:t xml:space="preserve">still need to check citations, format properly, put into order</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review of marine data sets and data gaps etc, incl both IUCN and AM as well as many others</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3">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4">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45">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46">
        <w:r>
          <w:rPr>
            <w:rStyle w:val="Link"/>
          </w:rPr>
          <w:t xml:space="preserve">doi:10.1371/journal.pone.0060284</w:t>
        </w:r>
      </w:hyperlink>
      <w:r>
        <w:t xml:space="preserve">.</w:t>
      </w:r>
    </w:p>
    <w:p>
      <w:pPr>
        <w:pStyle w:val="Compact"/>
        <w:numPr>
          <w:numId w:val="1009"/>
          <w:ilvl w:val="0"/>
        </w:numPr>
      </w:pPr>
      <w:r>
        <w:t xml:space="preserve">IUCN reference:</w:t>
      </w:r>
    </w:p>
    <w:p>
      <w:pPr>
        <w:pStyle w:val="Compact"/>
        <w:numPr>
          <w:numId w:val="1010"/>
          <w:ilvl w:val="1"/>
        </w:numPr>
      </w:pPr>
      <w:hyperlink r:id="rId47">
        <w:r>
          <w:rPr>
            <w:rStyle w:val="Link"/>
          </w:rPr>
          <w:t xml:space="preserve">https://www.conservationtraining.org/course/view.php?id=217&amp;lang=en</w:t>
        </w:r>
      </w:hyperlink>
    </w:p>
    <w:p>
      <w:pPr>
        <w:pStyle w:val="Compact"/>
        <w:numPr>
          <w:numId w:val="1010"/>
          <w:ilvl w:val="1"/>
        </w:numPr>
      </w:pPr>
      <w:hyperlink r:id="rId48">
        <w:r>
          <w:rPr>
            <w:rStyle w:val="Link"/>
          </w:rPr>
          <w:t xml:space="preserve">http://www.iucnredlist.org/technical-documents/red-list-training/iucnspatialresources</w:t>
        </w:r>
      </w:hyperlink>
    </w:p>
    <w:p>
      <w:pPr>
        <w:pStyle w:val="Compact"/>
        <w:numPr>
          <w:numId w:val="1010"/>
          <w:ilvl w:val="1"/>
        </w:numPr>
      </w:pPr>
      <w:r>
        <w:t xml:space="preserve">IUCN Red List - accessed 12/21/2015</w:t>
      </w:r>
    </w:p>
    <w:p>
      <w:pPr>
        <w:pStyle w:val="Compact"/>
        <w:numPr>
          <w:numId w:val="1009"/>
          <w:ilvl w:val="0"/>
        </w:numPr>
      </w:pPr>
      <w:r>
        <w:t xml:space="preserve">AquaMaps reference, and accessed date?</w:t>
      </w:r>
    </w:p>
    <w:p>
      <w:r>
        <w:t xml:space="preserve">Predicting the distributions of marine organisms at the global scale Ready, J., Kaschner, K., South, A. B., Eastwood, P. D., Rees, T., Rius, J., ... &amp; Froese, R. (2010). Predicting the distributions of marine organisms at the global scale. Ecological Modelling, 221(3), 467-478. Cited by 75</w:t>
      </w:r>
    </w:p>
    <w:p>
      <w:r>
        <w:t xml:space="preserve">[PDF] Mapping world-wide distributions of marine mammal species using a relative environmental suitability (RES) model K Kaschner, R Watson, AW Trites, D Pauly - Marine Ecology Progress …, 2006 - vliz.be ABSTRACT: The lack of comprehensive sighting data sets precludes the application of standard habitat suitability modeling approaches to predict distributions of the majority of marine mammal species on very large scales. As an alternative, we developed an ... Cited by 167 Related articles All 12 versions Web of Science: 86 Cite Save</w:t>
      </w:r>
    </w:p>
    <w:p>
      <w:r>
        <w:t xml:space="preserve">[DOC] from aquamaps.org [DOC] AquaMaps K Kaschner, J Rius-Barile, K Kesner-Reyes… - Predicted range maps …, 2013 - aquamaps.org AquaMaps is an approach to generating model-based, large-scale predictions of currently known natural occurrence of marine species. Models are constructed from estimates of the environmental tolerance of a given species with respect to depth, salinity, temperature, ... Cited by 64 Related articles All 3 versions Cite Save More</w:t>
      </w:r>
    </w:p>
    <w:p>
      <w:r>
        <w:t xml:space="preserve">[HTML] Current and future patterns of global marine mammal biodiversity K Kaschner, DP Tittensor, J Ready, T Gerrodette… - PLoS …, 2011 - journals.plos.org Abstract Quantifying the spatial distribution of taxa is an important prerequisite for the preservation of biodiversity, and can provide a baseline against which to measure the impacts of climate change. Here we analyse patterns of marine mammal species richness ... Cited by 73 Related articles All 20 versions Web of Science: 34 Cite Save More</w:t>
      </w:r>
    </w:p>
    <w:p>
      <w:r>
        <w:pict>
          <v:rect style="width:0;height:1.5pt" o:hralign="center" o:hrstd="t" o:hr="t"/>
        </w:pict>
      </w:r>
    </w:p>
    <w:p>
      <w:pPr>
        <w:pStyle w:val="Heading1"/>
      </w:pPr>
      <w:bookmarkStart w:id="49" w:name="supplemental-information"/>
      <w:bookmarkEnd w:id="49"/>
      <w:r>
        <w:t xml:space="preserve">Supplemental Information</w:t>
      </w:r>
    </w:p>
    <w:p>
      <w:pPr>
        <w:pStyle w:val="Heading1"/>
      </w:pPr>
      <w:bookmarkStart w:id="50" w:name="outline"/>
      <w:bookmarkEnd w:id="50"/>
      <w:r>
        <w:t xml:space="preserve">Outline</w:t>
      </w:r>
    </w:p>
    <w:p>
      <w:pPr>
        <w:pStyle w:val="Heading2"/>
      </w:pPr>
      <w:bookmarkStart w:id="51" w:name="data-processing"/>
      <w:bookmarkEnd w:id="51"/>
      <w:r>
        <w:t xml:space="preserve">Data processing</w:t>
      </w:r>
    </w:p>
    <w:p>
      <w:r>
        <w:t xml:space="preserve">All code is publicly available and freely downloadable</w:t>
      </w:r>
      <w:r>
        <w:t xml:space="preserve"> </w:t>
      </w:r>
      <w:hyperlink r:id="rId52">
        <w:r>
          <w:rPr>
            <w:rStyle w:val="Link"/>
          </w:rPr>
          <w:t xml:space="preserve">here on GitHub</w:t>
        </w:r>
      </w:hyperlink>
      <w:r>
        <w:t xml:space="preserve">.</w:t>
      </w:r>
    </w:p>
    <w:p>
      <w:pPr>
        <w:pStyle w:val="Heading3"/>
      </w:pPr>
      <w:bookmarkStart w:id="53" w:name="aquamaps"/>
      <w:bookmarkEnd w:id="53"/>
      <w:r>
        <w:t xml:space="preserve">AquaMaps</w:t>
      </w:r>
    </w:p>
    <w:p>
      <w:r>
        <w:t xml:space="preserve">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pPr>
        <w:pStyle w:val="Heading4"/>
      </w:pPr>
      <w:bookmarkStart w:id="54" w:name="possible-figures"/>
      <w:bookmarkEnd w:id="54"/>
      <w:r>
        <w:t xml:space="preserve">Possible figures</w:t>
      </w:r>
    </w:p>
    <w:p>
      <w:pPr>
        <w:pStyle w:val="Compact"/>
        <w:numPr>
          <w:numId w:val="1011"/>
          <w:ilvl w:val="0"/>
        </w:numPr>
      </w:pPr>
      <w:r>
        <w:t xml:space="preserve">Map of all cells</w:t>
      </w:r>
    </w:p>
    <w:p>
      <w:pPr>
        <w:pStyle w:val="Compact"/>
        <w:numPr>
          <w:numId w:val="1011"/>
          <w:ilvl w:val="0"/>
        </w:numPr>
      </w:pPr>
      <w:r>
        <w:t xml:space="preserve">Map of # of species per cell</w:t>
      </w:r>
    </w:p>
    <w:p>
      <w:pPr>
        <w:pStyle w:val="Compact"/>
        <w:numPr>
          <w:numId w:val="1011"/>
          <w:ilvl w:val="0"/>
        </w:numPr>
      </w:pPr>
      <w:r>
        <w:t xml:space="preserve">Example aquamaps (one species range)</w:t>
      </w:r>
    </w:p>
    <w:p>
      <w:pPr>
        <w:pStyle w:val="Heading3"/>
      </w:pPr>
      <w:bookmarkStart w:id="55" w:name="iucn"/>
      <w:bookmarkEnd w:id="55"/>
      <w:r>
        <w:t xml:space="preserve">IUCN</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8691 marine species across 24 taxonomic groups. For this analysis, we did not consider IUCN range maps for bird species, as those data are hosted separately by BirdLife International.</w:t>
      </w:r>
    </w:p>
    <w:p>
      <w:pPr>
        <w:pStyle w:val="Compact"/>
        <w:numPr>
          <w:numId w:val="1012"/>
          <w:ilvl w:val="0"/>
        </w:numPr>
      </w:pPr>
      <w:r>
        <w:t xml:space="preserve">which data sets are included?</w:t>
      </w:r>
    </w:p>
    <w:p>
      <w:pPr>
        <w:pStyle w:val="Compact"/>
        <w:numPr>
          <w:numId w:val="1012"/>
          <w:ilvl w:val="0"/>
        </w:numPr>
      </w:pPr>
      <w:r>
        <w:t xml:space="preserve">raster::extract() to convert polys to csvs</w:t>
      </w:r>
    </w:p>
    <w:p>
      <w:pPr>
        <w:pStyle w:val="Compact"/>
        <w:numPr>
          <w:numId w:val="1012"/>
          <w:ilvl w:val="0"/>
        </w:numPr>
      </w:pPr>
      <w:r>
        <w:t xml:space="preserve">which columns are included?</w:t>
      </w:r>
    </w:p>
    <w:p>
      <w:r>
        <w:t xml:space="preserve">JA: I think here we only need a few sentences describing how we downloaded the data and on what date. Link to the IUCN spatial data website.</w:t>
      </w:r>
    </w:p>
    <w:p>
      <w:r>
        <w:t xml:space="preserve">IUCN data is provided as polygon shapefiles. These vectors were rasterized to the same cell resolution as AquaMaps data (0.5 degrees).</w:t>
      </w:r>
    </w:p>
    <w:p>
      <w:pPr>
        <w:pStyle w:val="Heading4"/>
      </w:pPr>
      <w:bookmarkStart w:id="56" w:name="possible-figures-1"/>
      <w:bookmarkEnd w:id="56"/>
      <w:r>
        <w:t xml:space="preserve">Possible figures</w:t>
      </w:r>
    </w:p>
    <w:p>
      <w:pPr>
        <w:pStyle w:val="Heading4"/>
      </w:pPr>
      <w:bookmarkStart w:id="57" w:name="caveats"/>
      <w:bookmarkEnd w:id="57"/>
      <w:r>
        <w:t xml:space="preserve">Caveats</w:t>
      </w:r>
    </w:p>
    <w:p>
      <w:r>
        <w:t xml:space="preserve">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Red List inclusion:</w:t>
      </w:r>
    </w:p>
    <w:p>
      <w:r>
        <w:drawing>
          <wp:inline>
            <wp:extent cx="5440680" cy="1827896"/>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8"/>
                    <a:stretch>
                      <a:fillRect/>
                    </a:stretch>
                  </pic:blipFill>
                  <pic:spPr bwMode="auto">
                    <a:xfrm>
                      <a:off x="0" y="0"/>
                      <a:ext cx="5440680" cy="1827896"/>
                    </a:xfrm>
                    <a:prstGeom prst="rect">
                      <a:avLst/>
                    </a:prstGeom>
                    <a:noFill/>
                    <a:ln w="9525">
                      <a:noFill/>
                      <a:headEnd/>
                      <a:tailEnd/>
                    </a:ln>
                  </pic:spPr>
                </pic:pic>
              </a:graphicData>
            </a:graphic>
          </wp:inline>
        </w:drawing>
      </w:r>
    </w:p>
    <w:p>
      <w:r>
        <w:drawing>
          <wp:inline>
            <wp:extent cx="5440680" cy="2128962"/>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59"/>
                    <a:stretch>
                      <a:fillRect/>
                    </a:stretch>
                  </pic:blipFill>
                  <pic:spPr bwMode="auto">
                    <a:xfrm>
                      <a:off x="0" y="0"/>
                      <a:ext cx="5440680" cy="2128962"/>
                    </a:xfrm>
                    <a:prstGeom prst="rect">
                      <a:avLst/>
                    </a:prstGeom>
                    <a:noFill/>
                    <a:ln w="9525">
                      <a:noFill/>
                      <a:headEnd/>
                      <a:tailEnd/>
                    </a:ln>
                  </pic:spPr>
                </pic:pic>
              </a:graphicData>
            </a:graphic>
          </wp:inline>
        </w:drawing>
      </w:r>
    </w:p>
    <w:p>
      <w:pPr>
        <w:pStyle w:val="Compact"/>
        <w:numPr>
          <w:numId w:val="1013"/>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60" w:name="illustrative-maps-for-different-quadrants-and-different-mechanistic-problems"/>
      <w:bookmarkEnd w:id="60"/>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61"/>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14"/>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62"/>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63" w:name="aquamaps-effect-of-changing-presence-threshold-on-apparent-distribution"/>
      <w:bookmarkEnd w:id="63"/>
      <w:r>
        <w:t xml:space="preserve">AquaMaps: Effect of changing "presence" threshold on apparent distribution</w:t>
      </w:r>
    </w:p>
    <w:p>
      <w:pPr>
        <w:pStyle w:val="Heading3"/>
      </w:pPr>
      <w:bookmarkStart w:id="64" w:name="aquamaps-presence-threshold-analysis---move-to-som"/>
      <w:bookmarkEnd w:id="64"/>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5" w:name="figure-5-a-b"/>
      <w:bookmarkEnd w:id="65"/>
      <w:r>
        <w:t xml:space="preserve">Figure 5 (a, b):</w:t>
      </w:r>
    </w:p>
    <w:p>
      <w:r>
        <w:drawing>
          <wp:inline>
            <wp:extent cx="5440680" cy="2741845"/>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6"/>
                    <a:stretch>
                      <a:fillRect/>
                    </a:stretch>
                  </pic:blipFill>
                  <pic:spPr bwMode="auto">
                    <a:xfrm>
                      <a:off x="0" y="0"/>
                      <a:ext cx="5440680" cy="2741845"/>
                    </a:xfrm>
                    <a:prstGeom prst="rect">
                      <a:avLst/>
                    </a:prstGeom>
                    <a:noFill/>
                    <a:ln w="9525">
                      <a:noFill/>
                      <a:headEnd/>
                      <a:tailEnd/>
                    </a:ln>
                  </pic:spPr>
                </pic:pic>
              </a:graphicData>
            </a:graphic>
          </wp:inline>
        </w:drawing>
      </w:r>
    </w:p>
    <w:p>
      <w:r>
        <w:drawing>
          <wp:inline>
            <wp:extent cx="5440680" cy="1827896"/>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7"/>
                    <a:stretch>
                      <a:fillRect/>
                    </a:stretch>
                  </pic:blipFill>
                  <pic:spPr bwMode="auto">
                    <a:xfrm>
                      <a:off x="0" y="0"/>
                      <a:ext cx="5440680" cy="1827896"/>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d94f4d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1ebe30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bfe81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1" Target="media/rId61.jpg" /><Relationship Type="http://schemas.openxmlformats.org/officeDocument/2006/relationships/image" Id="rId67" Target="media/rId67.png" /><Relationship Type="http://schemas.openxmlformats.org/officeDocument/2006/relationships/hyperlink" Id="rId44" Target="doi:10.1038/nature11397" TargetMode="External" /><Relationship Type="http://schemas.openxmlformats.org/officeDocument/2006/relationships/hyperlink" Id="rId43" Target="doi:10.1038/nclimate2769" TargetMode="External" /><Relationship Type="http://schemas.openxmlformats.org/officeDocument/2006/relationships/hyperlink" Id="rId45" Target="doi:10.1038/srep17539" TargetMode="External" /><Relationship Type="http://schemas.openxmlformats.org/officeDocument/2006/relationships/hyperlink" Id="rId46" Target="doi:10.1371/journal.pone.0060284" TargetMode="External" /><Relationship Type="http://schemas.openxmlformats.org/officeDocument/2006/relationships/hyperlink" Id="rId48" Target="http://www.iucnredlist.org/technical-documents/red-list-training/iucnspatialresources" TargetMode="External" /><Relationship Type="http://schemas.openxmlformats.org/officeDocument/2006/relationships/hyperlink" Id="rId47"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52" Target="link%20to%20github"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4" Target="doi:10.1038/nature11397" TargetMode="External" /><Relationship Type="http://schemas.openxmlformats.org/officeDocument/2006/relationships/hyperlink" Id="rId43" Target="doi:10.1038/nclimate2769" TargetMode="External" /><Relationship Type="http://schemas.openxmlformats.org/officeDocument/2006/relationships/hyperlink" Id="rId45" Target="doi:10.1038/srep17539" TargetMode="External" /><Relationship Type="http://schemas.openxmlformats.org/officeDocument/2006/relationships/hyperlink" Id="rId46" Target="doi:10.1371/journal.pone.0060284" TargetMode="External" /><Relationship Type="http://schemas.openxmlformats.org/officeDocument/2006/relationships/hyperlink" Id="rId48" Target="http://www.iucnredlist.org/technical-documents/red-list-training/iucnspatialresources" TargetMode="External" /><Relationship Type="http://schemas.openxmlformats.org/officeDocument/2006/relationships/hyperlink" Id="rId47"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52" Target="link%20to%20github"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dc:creator>
</cp:coreProperties>
</file>