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38.png" ContentType="image/png"/>
  <Override PartName="/word/media/rId35.png" ContentType="image/png"/>
  <Override PartName="/word/media/rId36.png" ContentType="image/png"/>
  <Override PartName="/word/media/rId33.png" ContentType="image/png"/>
  <Override PartName="/word/media/rId64.png" ContentType="image/png"/>
  <Override PartName="/word/media/rId43.png" ContentType="image/png"/>
  <Override PartName="/word/media/rId39.png" ContentType="image/png"/>
  <Override PartName="/word/media/rId65.png" ContentType="image/png"/>
  <Override PartName="/word/media/rId41.png" ContentType="image/png"/>
  <Override PartName="/word/media/rId68.png" ContentType="image/png"/>
  <Override PartName="/word/media/rId67.jpg" ContentType="image/jpe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r>
        <w:t xml:space="preserve">,</w:t>
      </w:r>
      <w:r>
        <w:t xml:space="preserve"> </w:t>
      </w:r>
      <w:r>
        <w:t xml:space="preserve">Courtney</w:t>
      </w:r>
      <w:r>
        <w:t xml:space="preserve"> </w:t>
      </w:r>
      <w:r>
        <w:t xml:space="preserve">Scarborough</w:t>
      </w:r>
      <w:r>
        <w:rPr>
          <w:vertAlign w:val="superscript"/>
        </w:rPr>
        <w:t xml:space="preserve">1</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Link"/>
          </w:rPr>
          <w:t xml:space="preserve">ohara@nceas.ucsb.edu</w:t>
        </w:r>
      </w:hyperlink>
    </w:p>
    <w:p>
      <w:r>
        <w:rPr>
          <w:i/>
        </w:rPr>
        <w:t xml:space="preserve">Classification:</w:t>
      </w:r>
      <w:r>
        <w:t xml:space="preserve"> </w:t>
      </w:r>
      <w:r>
        <w:t xml:space="preserve">BIOLOGICAL SCIENCES: Ecology? Environmental Sciences? Sustainability Science?</w:t>
      </w:r>
    </w:p>
    <w:p>
      <w:r>
        <w:rPr>
          <w:i/>
        </w:rPr>
        <w:t xml:space="preserve">Keywords:</w:t>
      </w:r>
      <w:r>
        <w:t xml:space="preserve"> </w:t>
      </w:r>
      <w:r>
        <w:t xml:space="preserve"> </w:t>
      </w:r>
      <w:r>
        <w:t xml:space="preserve">TBD</w:t>
      </w:r>
    </w:p>
    <w:p>
      <w:r>
        <w:pict>
          <v:rect style="width:0;height:1.5pt" o:hralign="center" o:hrstd="t" o:hr="t"/>
        </w:pic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studies and conservation management decisions, yet most species ranges remain unknown, and existing range maps often suffer from data limitations and show inconsistencies. AquaMaps (Kaschner et al.</w:t>
      </w:r>
      <w:r>
        <w:t xml:space="preserve"> </w:t>
      </w:r>
      <w:r>
        <w:rPr>
          <w:i/>
          <w:b/>
        </w:rPr>
        <w:t xml:space="preserve">2015???</w:t>
      </w:r>
      <w:r>
        <w:t xml:space="preserve">) and the International Union for Conservation of Nature (IUCN) (IUCN 2015) are two distinct efforts to map marine species distributions at a global scale. Together these two databases represent 24,637 species (92.9% within AquaMaps, 16.3% within IUCN), with only 2,279 species included in both. Here we examine differences in predicted species ranges between the two datasets,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(Halpern et al. 2012, 2015) and a global analysis of gaps in coverage of marine protected areas (Klein et al. 2015) - and find significantly different estimates of the status of global biodiversity and effectiveness of conservation depending on how the two datasets were prioritized. Until a single, highly accurate dataset of global marine species ranges becomes available, understanding the implications of dataset differences for conservation planning and decision-making will be essential.</w:t>
      </w:r>
    </w:p>
    <w:p>
      <w:r>
        <w:t xml:space="preserve">(223 words; 1593 char with spaces)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tbl>
      <w:tblPr>
        <w:tblStyle w:val="TableNormal"/>
        <w:tblW w:type="pct" w:w="0.0"/>
      </w:tblPr>
      <w:tblGrid/>
      <w:tr>
        <w:tc>
          <w:tcPr>
            <w:tcBorders>
              <w:bottom w:val="single"/>
            </w:tcBorders>
            <w:vAlign w:val="bottom"/>
          </w:tcPr>
          <w:p>
            <w:pPr>
              <w:pStyle w:val="Compact"/>
              <w:jc w:val="left"/>
            </w:pPr>
            <w:r>
              <w:t xml:space="preserve">Section</w:t>
            </w:r>
          </w:p>
        </w:tc>
        <w:tc>
          <w:tcPr>
            <w:tcBorders>
              <w:bottom w:val="single"/>
            </w:tcBorders>
            <w:vAlign w:val="bottom"/>
          </w:tcPr>
          <w:p>
            <w:pPr>
              <w:pStyle w:val="Compact"/>
              <w:jc w:val="right"/>
            </w:pPr>
            <w:r>
              <w:t xml:space="preserve">Word #</w:t>
            </w:r>
          </w:p>
        </w:tc>
        <w:tc>
          <w:tcPr>
            <w:tcBorders>
              <w:bottom w:val="single"/>
            </w:tcBorders>
            <w:vAlign w:val="bottom"/>
          </w:tcPr>
          <w:p>
            <w:pPr>
              <w:pStyle w:val="Compact"/>
              <w:jc w:val="right"/>
            </w:pPr>
            <w:r>
              <w:t xml:space="preserve">Char # (w/spc)</w:t>
            </w:r>
          </w:p>
        </w:tc>
      </w:tr>
      <w:tr>
        <w:tc>
          <w:p>
            <w:pPr>
              <w:pStyle w:val="Compact"/>
              <w:jc w:val="left"/>
            </w:pPr>
            <w:r>
              <w:t xml:space="preserve">Introduction</w:t>
            </w:r>
          </w:p>
        </w:tc>
        <w:tc>
          <w:p>
            <w:pPr>
              <w:pStyle w:val="Compact"/>
              <w:jc w:val="right"/>
            </w:pPr>
            <w:r>
              <w:t xml:space="preserve">512 words</w:t>
            </w:r>
          </w:p>
        </w:tc>
        <w:tc>
          <w:p>
            <w:pPr>
              <w:pStyle w:val="Compact"/>
              <w:jc w:val="right"/>
            </w:pPr>
            <w:r>
              <w:t xml:space="preserve">3411 char</w:t>
            </w:r>
          </w:p>
        </w:tc>
      </w:tr>
      <w:tr>
        <w:tc>
          <w:p>
            <w:pPr>
              <w:pStyle w:val="Compact"/>
              <w:jc w:val="left"/>
            </w:pPr>
            <w:r>
              <w:t xml:space="preserve">Results/Discussion</w:t>
            </w:r>
          </w:p>
        </w:tc>
        <w:tc>
          <w:p>
            <w:pPr>
              <w:pStyle w:val="Compact"/>
              <w:jc w:val="right"/>
            </w:pPr>
            <w:r>
              <w:t xml:space="preserve">802 words</w:t>
            </w:r>
          </w:p>
        </w:tc>
        <w:tc>
          <w:p>
            <w:pPr>
              <w:pStyle w:val="Compact"/>
              <w:jc w:val="right"/>
            </w:pPr>
            <w:r>
              <w:t xml:space="preserve">5410 char</w:t>
            </w:r>
          </w:p>
        </w:tc>
      </w:tr>
      <w:tr>
        <w:tc>
          <w:p>
            <w:pPr>
              <w:pStyle w:val="Compact"/>
              <w:jc w:val="left"/>
            </w:pPr>
            <w:r>
              <w:t xml:space="preserve">Implications (incomplete)</w:t>
            </w:r>
          </w:p>
        </w:tc>
        <w:tc>
          <w:p>
            <w:pPr>
              <w:pStyle w:val="Compact"/>
              <w:jc w:val="right"/>
            </w:pPr>
            <w:r>
              <w:t xml:space="preserve">532 words</w:t>
            </w:r>
          </w:p>
        </w:tc>
        <w:tc>
          <w:p>
            <w:pPr>
              <w:pStyle w:val="Compact"/>
              <w:jc w:val="right"/>
            </w:pPr>
            <w:r>
              <w:t xml:space="preserve">3334 char</w:t>
            </w:r>
          </w:p>
        </w:tc>
      </w:tr>
      <w:tr>
        <w:tc>
          <w:p>
            <w:pPr>
              <w:pStyle w:val="Compact"/>
              <w:jc w:val="left"/>
            </w:pPr>
            <w:r>
              <w:t xml:space="preserve">Conclusions</w:t>
            </w:r>
          </w:p>
        </w:tc>
        <w:tc>
          <w:p>
            <w:pPr>
              <w:pStyle w:val="Compact"/>
              <w:jc w:val="right"/>
            </w:pPr>
            <w:r>
              <w:t xml:space="preserve">390 words</w:t>
            </w:r>
          </w:p>
        </w:tc>
        <w:tc>
          <w:p>
            <w:pPr>
              <w:pStyle w:val="Compact"/>
              <w:jc w:val="right"/>
            </w:pPr>
            <w:r>
              <w:t xml:space="preserve">2813 char</w:t>
            </w:r>
          </w:p>
        </w:tc>
      </w:tr>
      <w:tr>
        <w:tc>
          <w:p>
            <w:pPr>
              <w:pStyle w:val="Compact"/>
              <w:jc w:val="left"/>
            </w:pPr>
            <w:r>
              <w:t xml:space="preserve">Methods (incomplete)</w:t>
            </w:r>
          </w:p>
        </w:tc>
        <w:tc>
          <w:p>
            <w:pPr>
              <w:pStyle w:val="Compact"/>
              <w:jc w:val="right"/>
            </w:pPr>
            <w:r>
              <w:t xml:space="preserve">612 words</w:t>
            </w:r>
          </w:p>
        </w:tc>
        <w:tc>
          <w:p>
            <w:pPr>
              <w:pStyle w:val="Compact"/>
              <w:jc w:val="right"/>
            </w:pPr>
            <w:r>
              <w:t xml:space="preserve">3889 char</w:t>
            </w:r>
          </w:p>
        </w:tc>
      </w:tr>
      <w:tr>
        <w:tc>
          <w:p>
            <w:pPr>
              <w:pStyle w:val="Compact"/>
              <w:jc w:val="left"/>
            </w:pPr>
            <w:r>
              <w:t xml:space="preserve">total body</w:t>
            </w:r>
          </w:p>
        </w:tc>
        <w:tc>
          <w:p>
            <w:pPr>
              <w:pStyle w:val="Compact"/>
              <w:jc w:val="right"/>
            </w:pPr>
            <w:r>
              <w:t xml:space="preserve">2848 words</w:t>
            </w:r>
          </w:p>
        </w:tc>
        <w:tc>
          <w:p>
            <w:pPr>
              <w:pStyle w:val="Compact"/>
              <w:jc w:val="right"/>
            </w:pPr>
            <w:r>
              <w:t xml:space="preserve">18857 char</w:t>
            </w:r>
          </w:p>
        </w:tc>
      </w:tr>
    </w:tbl>
    <w:p>
      <w:pPr>
        <w:pStyle w:val="Heading1"/>
      </w:pPr>
      <w:bookmarkStart w:id="24" w:name="introduction"/>
      <w:bookmarkEnd w:id="24"/>
      <w:r>
        <w:t xml:space="preserve">Introduction</w:t>
      </w:r>
    </w:p>
    <w:p>
      <w:r>
        <w:t xml:space="preserve">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(Kaschner et al.</w:t>
      </w:r>
      <w:r>
        <w:t xml:space="preserve"> </w:t>
      </w:r>
      <w:r>
        <w:rPr>
          <w:i/>
          <w:b/>
        </w:rPr>
        <w:t xml:space="preserve">2013???</w:t>
      </w:r>
      <w:r>
        <w:t xml:space="preserve">) and International Union for Conservation of Nature (IUCN) (IUCN 2015). These two spatial datasets have been used for a wide range of purposes, including assessing marine species status (Halpern et al. 2012, 2015</w:t>
      </w:r>
      <w:r>
        <w:t xml:space="preserve"> </w:t>
      </w:r>
      <w:r>
        <w:rPr>
          <w:i/>
        </w:rPr>
        <w:t xml:space="preserve">both</w:t>
      </w:r>
      <w:r>
        <w:t xml:space="preserve">; Selig et al. 2013</w:t>
      </w:r>
      <w:r>
        <w:t xml:space="preserve"> </w:t>
      </w:r>
      <w:r>
        <w:rPr>
          <w:i/>
        </w:rPr>
        <w:t xml:space="preserve">both</w:t>
      </w:r>
      <w:r>
        <w:t xml:space="preserve">), evaluating global biodiversity patterns (Coll et al. 2010</w:t>
      </w:r>
      <w:r>
        <w:t xml:space="preserve"> </w:t>
      </w:r>
      <w:r>
        <w:rPr>
          <w:i/>
        </w:rPr>
        <w:t xml:space="preserve">AM</w:t>
      </w:r>
      <w:r>
        <w:t xml:space="preserve">; Martin et al. 2014</w:t>
      </w:r>
      <w:r>
        <w:t xml:space="preserve"> </w:t>
      </w:r>
      <w:r>
        <w:rPr>
          <w:i/>
        </w:rPr>
        <w:t xml:space="preserve">both and others</w:t>
      </w:r>
      <w:r>
        <w:t xml:space="preserve">, Pimm et al. 2014</w:t>
      </w:r>
      <w:r>
        <w:t xml:space="preserve"> </w:t>
      </w:r>
      <w:r>
        <w:rPr>
          <w:i/>
        </w:rPr>
        <w:t xml:space="preserve">IUCN, mostly focusing on terrestrial but some marine</w:t>
      </w:r>
      <w:r>
        <w:t xml:space="preserve">, Kaschner et al. 2011), predicting range shifts (Molinos et al. 2015</w:t>
      </w:r>
      <w:r>
        <w:t xml:space="preserve"> </w:t>
      </w:r>
      <w:r>
        <w:rPr>
          <w:i/>
        </w:rPr>
        <w:t xml:space="preserve">AquaMaps</w:t>
      </w:r>
      <w:r>
        <w:t xml:space="preserve">), and setting conservation priorities (Klein et al. 2015</w:t>
      </w:r>
      <w:r>
        <w:t xml:space="preserve"> </w:t>
      </w:r>
      <w:r>
        <w:rPr>
          <w:i/>
        </w:rPr>
        <w:t xml:space="preserve">AquaMaps</w:t>
      </w:r>
      <w:r>
        <w:t xml:space="preserve">).</w:t>
      </w:r>
    </w:p>
    <w:p>
      <w:r>
        <w:rPr>
          <w:i/>
          <w:b/>
        </w:rPr>
        <w:t xml:space="preserve">BSH comment:</w:t>
      </w:r>
      <w:r>
        <w:t xml:space="preserve"> </w:t>
      </w:r>
      <w:r>
        <w:rPr>
          <w:i/>
        </w:rPr>
        <w:t xml:space="preserve">I think Julie makes this comment below, but we may need to be able to substantiate this somehow. Is there a way to quickly figure out how many studies have used AM vs. IUCN?</w:t>
      </w:r>
      <w:r>
        <w:t xml:space="preserve"> </w:t>
      </w:r>
      <w:r>
        <w:rPr>
          <w:i/>
          <w:b/>
        </w:rPr>
        <w:t xml:space="preserve">CCO: I can give # of citations for AquaMaps foundational papers (~315); IUCN is tougher since IUCN citations aren't necessarily spatial or marine. How important is this - i.e. can I get away without making a big deal here? or making a sweeping statement of some sort??</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92.9% of total), such that most global analyses related to biodiversity to date have used AquaMaps (IUCN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the possible consequences of different data use decisions on our understanding of marine biodiversity status and protection.</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based on expert input of spatial boundaries of a given species' "limits of distribution" (IUCN 2015) - essentially a refined extent of occurrence, based on observation records and refined by expert understanding of the species' range and habitat preferences. In contrast,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 Studies frequently define "presence" for AquaMaps by applying a probability threshold, e.g. 40% or greater probability of occurrence (Halpern et al. 2012, 2015).</w:t>
      </w:r>
    </w:p>
    <w:p>
      <w:r>
        <w:t xml:space="preserve">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et al. 2006). By comparing maps resulting from IUCN and AquaMaps methodolog, we can identify and possibly address mechanistic causes for each type of error.</w:t>
      </w:r>
    </w:p>
    <w:p>
      <w:r>
        <w:t xml:space="preserve">The two datasets have notably different taxonomic (Fig. 1) and regional (Fig. 2) coverage. AquaMaps encompasses a broader range of taxa than IUCN, as IUCN spatial data files are only available for select taxonomic groups that have been comprehensively assessed. While species numbers in both datasets peak in tropical latitudes near the equator, species counts for IUCN maps drops quickly beyond 30°N and 30°S, while species counts for AquaMaps remains robust well into temperate latitudes. The longitude frequency plots show a slight bias 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r>
        <w:t xml:space="preserve">To explore differences in species distribution and range between the two datasets, we plotted the distribution alignment (how much of the smaller range falls within the larger range, i.e. where on the map) against the area alignment (ratio of smaller range area to larger range area, i.e. how much of the map) for each shared species (Fig. 3A).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r>
        <w:t xml:space="preserve">The mean distribution alignment for species included in both datasets was 63%; the mean area alignment was 54.5%. By dividing the map-paired species into quadrants based on these means, we highlight categories of relationships that help further explain this general pattern. For representative maps from each category, please refer to the supplemental materials (SI Fig. XXX).</w:t>
      </w:r>
    </w:p>
    <w:p>
      <w:r>
        <w:t xml:space="preserve">The upper right quadrant includes species (n = 527) whose described ranges are above average in both spatial distribution and extent. These species tend to be well-studied and include wide-ranging pelagic organisms such as marine mammals, tunas, and billfishes (Fig. 3B). This result is not surprising, as species with very large ranges are likely to be more aligned regardless of methodology simply because their ranges span nearly the entire map.</w:t>
      </w:r>
    </w:p>
    <w:p>
      <w:r>
        <w:t xml:space="preserve">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to extend corals into waters beyond their preferred depths, likely introducing errors of commission (SI Figs. XXX, XXX). Ocean depth is explicitly included in AquaMaps models, while depth is frequently overlooked as a factor in IUCN range maps. Simply clipping IUCN range maps to known depth preferences would resolve many of these mismatches.</w:t>
      </w:r>
    </w:p>
    <w:p>
      <w:r>
        <w:t xml:space="preserve">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r>
        <w:t xml:space="preserve">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r>
        <w:t xml:space="preserve">While we examined IUCN Red List extinction risk categories by quadrant, expecting to see more concurrence between maps for species of concern; however, we found no compelling patterns (SI Fig. XXX).</w:t>
      </w:r>
    </w:p>
    <w:p>
      <w:r>
        <w:pict>
          <v:rect style="width:0;height:1.5pt" o:hralign="center" o:hrstd="t" o:hr="t"/>
        </w:pict>
      </w:r>
    </w:p>
    <w:p>
      <w:pPr>
        <w:pStyle w:val="Heading1"/>
      </w:pPr>
      <w:bookmarkStart w:id="27" w:name="implications"/>
      <w:bookmarkEnd w:id="27"/>
      <w:r>
        <w:t xml:space="preserve">Implications</w:t>
      </w:r>
    </w:p>
    <w:p>
      <w:r>
        <w:t xml:space="preserve">Method-driven differences in commission and omission errors drive clear and significant differences in species range descriptions between AquaMaps and IUCN datasets. To examine the implications of these differences, we replicated two recent studies, varying only the prioritization of one data set over the other.</w:t>
      </w:r>
    </w:p>
    <w:p>
      <w:r>
        <w:rPr>
          <w:b/>
        </w:rPr>
        <w:t xml:space="preserve">Case Study: The Ocean Health Index</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2,279 species included in both sources. OHI currently uses a probability of occurrence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4</w:t>
      </w:r>
      <w:r>
        <w:t xml:space="preserve">).</w:t>
      </w:r>
      <w:r>
        <w:br w:type="textWrapping"/>
      </w:r>
      <w:r>
        <w:t xml:space="preserve"> </w:t>
      </w:r>
      <w:r>
        <w:t xml:space="preserve">Reducing the threshold increases the apparent range of a species; the slight decrease in average score for scenario 1 suggests increased spatial representation of threatened species.</w:t>
      </w:r>
      <w:r>
        <w:br w:type="textWrapping"/>
      </w:r>
      <w:r>
        <w:t xml:space="preserve"> </w:t>
      </w:r>
      <w:r>
        <w:t xml:space="preserve">The slight bump in mean score for scenario 2 may indicate a small increase in spatial representation of low-risk species, a small decrease in spatial representation of high-risk species, or a combination of both. The large decrease shown in scenario 3 indicates that a zero threshold greatly increases the spatial representation of high-risk species.</w:t>
      </w:r>
    </w:p>
    <w:p>
      <w:r>
        <w:t xml:space="preserve">Given that only 9.3 percent of species overlap, it is surprising that changing the priority for overlapping species from IUCN maps to AquaMaps would result in such large country-level score shifts as seen in scenarios 2 and 3. While many country scores showed only small variation across all three scenarios, select countries gained up to 5 points while others dropped as many as 12 points. Significantly, the global score decreased by two full points in scenario 3, indicating that an arbitrary change in how the two datasets are combined can result in a more dire assessment of species conservation status.</w:t>
      </w:r>
    </w:p>
    <w:p>
      <w:r>
        <w:pict>
          <v:rect style="width:0;height:1.5pt" o:hralign="center" o:hrstd="t" o:hr="t"/>
        </w:pict>
      </w:r>
    </w:p>
    <w:p>
      <w:r>
        <w:rPr>
          <w:b/>
        </w:rPr>
        <w:t xml:space="preserve">Case Study: MPA Gap Analysis</w:t>
      </w:r>
    </w:p>
    <w:p>
      <w:r>
        <w:t xml:space="preserve">Klein et al. (2015) compare the global distribution of species to the global distribution of marine protected areas to assess how well the MPAs protect key species and identify which species fall through gaps in protection. The study relied on the AquaMaps database, using a probability of occurrence threshold of 50% or greater, to determine species presence, and the World Database of Protected Areas to define zones of marine protection. The study determined that the global MPA network is woefully inadequate in protecting marine biodiversity: 90.5% of species have less than 5% of their overall range represented within MPAs and 1.4% of species have no protection at all ("gap" species).</w:t>
      </w:r>
    </w:p>
    <w:p>
      <w:r>
        <w:t xml:space="preserve">(</w:t>
      </w:r>
      <w:r>
        <w:t xml:space="preserve">Figure 5</w:t>
      </w:r>
      <w:r>
        <w:t xml:space="preserve">) displays the results of applying this methodology under new scenarios. When comparing the conclusions based upon an IUCN-only scenario to an AquaMaps-only scenario (using 2015 AquaMaps data and a 0% threshold sets the most meaningful comparison to IUCN's "limits of distribution")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r>
        <w:rPr>
          <w:i/>
          <w:b/>
        </w:rPr>
        <w:t xml:space="preserve">working on checking why so many gaps and 10+ species show up with IUCN. I will write up a paragraph once I've had a little more time to examine maps</w:t>
      </w:r>
    </w:p>
    <w:p>
      <w:pPr>
        <w:pStyle w:val="Compact"/>
        <w:numPr>
          <w:numId w:val="1002"/>
          <w:ilvl w:val="0"/>
        </w:numPr>
      </w:pPr>
      <w:r>
        <w:t xml:space="preserve">check which species are gap species; check maps</w:t>
      </w:r>
    </w:p>
    <w:p>
      <w:pPr>
        <w:pStyle w:val="Compact"/>
        <w:numPr>
          <w:numId w:val="1002"/>
          <w:ilvl w:val="0"/>
        </w:numPr>
      </w:pPr>
      <w:r>
        <w:t xml:space="preserve">check which species are 10%+ species and check maps</w:t>
      </w:r>
    </w:p>
    <w:p>
      <w:pPr>
        <w:pStyle w:val="Compact"/>
        <w:numPr>
          <w:numId w:val="1002"/>
          <w:ilvl w:val="0"/>
        </w:numPr>
      </w:pPr>
      <w:r>
        <w:t xml:space="preserve">where do these species fall georegionally? is there anything odd about their ranges? any reason why IUCN would be</w:t>
      </w:r>
    </w:p>
    <w:p>
      <w:pPr>
        <w:pStyle w:val="Compact"/>
        <w:numPr>
          <w:numId w:val="1002"/>
          <w:ilvl w:val="0"/>
        </w:numPr>
      </w:pPr>
      <w:r>
        <w:t xml:space="preserve">hypothesis to explain more gap species: Aquamaps more diffuse than IUCN, catching individual cells that could be suitable; a single cell (even low probability) moves a species from "gap" to non-gap status. IUCN more clustered by polygon boundaries; so no scattered cells to accidentally fall into an MPA.</w:t>
      </w:r>
    </w:p>
    <w:p>
      <w:pPr>
        <w:pStyle w:val="Compact"/>
        <w:numPr>
          <w:numId w:val="1003"/>
          <w:ilvl w:val="1"/>
        </w:numPr>
      </w:pPr>
      <w:r>
        <w:t xml:space="preserve">introducing errors: AM = likely commission (overestimates species with tiny bits of range in MPAs) vs IUCN = possible omission (misses possible real habitat that falls within MPAs)</w:t>
      </w:r>
    </w:p>
    <w:p>
      <w:pPr>
        <w:pStyle w:val="Compact"/>
        <w:numPr>
          <w:numId w:val="1002"/>
          <w:ilvl w:val="0"/>
        </w:numPr>
      </w:pPr>
      <w:r>
        <w:t xml:space="preserve">hypothesis to explain more 10%+ species - ten random samples most have IUCN polygons just east of Australia where a large MPA is indicated - Great Barrier Reef I assume - a single large poly falling in GBR gets a high score, while for the same species, many of the AM ranges (also in same area) scatter suitable area over larger extent, so lower percent of species range is protected</w:t>
      </w:r>
    </w:p>
    <w:p>
      <w:pPr>
        <w:pStyle w:val="Compact"/>
        <w:numPr>
          <w:numId w:val="1004"/>
          <w:ilvl w:val="1"/>
        </w:numPr>
      </w:pPr>
      <w:r>
        <w:t xml:space="preserve">introducing errors: IUCN = likely omission (skipping possible real habitat outside of MPAs) and likely commission (possibly overcounting real habitat in MPAs e.g. GBR); AquaMaps = probably a little commission (possibly underestimating, if it overpredicts lots of range outside MPAs, thus reducing the proportion of protected range)</w:t>
      </w:r>
    </w:p>
    <w:p>
      <w:r>
        <w:pict>
          <v:rect style="width:0;height:1.5pt" o:hralign="center" o:hrstd="t" o:hr="t"/>
        </w:pict>
      </w:r>
    </w:p>
    <w:p>
      <w:pPr>
        <w:pStyle w:val="Heading1"/>
      </w:pPr>
      <w:bookmarkStart w:id="28" w:name="conclusions"/>
      <w:bookmarkEnd w:id="28"/>
      <w:r>
        <w:t xml:space="preserve">Conclusions</w:t>
      </w:r>
    </w:p>
    <w:p>
      <w:r>
        <w:t xml:space="preserve">AquaMaps and IUCN range maps provide important spatial information on marine species ranges, and show reasonable agreement for many well-studied species, but illustrate uncertainty in our understanding of spatial distribution for many others. Identifying and addressing differences in these datasets will increase their utility for ecology research and conservation actions. We have identified several likely drivers of commission errors and omission errors between these datasets, pointing toward improvements to better align the predictions of species distributions.</w:t>
      </w:r>
    </w:p>
    <w:p>
      <w:r>
        <w:t xml:space="preserve">The IUCN Red List instructional materials for mapping marine species suggest that "bathymetry can be used to delineate species' ranges limited by depth in the same way as elevation is used for terrestrial species" (IUCN 2015). Especially for demersal communities dependent on photosynthesis, bathymetry should be a primary consideration; data users might consider a simple cutoff at the photosynthetic limit of 200 meters to minimize a likely source of commission errors.</w:t>
      </w:r>
    </w:p>
    <w:p>
      <w:r>
        <w:t xml:space="preserve">The AquaMaps methodology is a powerful means of quickly estimating species distribution based on limited information; however, the model's output is only as good as the input data, which for marine species is often sorely limited. In addition to environmental preferences and conditions, AquaMaps mapping parameters include area restrictions to help limit over-extrapolation of AquaMaps models. Currently, these area restrictions are denoted by UN Food and Agriculture Organisation (FAO) fisheries reporting areas (Ready et al. 2010); however, area restrictions based on biogeographical criteria, e.g. Marine Ecoregions of the World (Spalding et al. 2007), would likely decrease commission errors and improve predictive power, especially for data-poor species.</w:t>
      </w:r>
    </w:p>
    <w:p>
      <w:r>
        <w:t xml:space="preserve">When using AquaMaps data alone, changing the probability of occurrence threshold to determine presence becomes a tradeoff between errors of commission (low threshold) and omission (high threshold). Using AquaMaps in conjunction with IUCN can increase the taxonomic and spatial breadth of coverage, as long as the differences between the datasets can be reasonably minimized. In this case, we recommend a presence threshold of 0% as it most closely approximates the "limits of distribution" criterion defined by IUCN data providers.</w:t>
      </w:r>
    </w:p>
    <w:p>
      <w:r>
        <w:t xml:space="preserve">AquaMaps and IUCN are two of the most important databases providing species distribution information across a wide range of marine species, taxa, and regions. The different methodologies behind the creation of each database is likely to introduce different rates of commission and omission errors, which can have a profound impact on our understanding of species ranges. By comparing overlapping species maps from these two databases, we have identified likely sources of error, allowing data users to address or account for them. For users of AquaMaps, IUCN, and other datasets of species distribution, reducing the likelihood of these errors is critical to effective biodiversity research and conservation action.</w:t>
      </w:r>
    </w:p>
    <w:p>
      <w:r>
        <w:pict>
          <v:rect style="width:0;height:1.5pt" o:hralign="center" o:hrstd="t" o:hr="t"/>
        </w:pict>
      </w:r>
    </w:p>
    <w:p>
      <w:pPr>
        <w:pStyle w:val="Heading1"/>
      </w:pPr>
      <w:bookmarkStart w:id="29" w:name="methods"/>
      <w:bookmarkEnd w:id="29"/>
      <w:r>
        <w:t xml:space="preserve">Methods</w:t>
      </w:r>
    </w:p>
    <w:p>
      <w:r>
        <w:rPr>
          <w:b/>
        </w:rPr>
        <w:t xml:space="preserve">Comparison of taxonomic and regional distribution:</w:t>
      </w:r>
      <w:r>
        <w:t xml:space="preserve"> </w:t>
      </w:r>
      <w:r>
        <w:t xml:space="preserve">To examine the overall taxonomic distribution across the spatial datasets (Fig. 1),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the "extent of occurrence" generally indicated by IUCN maps. We represented relative distribution of species count for each dataset by plotting average species count against latitude and longitude (Fig. A, 2B).</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3A:</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For each species with ranges described in both IUCN and AquaMaps,</w:t>
      </w:r>
      <w:r>
        <w:t xml:space="preserve"> </w:t>
      </w:r>
      <m:oMath>
        <m:sSub>
          <m:e>
            <m:r>
              <m:rPr>
                <m:sty m:val="p"/>
              </m:rPr>
              <m:t>A</m:t>
            </m:r>
          </m:e>
          <m:sub>
            <m:r>
              <m:rPr>
                <m:sty m:val="p"/>
              </m:rPr>
              <m:t>s</m:t>
            </m:r>
            <m:r>
              <m:rPr>
                <m:sty m:val="p"/>
              </m:rPr>
              <m:t>m</m:t>
            </m:r>
            <m:r>
              <m:rPr>
                <m:sty m:val="p"/>
              </m:rPr>
              <m:t>a</m:t>
            </m:r>
            <m:r>
              <m:rPr>
                <m:sty m:val="p"/>
              </m:rPr>
              <m:t>l</m:t>
            </m:r>
            <m:r>
              <m:rPr>
                <m:sty m:val="p"/>
              </m:rPr>
              <m:t>l</m:t>
            </m:r>
          </m:sub>
        </m:sSub>
      </m:oMath>
      <w:r>
        <w:t xml:space="preserve"> </w:t>
      </w:r>
      <w:r>
        <w:t xml:space="preserve">and</w:t>
      </w:r>
      <w:r>
        <w:t xml:space="preserve"> </w:t>
      </w:r>
      <m:oMath>
        <m:sSub>
          <m:e>
            <m:r>
              <m:rPr>
                <m:sty m:val="p"/>
              </m:rPr>
              <m:t>A</m:t>
            </m:r>
          </m:e>
          <m:sub>
            <m:r>
              <m:rPr>
                <m:sty m:val="p"/>
              </m:rPr>
              <m:t>l</m:t>
            </m:r>
            <m:r>
              <m:rPr>
                <m:sty m:val="p"/>
              </m:rPr>
              <m:t>a</m:t>
            </m:r>
            <m:r>
              <m:rPr>
                <m:sty m:val="p"/>
              </m:rPr>
              <m:t>r</m:t>
            </m:r>
            <m:r>
              <m:rPr>
                <m:sty m:val="p"/>
              </m:rPr>
              <m:t>g</m:t>
            </m:r>
            <m:r>
              <m:rPr>
                <m:sty m:val="p"/>
              </m:rPr>
              <m:t>e</m:t>
            </m:r>
          </m:sub>
        </m:sSub>
      </m:oMath>
      <w:r>
        <w:t xml:space="preserve"> </w:t>
      </w:r>
      <w:r>
        <w:t xml:space="preserve">indicate the smaller and larger range representation (regardless of which dataset).</w:t>
      </w:r>
      <w:r>
        <w:t xml:space="preserve"> </w:t>
      </w:r>
      <m:oMath>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oMath>
      <w:r>
        <w:t xml:space="preserve"> </w:t>
      </w:r>
      <w:r>
        <w:t xml:space="preserve">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(WDPA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2279 overlapping species and again compared against the protected area raster.</w:t>
      </w:r>
    </w:p>
    <w:p>
      <w:r>
        <w:t xml:space="preserve">All processing was completed in R (REF), and all code and intermediate data are available on GitHub (REF?) at</w:t>
      </w:r>
      <w:r>
        <w:t xml:space="preserve"> </w:t>
      </w:r>
      <w:hyperlink r:id="rId30">
        <w:r>
          <w:rPr>
            <w:rStyle w:val="Link"/>
          </w:rPr>
          <w:t xml:space="preserve">https://github.com/OHI-Science/IUCN-AquaMaps</w:t>
        </w:r>
      </w:hyperlink>
      <w:r>
        <w:t xml:space="preserve">.</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p>
    <w:p/>
    <w:p>
      <w:r>
        <w:drawing>
          <wp:inline>
            <wp:extent cx="5440680" cy="2137965"/>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137965"/>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Overlapping species are dominated by bony fishes (983 species, primarily tropical taxa) and corals (396 species).</w:t>
      </w:r>
    </w:p>
    <w:p>
      <w:pPr>
        <w:pStyle w:val="Heading3"/>
      </w:pPr>
      <w:bookmarkStart w:id="34" w:name="fig.-2"/>
      <w:bookmarkEnd w:id="34"/>
      <w:r>
        <w:t xml:space="preserve">Fig. 2</w:t>
      </w:r>
    </w:p>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6"/>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2.</w:t>
      </w:r>
      <w:r>
        <w:t xml:space="preserve">(A, B) Number of global marine species according to (A) AquaMaps and (B) IUCN. The margin frequency plots show relative species count per cell at each latitude and longitude.</w:t>
      </w:r>
    </w:p>
    <w:p>
      <w:pPr>
        <w:pStyle w:val="Heading3"/>
      </w:pPr>
      <w:bookmarkStart w:id="37" w:name="fig.-3"/>
      <w:bookmarkEnd w:id="37"/>
      <w:r>
        <w:t xml:space="preserve">Fig. 3</w:t>
      </w:r>
    </w:p>
    <w:p/>
    <w:p>
      <w:r>
        <w:drawing>
          <wp:inline>
            <wp:extent cx="5440680" cy="2741845"/>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8"/>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drawing>
          <wp:inline>
            <wp:extent cx="5440680" cy="2128962"/>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9"/>
                    <a:stretch>
                      <a:fillRect/>
                    </a:stretch>
                  </pic:blipFill>
                  <pic:spPr bwMode="auto">
                    <a:xfrm>
                      <a:off x="0" y="0"/>
                      <a:ext cx="5440680" cy="2128962"/>
                    </a:xfrm>
                    <a:prstGeom prst="rect">
                      <a:avLst/>
                    </a:prstGeom>
                    <a:noFill/>
                    <a:ln w="9525">
                      <a:noFill/>
                      <a:headEnd/>
                      <a:tailEnd/>
                    </a:ln>
                  </pic:spPr>
                </pic:pic>
              </a:graphicData>
            </a:graphic>
          </wp:inline>
        </w:drawing>
      </w:r>
    </w:p>
    <w:p>
      <w:pPr>
        <w:pStyle w:val="BlockQuote"/>
      </w:pPr>
      <w:r>
        <w:rPr>
          <w:b/>
        </w:rPr>
        <w:t xml:space="preserve">Fig. 3.</w:t>
      </w:r>
      <w:r>
        <w:t xml:space="preserve"> </w:t>
      </w:r>
      <w:r>
        <w:t xml:space="preserve">(A) Distribution alignment (overlap of smaller range within larger) versus extent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ype="textWrapping"/>
      </w:r>
      <w:r>
        <w:t xml:space="preserve">(B) Alignment quadrant breakdown of paired-map species by taxonomic group.</w:t>
      </w:r>
    </w:p>
    <w:p>
      <w:pPr>
        <w:pStyle w:val="Heading3"/>
      </w:pPr>
      <w:bookmarkStart w:id="40" w:name="figure-4"/>
      <w:bookmarkEnd w:id="40"/>
      <w:r>
        <w:t xml:space="preserve">Figure 4</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41"/>
                    <a:stretch>
                      <a:fillRect/>
                    </a:stretch>
                  </pic:blipFill>
                  <pic:spPr bwMode="auto">
                    <a:xfrm>
                      <a:off x="0" y="0"/>
                      <a:ext cx="5440680" cy="2714057"/>
                    </a:xfrm>
                    <a:prstGeom prst="rect">
                      <a:avLst/>
                    </a:prstGeom>
                    <a:noFill/>
                    <a:ln w="9525">
                      <a:noFill/>
                      <a:headEnd/>
                      <a:tailEnd/>
                    </a:ln>
                  </pic:spPr>
                </pic:pic>
              </a:graphicData>
            </a:graphic>
          </wp:inline>
        </w:drawing>
      </w:r>
    </w:p>
    <w:p>
      <w:pPr>
        <w:pStyle w:val="BlockQuote"/>
      </w:pPr>
      <w:r>
        <w:rPr>
          <w:b/>
        </w:rPr>
        <w:t xml:space="preserve">Fig. 4.</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w:t>
      </w:r>
      <w:r>
        <w:br w:type="textWrapping"/>
      </w:r>
      <w:r>
        <w:t xml:space="preserve">Scenario 2 shows the effect of prioritizing AquaMaps data over IUCN, while maintaining the 40% presence threshold. In general, AquaMaps ranges are smaller than IUCN ranges, so most overlapping species will see a decrease in represented range.</w:t>
      </w:r>
      <w:r>
        <w:br w:type="textWrapping"/>
      </w:r>
      <w:r>
        <w:t xml:space="preserve">Scenario 3 shows the effect of prioritizing AquaMaps data over IUCN, and simultaneously eliminating the presence threshold. The zero threshold in scenario 3 drives a decrease in scores relative to scenario 2.</w:t>
      </w:r>
    </w:p>
    <w:p>
      <w:r>
        <w:rPr>
          <w:i/>
          <w:b/>
        </w:rPr>
        <w:t xml:space="preserve">NOTE: This figure still needs to be recreated using the latest and greatest data!</w:t>
      </w:r>
      <w:r>
        <w:t xml:space="preserve"> </w:t>
      </w:r>
      <w:r>
        <w:rPr>
          <w:i/>
        </w:rPr>
        <w:t xml:space="preserve">currently they use data generated in November or so, in ohiprep.</w:t>
      </w:r>
    </w:p>
    <w:p>
      <w:pPr>
        <w:pStyle w:val="Heading3"/>
      </w:pPr>
      <w:bookmarkStart w:id="42" w:name="figure-5"/>
      <w:bookmarkEnd w:id="42"/>
      <w:r>
        <w:t xml:space="preserve">Figure 5</w:t>
      </w:r>
    </w:p>
    <w:p/>
    <w:p>
      <w:r>
        <w:drawing>
          <wp:inline>
            <wp:extent cx="5440680" cy="1527118"/>
            <wp:effectExtent b="0" l="0" r="0" t="0"/>
            <wp:docPr descr="" id="1" name="Picture"/>
            <a:graphic>
              <a:graphicData uri="http://schemas.openxmlformats.org/drawingml/2006/picture">
                <pic:pic>
                  <pic:nvPicPr>
                    <pic:cNvPr descr="figures/barchart_mpa_gap.png" id="0" name="Picture"/>
                    <pic:cNvPicPr>
                      <a:picLocks noChangeArrowheads="1" noChangeAspect="1"/>
                    </pic:cNvPicPr>
                  </pic:nvPicPr>
                  <pic:blipFill>
                    <a:blip r:embed="rId43"/>
                    <a:stretch>
                      <a:fillRect/>
                    </a:stretch>
                  </pic:blipFill>
                  <pic:spPr bwMode="auto">
                    <a:xfrm>
                      <a:off x="0" y="0"/>
                      <a:ext cx="5440680" cy="1527118"/>
                    </a:xfrm>
                    <a:prstGeom prst="rect">
                      <a:avLst/>
                    </a:prstGeom>
                    <a:noFill/>
                    <a:ln w="9525">
                      <a:noFill/>
                      <a:headEnd/>
                      <a:tailEnd/>
                    </a:ln>
                  </pic:spPr>
                </pic:pic>
              </a:graphicData>
            </a:graphic>
          </wp:inline>
        </w:drawing>
      </w:r>
    </w:p>
    <w:p>
      <w:pPr>
        <w:pStyle w:val="BlockQuote"/>
      </w:pPr>
      <w:r>
        <w:rPr>
          <w:b/>
        </w:rPr>
        <w:t xml:space="preserve">Fig. 5.</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p>
      <w:r>
        <w:pict>
          <v:rect style="width:0;height:1.5pt" o:hralign="center" o:hrstd="t" o:hr="t"/>
        </w:pict>
      </w:r>
    </w:p>
    <w:p>
      <w:pPr>
        <w:pStyle w:val="Heading1"/>
      </w:pPr>
      <w:bookmarkStart w:id="44" w:name="acknowledgments"/>
      <w:bookmarkEnd w:id="44"/>
      <w:r>
        <w:t xml:space="preserve">Acknowledgments</w:t>
      </w:r>
    </w:p>
    <w:p>
      <w:pPr>
        <w:pStyle w:val="Heading1"/>
      </w:pPr>
      <w:bookmarkStart w:id="45" w:name="references"/>
      <w:bookmarkEnd w:id="45"/>
      <w:r>
        <w:t xml:space="preserve">References</w:t>
      </w:r>
    </w:p>
    <w:p>
      <w:r>
        <w:rPr>
          <w:i/>
          <w:b/>
        </w:rPr>
        <w:t xml:space="preserve">double check formats; also - include DOIs for references? which if any?</w:t>
      </w:r>
    </w:p>
    <w:p>
      <w:r>
        <w:t xml:space="preserve">Kaschner K et al. (2015) AquaMaps: Predicted range maps for aquatic species. World wide web electronic publication, www.aquamaps.org, Version 08/2015.</w:t>
      </w:r>
      <w:r>
        <w:t xml:space="preserve"> </w:t>
      </w:r>
      <w:r>
        <w:rPr>
          <w:i/>
          <w:b/>
        </w:rPr>
        <w:t xml:space="preserve">since this is not a peer-reviewed publication, can we include this for PNAS reference list?</w:t>
      </w:r>
    </w:p>
    <w:p>
      <w:r>
        <w:t xml:space="preserve">IUCN (2015). The IUCN Red List of Threatened Species. Version 2015-4.</w:t>
      </w:r>
      <w:r>
        <w:t xml:space="preserve"> </w:t>
      </w:r>
      <w:hyperlink r:id="rId46">
        <w:r>
          <w:rPr>
            <w:rStyle w:val="Link"/>
          </w:rPr>
          <w:t xml:space="preserve">http://www.iucnredlist.org</w:t>
        </w:r>
      </w:hyperlink>
      <w:r>
        <w:t xml:space="preserve">. Downloaded on 21 December 2015.</w:t>
      </w:r>
      <w:r>
        <w:t xml:space="preserve"> </w:t>
      </w:r>
      <w:r>
        <w:rPr>
          <w:i/>
          <w:b/>
        </w:rPr>
        <w:t xml:space="preserve">since this is not a peer-reviewed publication, can we include this for PNAS reference list?</w:t>
      </w:r>
    </w:p>
    <w:p>
      <w:r>
        <w:t xml:space="preserve">Halpern BS et al. (2012). An index to assess the health and benefits of the global ocean. Nature, 488(7413), 615-620. _</w:t>
      </w:r>
      <w:hyperlink r:id="rId47">
        <w:r>
          <w:rPr>
            <w:rStyle w:val="Link"/>
          </w:rPr>
          <w:t xml:space="preserve">doi:10.1038/nature11397._</w:t>
        </w:r>
      </w:hyperlink>
    </w:p>
    <w:p>
      <w:r>
        <w:t xml:space="preserve">Halpern BS et al. (2015). Patterns and emerging trends in global ocean health. PloS one, 10(3), e0117863.</w:t>
      </w:r>
      <w:r>
        <w:t xml:space="preserve"> </w:t>
      </w:r>
      <w:r>
        <w:rPr>
          <w:i/>
          <w:b/>
        </w:rPr>
        <w:t xml:space="preserve">doi?</w:t>
      </w:r>
    </w:p>
    <w:p>
      <w:r>
        <w:t xml:space="preserve">Klein CJ et al. (2015). Shortfalls in the global protected area network at representing marine biodiversity. Scientific Reports 5: 17539. _</w:t>
      </w:r>
      <w:hyperlink r:id="rId48">
        <w:r>
          <w:rPr>
            <w:rStyle w:val="Link"/>
          </w:rPr>
          <w:t xml:space="preserve">doi:10.1038/srep17539._</w:t>
        </w:r>
      </w:hyperlink>
    </w:p>
    <w:p>
      <w:r>
        <w:t xml:space="preserve">Selig ER et al. (2013). Assessing global marine biodiversity status within a coupled socio-ecological perspective. PloS one, 8(4), e60284. _</w:t>
      </w:r>
      <w:hyperlink r:id="rId49">
        <w:r>
          <w:rPr>
            <w:rStyle w:val="Link"/>
          </w:rPr>
          <w:t xml:space="preserve">doi:10.1371/journal.pone.0060284._</w:t>
        </w:r>
      </w:hyperlink>
    </w:p>
    <w:p>
      <w:r>
        <w:t xml:space="preserve">Coll M et al. (2010). The biodiversity of the Mediterranean Sea: estimates, patterns, and threats. PLoS ONE 5(8): e11842.</w:t>
      </w:r>
      <w:r>
        <w:t xml:space="preserve"> </w:t>
      </w:r>
      <w:r>
        <w:rPr>
          <w:i/>
        </w:rPr>
        <w:t xml:space="preserve">used AquaMaps to predict Med biodiversity. Also: Threshold = 0.</w:t>
      </w:r>
    </w:p>
    <w:p>
      <w:r>
        <w:t xml:space="preserve">*Martin CS et al. (2014). Manual of marine and coastal datasets of biodiversity importance. May 2014 release. Cambridge (UK): UNEP World Conservation Monitoring Centre. 28 pp. (+ 4 annexes totalling 174 pp. and one e-supplement).</w:t>
      </w:r>
      <w:r>
        <w:t xml:space="preserve"> </w:t>
      </w:r>
      <w:r>
        <w:rPr>
          <w:i/>
        </w:rPr>
        <w:t xml:space="preserve">review of marine data sets and data gaps etc, incl both IUCN and AM as well as many others</w:t>
      </w:r>
    </w:p>
    <w:p>
      <w:r>
        <w:t xml:space="preserve">Pimm SL et al. (2014). The biodiversity of species and their rates of extinction, distribution, and protection. Science, 344(6187), 1246752.</w:t>
      </w:r>
      <w:r>
        <w:t xml:space="preserve"> </w:t>
      </w:r>
      <w:r>
        <w:rPr>
          <w:i/>
        </w:rPr>
        <w:t xml:space="preserve">uses range maps to show biodiversity areas; may use IUCN range maps. Also discusses gaps and possible things that can be done about them.</w:t>
      </w:r>
    </w:p>
    <w:p>
      <w:r>
        <w:t xml:space="preserve">Kaschner K, Tittensor DP, Ready J, Gerrodette T, Worm B (2011). Current and Future Patterns of Global Marine Mammal Biodiversity. PLoS ONE 6(5): e19653.</w:t>
      </w:r>
      <w:r>
        <w:t xml:space="preserve"> </w:t>
      </w:r>
      <w:r>
        <w:rPr>
          <w:i/>
        </w:rPr>
        <w:t xml:space="preserve">just what the title says - AM development, presence threshold 60%, also analyzes richness as a function of threshold</w:t>
      </w:r>
    </w:p>
    <w:p>
      <w:r>
        <w:t xml:space="preserve">Molinos JG et al. (2015). Climate velocity and the future global redistribution of marine biodiversity. Nature Climate Change. _</w:t>
      </w:r>
      <w:hyperlink r:id="rId50">
        <w:r>
          <w:rPr>
            <w:rStyle w:val="Link"/>
          </w:rPr>
          <w:t xml:space="preserve">doi:10.1038/nclimate2769._</w:t>
        </w:r>
      </w:hyperlink>
    </w:p>
    <w:p>
      <w:r>
        <w:t xml:space="preserve">Rondinini C, Wilson KA, Boitani L, Grantham H, &amp; Possingham HP (2006). Tradeoffs of different types of species occurrence data for use in systematic conservation planning. Ecology letters, 9(10), 1136-1145.</w:t>
      </w:r>
      <w:r>
        <w:t xml:space="preserve"> </w:t>
      </w:r>
      <w:r>
        <w:rPr>
          <w:i/>
        </w:rPr>
        <w:t xml:space="preserve">compares point locality, range maps, and distribution models in terms of omission and commission errors; also outlines Extent of Occurrence and Area of Occupancy distinctions.</w:t>
      </w:r>
    </w:p>
    <w:p>
      <w:r>
        <w:t xml:space="preserve">Jetz W, Sekercioglu CH, and Watson JE (2008). Ecological correlates and conservation implications of overestimating species geographic ranges. Conservation Biology, 22(1), 110-119.</w:t>
      </w:r>
      <w:r>
        <w:t xml:space="preserve"> </w:t>
      </w:r>
      <w:r>
        <w:rPr>
          <w:i/>
        </w:rPr>
        <w:t xml:space="preserve">EOO maps are usually highly interpolated and overestimate small-scale occurrence, which may bias research outcomes</w:t>
      </w:r>
    </w:p>
    <w:p>
      <w:r>
        <w:t xml:space="preserve">Kaschner K, Watson R, Trites AW, Pauly D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Ready J et al. (2010). Predicting the distributions of marine organisms at the global scale. Ecological Modelling 221(3): 467-478.</w:t>
      </w:r>
      <w:r>
        <w:t xml:space="preserve"> </w:t>
      </w:r>
      <w:r>
        <w:rPr>
          <w:i/>
        </w:rPr>
        <w:t xml:space="preserve">Presents AM; assessing AquaMaps against other presence-only species models</w:t>
      </w:r>
    </w:p>
    <w:p>
      <w:r>
        <w:t xml:space="preserve">Spalding MD et al. (2007). Marine ecoregions of the world: a bioregionalization of coastal and shelf areas. BioScience, 57(7), 573-583.</w:t>
      </w:r>
    </w:p>
    <w:p>
      <w:pPr>
        <w:pStyle w:val="Heading3"/>
      </w:pPr>
      <w:bookmarkStart w:id="51" w:name="datasets-and-tools-cite-these"/>
      <w:bookmarkEnd w:id="51"/>
      <w:r>
        <w:t xml:space="preserve">Datasets and tools: cite these?</w:t>
      </w:r>
    </w:p>
    <w:p>
      <w:pPr>
        <w:numPr>
          <w:numId w:val="1005"/>
          <w:ilvl w:val="0"/>
        </w:numPr>
      </w:pPr>
      <w:r>
        <w:t xml:space="preserve">WDPA IUCN and UNEP-WCMC (2014). The World Database on Protected Areas (WDPA) [On-line]. Cambridge, UK: UNEP- WCMC. Available at: www.protectedplanet.net [Accessed December 1, 2014].</w:t>
      </w:r>
    </w:p>
    <w:p>
      <w:pPr>
        <w:numPr>
          <w:numId w:val="1005"/>
          <w:ilvl w:val="0"/>
        </w:numPr>
      </w:pPr>
      <w:r>
        <w:t xml:space="preserve">R R Core Team (2015). R: A language and environment for statistical computing. R Foundation for Statistical Computing, Vienna, Austria. URL</w:t>
      </w:r>
      <w:r>
        <w:t xml:space="preserve"> </w:t>
      </w:r>
      <w:hyperlink r:id="rId52">
        <w:r>
          <w:rPr>
            <w:rStyle w:val="Link"/>
          </w:rPr>
          <w:t xml:space="preserve">https://www.R-project.org/</w:t>
        </w:r>
      </w:hyperlink>
      <w:r>
        <w:t xml:space="preserve">.</w:t>
      </w:r>
    </w:p>
    <w:p>
      <w:pPr>
        <w:numPr>
          <w:numId w:val="1005"/>
          <w:ilvl w:val="0"/>
        </w:numPr>
      </w:pPr>
      <w:r>
        <w:t xml:space="preserve">QGIS QGIS Development Team (2015). QGIS Geographic Information System. Open Source Geospatial Foundation Project.</w:t>
      </w:r>
      <w:r>
        <w:t xml:space="preserve"> </w:t>
      </w:r>
      <w:hyperlink r:id="rId53">
        <w:r>
          <w:rPr>
            <w:rStyle w:val="Link"/>
          </w:rPr>
          <w:t xml:space="preserve">http://qgis.osgeo.org</w:t>
        </w:r>
      </w:hyperlink>
    </w:p>
    <w:p>
      <w:pPr>
        <w:pStyle w:val="Heading3"/>
      </w:pPr>
      <w:bookmarkStart w:id="54" w:name="not-currently-used"/>
      <w:bookmarkEnd w:id="54"/>
      <w:r>
        <w:t xml:space="preserve">NOT CURRENTLY USED:</w:t>
      </w:r>
    </w:p>
    <w:p>
      <w:r>
        <w:t xml:space="preserve">Jones MC, Dyeb SR, Pinnegar JK, Cheung WWL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Hurlbert AH, and Jetz W (2007). Species richness, hotspots, and the scale dependence of range maps in ecology and conservation. Proceedings of the National Academy of Sciences, 104(33), 13384-13389.</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pict>
          <v:rect style="width:0;height:1.5pt" o:hralign="center" o:hrstd="t" o:hr="t"/>
        </w:pict>
      </w:r>
    </w:p>
    <w:p>
      <w:pPr>
        <w:pStyle w:val="Heading1"/>
      </w:pPr>
      <w:bookmarkStart w:id="55" w:name="supplemental-information"/>
      <w:bookmarkEnd w:id="55"/>
      <w:r>
        <w:t xml:space="preserve">Supplemental Information</w:t>
      </w:r>
    </w:p>
    <w:p>
      <w:pPr>
        <w:pStyle w:val="Heading1"/>
      </w:pPr>
      <w:bookmarkStart w:id="56" w:name="outline"/>
      <w:bookmarkEnd w:id="56"/>
      <w:r>
        <w:t xml:space="preserve">Outline</w:t>
      </w:r>
    </w:p>
    <w:p>
      <w:pPr>
        <w:pStyle w:val="Heading2"/>
      </w:pPr>
      <w:bookmarkStart w:id="57" w:name="data-processing"/>
      <w:bookmarkEnd w:id="57"/>
      <w:r>
        <w:t xml:space="preserve">Data processing</w:t>
      </w:r>
    </w:p>
    <w:p>
      <w:r>
        <w:t xml:space="preserve">All code is publicly available and freely downloadable</w:t>
      </w:r>
      <w:r>
        <w:t xml:space="preserve"> </w:t>
      </w:r>
      <w:hyperlink r:id="rId58">
        <w:r>
          <w:rPr>
            <w:rStyle w:val="Link"/>
          </w:rPr>
          <w:t xml:space="preserve">here on GitHub</w:t>
        </w:r>
      </w:hyperlink>
      <w:r>
        <w:t xml:space="preserve">.</w:t>
      </w:r>
    </w:p>
    <w:p>
      <w:pPr>
        <w:pStyle w:val="Heading3"/>
      </w:pPr>
      <w:bookmarkStart w:id="59" w:name="aquamaps"/>
      <w:bookmarkEnd w:id="59"/>
      <w:r>
        <w:t xml:space="preserve">AquaMaps</w:t>
      </w:r>
    </w:p>
    <w:p>
      <w:r>
        <w:t xml:space="preserve">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pPr>
        <w:pStyle w:val="Heading4"/>
      </w:pPr>
      <w:bookmarkStart w:id="60" w:name="possible-figures"/>
      <w:bookmarkEnd w:id="60"/>
      <w:r>
        <w:t xml:space="preserve">Possible figures</w:t>
      </w:r>
    </w:p>
    <w:p>
      <w:pPr>
        <w:pStyle w:val="Compact"/>
        <w:numPr>
          <w:numId w:val="1006"/>
          <w:ilvl w:val="0"/>
        </w:numPr>
      </w:pPr>
      <w:r>
        <w:t xml:space="preserve">Map of all cells</w:t>
      </w:r>
    </w:p>
    <w:p>
      <w:pPr>
        <w:pStyle w:val="Compact"/>
        <w:numPr>
          <w:numId w:val="1006"/>
          <w:ilvl w:val="0"/>
        </w:numPr>
      </w:pPr>
      <w:r>
        <w:t xml:space="preserve">Map of # of species per cell</w:t>
      </w:r>
    </w:p>
    <w:p>
      <w:pPr>
        <w:pStyle w:val="Compact"/>
        <w:numPr>
          <w:numId w:val="1006"/>
          <w:ilvl w:val="0"/>
        </w:numPr>
      </w:pPr>
      <w:r>
        <w:t xml:space="preserve">Example aquamaps (one species range)</w:t>
      </w:r>
    </w:p>
    <w:p>
      <w:pPr>
        <w:pStyle w:val="Heading3"/>
      </w:pPr>
      <w:bookmarkStart w:id="61" w:name="iucn"/>
      <w:bookmarkEnd w:id="61"/>
      <w:r>
        <w:t xml:space="preserve">IUCN</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4027 marine species across 24 taxonomic groups. For this analysis, we did not consider IUCN range maps for bird species, as those data are hosted separately by BirdLife International.</w:t>
      </w:r>
    </w:p>
    <w:p>
      <w:pPr>
        <w:pStyle w:val="Compact"/>
        <w:numPr>
          <w:numId w:val="1007"/>
          <w:ilvl w:val="0"/>
        </w:numPr>
      </w:pPr>
      <w:r>
        <w:t xml:space="preserve">which data sets are included?</w:t>
      </w:r>
    </w:p>
    <w:p>
      <w:pPr>
        <w:pStyle w:val="Compact"/>
        <w:numPr>
          <w:numId w:val="1007"/>
          <w:ilvl w:val="0"/>
        </w:numPr>
      </w:pPr>
      <w:r>
        <w:t xml:space="preserve">raster::extract() to convert polys to csvs</w:t>
      </w:r>
    </w:p>
    <w:p>
      <w:pPr>
        <w:pStyle w:val="Compact"/>
        <w:numPr>
          <w:numId w:val="1007"/>
          <w:ilvl w:val="0"/>
        </w:numPr>
      </w:pPr>
      <w:r>
        <w:t xml:space="preserve">which columns are included?</w:t>
      </w:r>
    </w:p>
    <w:p>
      <w:r>
        <w:t xml:space="preserve">JA: I think here we only need a few sentences describing how we downloaded the data and on what date. Link to the IUCN spatial data website.</w:t>
      </w:r>
    </w:p>
    <w:p>
      <w:r>
        <w:t xml:space="preserve">IUCN data is provided as polygon shapefiles. These vectors were rasterized to the same cell resolution as AquaMaps data (0.5 degrees).</w:t>
      </w:r>
    </w:p>
    <w:p>
      <w:pPr>
        <w:pStyle w:val="Heading4"/>
      </w:pPr>
      <w:bookmarkStart w:id="62" w:name="possible-figures-1"/>
      <w:bookmarkEnd w:id="62"/>
      <w:r>
        <w:t xml:space="preserve">Possible figures</w:t>
      </w:r>
    </w:p>
    <w:p>
      <w:pPr>
        <w:pStyle w:val="Heading4"/>
      </w:pPr>
      <w:bookmarkStart w:id="63" w:name="caveats"/>
      <w:bookmarkEnd w:id="63"/>
      <w:r>
        <w:t xml:space="preserve">Caveats</w:t>
      </w:r>
    </w:p>
    <w:p>
      <w:r>
        <w:t xml:space="preserve">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Red List inclusion:</w:t>
      </w:r>
    </w:p>
    <w:p>
      <w:r>
        <w:drawing>
          <wp:inline>
            <wp:extent cx="5440680" cy="1827896"/>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64"/>
                    <a:stretch>
                      <a:fillRect/>
                    </a:stretch>
                  </pic:blipFill>
                  <pic:spPr bwMode="auto">
                    <a:xfrm>
                      <a:off x="0" y="0"/>
                      <a:ext cx="5440680" cy="1827896"/>
                    </a:xfrm>
                    <a:prstGeom prst="rect">
                      <a:avLst/>
                    </a:prstGeom>
                    <a:noFill/>
                    <a:ln w="9525">
                      <a:noFill/>
                      <a:headEnd/>
                      <a:tailEnd/>
                    </a:ln>
                  </pic:spPr>
                </pic:pic>
              </a:graphicData>
            </a:graphic>
          </wp:inline>
        </w:drawing>
      </w:r>
    </w:p>
    <w:p>
      <w:r>
        <w:drawing>
          <wp:inline>
            <wp:extent cx="5440680" cy="2128962"/>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65"/>
                    <a:stretch>
                      <a:fillRect/>
                    </a:stretch>
                  </pic:blipFill>
                  <pic:spPr bwMode="auto">
                    <a:xfrm>
                      <a:off x="0" y="0"/>
                      <a:ext cx="5440680" cy="2128962"/>
                    </a:xfrm>
                    <a:prstGeom prst="rect">
                      <a:avLst/>
                    </a:prstGeom>
                    <a:noFill/>
                    <a:ln w="9525">
                      <a:noFill/>
                      <a:headEnd/>
                      <a:tailEnd/>
                    </a:ln>
                  </pic:spPr>
                </pic:pic>
              </a:graphicData>
            </a:graphic>
          </wp:inline>
        </w:drawing>
      </w:r>
    </w:p>
    <w:p>
      <w:pPr>
        <w:pStyle w:val="Compact"/>
        <w:numPr>
          <w:numId w:val="1008"/>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66" w:name="illustrative-maps-for-different-quadrants-and-different-mechanistic-problems"/>
      <w:bookmarkEnd w:id="66"/>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67"/>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09"/>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68"/>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69" w:name="aquamaps-effect-of-changing-presence-threshold-on-apparent-distribution"/>
      <w:bookmarkEnd w:id="69"/>
      <w:r>
        <w:t xml:space="preserve">AquaMaps: Effect of changing "presence" threshold on apparent distribution</w:t>
      </w:r>
    </w:p>
    <w:p>
      <w:pPr>
        <w:pStyle w:val="Heading3"/>
      </w:pPr>
      <w:bookmarkStart w:id="70" w:name="aquamaps-presence-threshold-analysis---move-to-som"/>
      <w:bookmarkEnd w:id="70"/>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71" w:name="figure-5-a-b"/>
      <w:bookmarkEnd w:id="71"/>
      <w:r>
        <w:t xml:space="preserve">Figure 5 (a, b):</w:t>
      </w:r>
    </w:p>
    <w:p>
      <w:r>
        <w:drawing>
          <wp:inline>
            <wp:extent cx="5440680" cy="2741845"/>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72"/>
                    <a:stretch>
                      <a:fillRect/>
                    </a:stretch>
                  </pic:blipFill>
                  <pic:spPr bwMode="auto">
                    <a:xfrm>
                      <a:off x="0" y="0"/>
                      <a:ext cx="5440680" cy="2741845"/>
                    </a:xfrm>
                    <a:prstGeom prst="rect">
                      <a:avLst/>
                    </a:prstGeom>
                    <a:noFill/>
                    <a:ln w="9525">
                      <a:noFill/>
                      <a:headEnd/>
                      <a:tailEnd/>
                    </a:ln>
                  </pic:spPr>
                </pic:pic>
              </a:graphicData>
            </a:graphic>
          </wp:inline>
        </w:drawing>
      </w:r>
    </w:p>
    <w:p>
      <w:r>
        <w:drawing>
          <wp:inline>
            <wp:extent cx="5440680" cy="1827896"/>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73"/>
                    <a:stretch>
                      <a:fillRect/>
                    </a:stretch>
                  </pic:blipFill>
                  <pic:spPr bwMode="auto">
                    <a:xfrm>
                      <a:off x="0" y="0"/>
                      <a:ext cx="5440680" cy="1827896"/>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67359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867101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a117c3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41" Target="media/rId41.png" /><Relationship Type="http://schemas.openxmlformats.org/officeDocument/2006/relationships/image" Id="rId68" Target="media/rId68.png" /><Relationship Type="http://schemas.openxmlformats.org/officeDocument/2006/relationships/image" Id="rId67" Target="media/rId67.jpg" /><Relationship Type="http://schemas.openxmlformats.org/officeDocument/2006/relationships/image" Id="rId73" Target="media/rId73.png" /><Relationship Type="http://schemas.openxmlformats.org/officeDocument/2006/relationships/hyperlink" Id="rId47" Target="doi:10.1038/nature11397._" TargetMode="External" /><Relationship Type="http://schemas.openxmlformats.org/officeDocument/2006/relationships/hyperlink" Id="rId50" Target="doi:10.1038/nclimate2769._" TargetMode="External" /><Relationship Type="http://schemas.openxmlformats.org/officeDocument/2006/relationships/hyperlink" Id="rId48" Target="doi:10.1038/srep17539._" TargetMode="External" /><Relationship Type="http://schemas.openxmlformats.org/officeDocument/2006/relationships/hyperlink" Id="rId49" Target="doi:10.1371/journal.pone.0060284._" TargetMode="External" /><Relationship Type="http://schemas.openxmlformats.org/officeDocument/2006/relationships/hyperlink" Id="rId53" Target="http://qgis.osgeo.org" TargetMode="External" /><Relationship Type="http://schemas.openxmlformats.org/officeDocument/2006/relationships/hyperlink" Id="rId46"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2" Target="https://www.R-project.org/" TargetMode="External" /><Relationship Type="http://schemas.openxmlformats.org/officeDocument/2006/relationships/hyperlink" Id="rId58" Target="link%20to%20github"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7" Target="doi:10.1038/nature11397._" TargetMode="External" /><Relationship Type="http://schemas.openxmlformats.org/officeDocument/2006/relationships/hyperlink" Id="rId50" Target="doi:10.1038/nclimate2769._" TargetMode="External" /><Relationship Type="http://schemas.openxmlformats.org/officeDocument/2006/relationships/hyperlink" Id="rId48" Target="doi:10.1038/srep17539._" TargetMode="External" /><Relationship Type="http://schemas.openxmlformats.org/officeDocument/2006/relationships/hyperlink" Id="rId49" Target="doi:10.1371/journal.pone.0060284._" TargetMode="External" /><Relationship Type="http://schemas.openxmlformats.org/officeDocument/2006/relationships/hyperlink" Id="rId53" Target="http://qgis.osgeo.org" TargetMode="External" /><Relationship Type="http://schemas.openxmlformats.org/officeDocument/2006/relationships/hyperlink" Id="rId46"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2" Target="https://www.R-project.org/" TargetMode="External" /><Relationship Type="http://schemas.openxmlformats.org/officeDocument/2006/relationships/hyperlink" Id="rId58" Target="link%20to%20github"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 Courtney Scarborough1</dc:creator>
</cp:coreProperties>
</file>