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7.png" ContentType="image/png"/>
  <Override PartName="/word/media/rId42.png" ContentType="image/png"/>
  <Override PartName="/word/media/rId39.png" ContentType="image/png"/>
  <Override PartName="/word/media/rId40.png" ContentType="image/png"/>
  <Override PartName="/word/media/rId38.png" ContentType="image/png"/>
  <Override PartName="/word/media/rId59.png" ContentType="image/png"/>
  <Override PartName="/word/media/rId43.png" ContentType="image/png"/>
  <Override PartName="/word/media/rId60.png" ContentType="image/png"/>
  <Override PartName="/word/media/rId45.png" ContentType="image/png"/>
  <Override PartName="/word/media/rId63.png" ContentType="image/png"/>
  <Override PartName="/word/media/rId62.jpg" ContentType="image/jpe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t xml:space="preserve"> </w:t>
      </w:r>
      <w:r>
        <w:t xml:space="preserve">Jamie</w:t>
      </w:r>
      <w:r>
        <w:t xml:space="preserve"> </w:t>
      </w:r>
      <w:r>
        <w:t xml:space="preserve">Afflerbach,</w:t>
      </w:r>
      <w:r>
        <w:t xml:space="preserve"> </w:t>
      </w:r>
      <w:r>
        <w:t xml:space="preserve">Benjamin</w:t>
      </w:r>
      <w:r>
        <w:t xml:space="preserve"> </w:t>
      </w:r>
      <w:r>
        <w:t xml:space="preserve">S.</w:t>
      </w:r>
      <w:r>
        <w:t xml:space="preserve"> </w:t>
      </w:r>
      <w:r>
        <w:t xml:space="preserve">Halpern</w:t>
      </w:r>
    </w:p>
    <w:p>
      <w:r>
        <w:pict>
          <v:rect style="width:0;height:1.5pt" o:hralign="center" o:hrstd="t" o:hr="t"/>
        </w:pict>
      </w:r>
    </w:p>
    <w:p>
      <w:pPr>
        <w:pStyle w:val="Heading2"/>
      </w:pPr>
      <w:bookmarkStart w:id="21" w:name="abstract"/>
      <w:bookmarkEnd w:id="21"/>
      <w:r>
        <w:t xml:space="preserve">Abstract</w:t>
      </w:r>
    </w:p>
    <w:p>
      <w:r>
        <w:t xml:space="preserve">Species distribution data provide the foundation for a wide range of ecological research and conservation science and management, yet most species ranges remain unknown, and existing range maps have little overlap. In the ocean, two global species distribution datasets - AquaMaps and the International Union for Conservation of Nature (IUCN) - dominate our understanding of marine species ranges throughout the world's oceans, representing 24,520 species overall, mostly from AquaMaps, with only 2,166 species overlapping. 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known occurrences. We illustrate the implications of these differences by repeating two recent applications - the Ocean Health Index biodiversity goal and a global analysis of gaps in coverage of marine protected areas - and find significantly different estimates of the status of species diversity and effectiveness of conservation depending on which dataset was used. Understanding these issues points toward solutions for providers and users of these datasets.</w:t>
      </w:r>
    </w:p>
    <w:p>
      <w:r>
        <w:pict>
          <v:rect style="width:0;height:1.5pt" o:hralign="center" o:hrstd="t" o:hr="t"/>
        </w:pict>
      </w:r>
    </w:p>
    <w:p>
      <w:pPr>
        <w:pStyle w:val="Heading2"/>
      </w:pPr>
      <w:bookmarkStart w:id="22" w:name="significance"/>
      <w:bookmarkEnd w:id="22"/>
      <w:r>
        <w:t xml:space="preserve">Significance</w:t>
      </w:r>
    </w:p>
    <w:p>
      <w:r>
        <w:rPr>
          <w:i/>
        </w:rPr>
        <w:t xml:space="preserve">subset of the abstract</w:t>
      </w:r>
    </w:p>
    <w:p>
      <w:r>
        <w:pict>
          <v:rect style="width:0;height:1.5pt" o:hralign="center" o:hrstd="t" o:hr="t"/>
        </w:pict>
      </w:r>
    </w:p>
    <w:p>
      <w:pPr>
        <w:pStyle w:val="Heading1"/>
      </w:pPr>
      <w:bookmarkStart w:id="23" w:name="introduction"/>
      <w:bookmarkEnd w:id="23"/>
      <w:r>
        <w:t xml:space="preserve">Introduction</w:t>
      </w:r>
    </w:p>
    <w:p>
      <w:r>
        <w:rPr>
          <w:i/>
        </w:rPr>
        <w:t xml:space="preserve">Peer beneath the waves anywhere in the world - a moody kelp forest, a bustling coral reefscape, the frigid depths beneath a polar ice sheet, the endless blue of the open ocean - and you will find a unique ecosystem defined as much by which species are absent as by which species are abundant.</w:t>
      </w:r>
      <w:r>
        <w:t xml:space="preserve"> </w:t>
      </w:r>
      <w:r>
        <w:t xml:space="preserve">Knowing where individuals of a species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r>
        <w:t xml:space="preserve">One major outcome of this body of science is the various compiled databases of species distribution maps. Two global-scale repositories predict marine species ranges throughout the world's oceans – AquaMaps modeled species distribution maps (Kaschner et al. 2013) and International Union for Conservation of Nature (IUCN) species range maps (REF). These two spatial datasets are used for a wide range of purposes, including assessing marine species status (Halpern et al. 2012, Selig et al. 2013), evaluating global biodiversity patterns (Coll et al. 2010, Martin et al. 2014), predicting range shifts (Molinos et al. 2015), and setting conservation priorities (Klein et al. 2015).</w:t>
      </w:r>
    </w:p>
    <w:p>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2008?).</w:t>
      </w:r>
    </w:p>
    <w:p>
      <w:r>
        <w:t xml:space="preserve">To understand the implications of differences between the AquaMaps and IUCN datasets, we compared how each data source represents the global spatial and taxonomic distribution of species. Most notably, AquaMaps includes range maps for many more species (currently 22,889; 93.3% of total), such that most global analyses related to biodiversity to date have used AquaMaps (IUCN range map data exist for only 4,138 species). For the 2,166 (8.8% of total) species mapped in both datasets, we examined how well the maps align and determined several issues that lead to misalignment between predicted species distributions, and outline possible improvements.</w:t>
      </w:r>
    </w:p>
    <w:p>
      <w:r>
        <w:t xml:space="preserve">We then subjected two recent marine biodiversity studies - an assessment of the status of global biodiversity within the Ocean Health Index (Halpern et al. 2012, 2015) and a global analysis of gaps in protection afforded by marine protected areas (MPAs) (Klein et al. 2015) - to a sensitivity analysis. ...</w:t>
      </w:r>
      <w:r>
        <w:t xml:space="preserve"> </w:t>
      </w:r>
      <w:r>
        <w:rPr>
          <w:i/>
          <w:b/>
        </w:rPr>
        <w:t xml:space="preserve">substituting</w:t>
      </w:r>
      <w:r>
        <w:t xml:space="preserve"> </w:t>
      </w:r>
      <w:r>
        <w:t xml:space="preserve">one dataset over the other, to highlight the possible consequences of different data use decisions on our understanding of</w:t>
      </w:r>
      <w:r>
        <w:t xml:space="preserve"> </w:t>
      </w:r>
      <w:r>
        <w:rPr>
          <w:i/>
        </w:rPr>
        <w:t xml:space="preserve">the status of</w:t>
      </w:r>
      <w:r>
        <w:t xml:space="preserve"> </w:t>
      </w:r>
      <w:r>
        <w:t xml:space="preserve">marine biodiversity.</w:t>
      </w:r>
      <w:r>
        <w:t xml:space="preserve"> </w:t>
      </w:r>
      <w:r>
        <w:rPr>
          <w:i/>
          <w:b/>
        </w:rPr>
        <w:t xml:space="preserve">BSH suggestion: We used all unique species range data from both sources but substituted one dataset over the other for shared species to highlight the possible consequences of different data use decisions on our understanding of the status of and protection of marine biodiversity.</w:t>
      </w:r>
    </w:p>
    <w:p>
      <w:r>
        <w:pict>
          <v:rect style="width:0;height:1.5pt" o:hralign="center" o:hrstd="t" o:hr="t"/>
        </w:pict>
      </w:r>
    </w:p>
    <w:p>
      <w:pPr>
        <w:pStyle w:val="Heading1"/>
      </w:pPr>
      <w:bookmarkStart w:id="24" w:name="results-and-discussion"/>
      <w:bookmarkEnd w:id="24"/>
      <w:r>
        <w:t xml:space="preserve">Results and Discussion</w:t>
      </w:r>
    </w:p>
    <w:p>
      <w:pPr>
        <w:pStyle w:val="Heading2"/>
      </w:pPr>
      <w:bookmarkStart w:id="25" w:name="how-and-why-the-datasets-differ"/>
      <w:bookmarkEnd w:id="25"/>
      <w:r>
        <w:t xml:space="preserve">How and why the datasets differ</w:t>
      </w:r>
    </w:p>
    <w:p>
      <w:r>
        <w:t xml:space="preserve">The IUCN publishes species range maps as polygon shapefiles, bundled by taxonomic groups (REF). Using a geographic information system (GIS), experts outline spatial polygons to represent a given species' "limits of distribution" (IUCN 2014) - essentially a refined extent of occurrence, based on observation records and refined by expert understanding of the species' range and habitat preferences. AquaMaps models species distribution maps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w:t>
      </w:r>
    </w:p>
    <w:p>
      <w:r>
        <w:t xml:space="preserve">The two datasets have notably different taxonomic (Fig. 1A) and regional (Fig. 1B,C) coverage. IUCN-mapped species focus on tropical latitudes and away from the Atlantic and Eastern Pacific compared to AquaMaps-mapped species. These differences can be mitigated by using both datasets, but the underlying methodological differences complicate such direct comparisons, and furthermore</w:t>
      </w:r>
      <w:r>
        <w:t xml:space="preserve"> </w:t>
      </w:r>
      <w:r>
        <w:rPr>
          <w:i/>
          <w:b/>
        </w:rPr>
        <w:t xml:space="preserve">requires resolving differences (or choosing one source over the other) for the 2,166 shared species.</w:t>
      </w:r>
    </w:p>
    <w:p>
      <w:r>
        <w:pict>
          <v:rect style="width:0;height:1.5pt" o:hralign="center" o:hrstd="t" o:hr="t"/>
        </w:pict>
      </w:r>
    </w:p>
    <w:p>
      <w:r>
        <w:rPr>
          <w:i/>
          <w:b/>
        </w:rPr>
        <w:t xml:space="preserve">BSH suggestion</w:t>
      </w:r>
      <w:r>
        <w:t xml:space="preserve"> </w:t>
      </w:r>
      <w:r>
        <w:t xml:space="preserve">To explore differences in species distribution and range between the two datasets, we plotted the distribution alignment (where on the map) against the ratio of extent (how much of the map) for each shared species (Fig. 2a).</w:t>
      </w:r>
      <w:r>
        <w:t xml:space="preserve"> </w:t>
      </w:r>
      <w:r>
        <w:rPr>
          <w:b/>
        </w:rPr>
        <w:t xml:space="preserve">Overall we see a negative linear relationship, where increasing similarity in extent (extent ratio approaches 100%) correlates with a decrease in alignment. [explain/discuss].</w:t>
      </w:r>
    </w:p>
    <w:p>
      <w:r>
        <w:t xml:space="preserve">Dividing the map-paired species into quadrants highlights different categories of relationships. The upper right quadrant includes species (n = 401) whose map pairs agree in both spatial distribution and extent of described ranges. These species tend to be well-studied and predominantly fall within wide-ranging pelagic organisms such as marine mammals, tunas, and billfishes (Fig. 2B). This result is not surprising, as species with very large ranges are likely to be more aligned regardless of methodology simply because they exist nearly everywhere.</w:t>
      </w:r>
    </w:p>
    <w:p>
      <w:r>
        <w:t xml:space="preserve">The extent-mismatched maps contained in the upper left quadrant (n = 682) provide a richer set of examples to understand the fundamental differences between the datasets. For many of these species, while the spatial distribution is similar, the IUCN range predicts a significant buffer zone beyond the AquaMaps range. Corals dominate this quadrant (294; 43.1% of all species in this quadrant). Most corals and reef-associated organisms prefer shallower waters, and we suspect that many of these disagreements in extent can be explained by bathymetry: seafloor depth is explicitly included in AquaMaps models, while depth is frequently ignored as a factor in IUCN range maps, leading to overprediction of species range into areas too deep to support the species. (For examples and details, see SOM)</w:t>
      </w:r>
    </w:p>
    <w:p>
      <w:r>
        <w:t xml:space="preserve">The differences in extent of species maps found in the lower right quadrant (n = 682) can in many cases be attributed to "two wrongs make a right." For these species, IUCN ranges frequently overextend into unsuitable depths, as in the case of many upper left quadrant species, while at the same time AquaMaps ranges often aggressively extrapolate presence into locations where IUCN predicts absence. This results in an area ratio close to 100%, but similar extents are meaningless when the distributions are poorly aligned.</w:t>
      </w:r>
    </w:p>
    <w:p>
      <w:r>
        <w:t xml:space="preserve">Moving from the lower right to lower left quadrant, AquaMaps more frequently extrapolates species presence well beyond known occurrences, resulting in poor matches in both distribution and extent. Of the 401 species in this quadrant, 159 (39.7%) are data-poor (in which the AquaMaps environmental envelope model is based on fewer than 10 known cell occurrences), compared with 21.1% for the full set of map-paired species and only 8.2% of species in the upper left quadrant. A mere 6.2% of AquaMaps maps in this quadrant have undergone expert review, compared with 13.4% of all map-paired species and 24.9% of species in the upper left quadrant.</w:t>
      </w:r>
    </w:p>
    <w:p>
      <w:r>
        <w:t xml:space="preserve">This breakdown by quadrant helps explain the negative linear relationship seen in the plot, in which increasing similarity in extent correlates with decreasing distribution alignment. Expanding species range beyond known occurrences, the marginal range predicted by the AquaMaps model will fall in different locations than the marginal range predicted using IUCN methodology. For species with dissimilar extents, predicted distribution for the smaller range can more easily fall within the generous bounds of the larger range. As we examine species with increasingly similar extents, the differences in methodology become more difficult to "hide," and the distribution alignment generally becomes poorer.</w:t>
      </w:r>
    </w:p>
    <w:p>
      <w:r>
        <w:pict>
          <v:rect style="width:0;height:1.5pt" o:hralign="center" o:hrstd="t" o:hr="t"/>
        </w:pict>
      </w:r>
    </w:p>
    <w:p>
      <w:pPr>
        <w:pStyle w:val="Heading1"/>
      </w:pPr>
      <w:bookmarkStart w:id="26" w:name="implications-of-the-differences"/>
      <w:bookmarkEnd w:id="26"/>
      <w:r>
        <w:t xml:space="preserve">Implications of the differences</w:t>
      </w:r>
    </w:p>
    <w:p>
      <w:r>
        <w:rPr>
          <w:i/>
          <w:b/>
        </w:rPr>
        <w:t xml:space="preserve">From JSL:</w:t>
      </w:r>
      <w:r>
        <w:t xml:space="preserve"> </w:t>
      </w:r>
      <w:r>
        <w:rPr>
          <w:i/>
        </w:rPr>
        <w:t xml:space="preserve">I think you need a broader discussion of implications. How many times has IUCN/Aquamaps been cited? How long have they been around? What scales are the studies? Then you can muse about how results/interpretations would be different depending on which dataset they used, and reference Fig 3’s.</w:t>
      </w:r>
    </w:p>
    <w:p>
      <w:r>
        <w:rPr>
          <w:i/>
        </w:rPr>
        <w:t xml:space="preserve">Then, say for example, the OHI uses these datasets together (don’t need to get too much into OHI background I think, maybe they don’t even need to know about the biodiversity goal?), but say that to try to combine them they use a threshold at 40% since others use this threshold (but check out the SOM for analyses about thresholds)</w:t>
      </w:r>
    </w:p>
    <w:p>
      <w:pPr>
        <w:pStyle w:val="Heading2"/>
      </w:pPr>
      <w:bookmarkStart w:id="27" w:name="application-to-ohi"/>
      <w:bookmarkEnd w:id="27"/>
      <w:r>
        <w:t xml:space="preserve">Application to OHI</w:t>
      </w:r>
    </w:p>
    <w:p>
      <w:r>
        <w:t xml:space="preserve">The global Ocean Health Index (OHI) (Halpern et al. 2012, 2015), a composite index made up of 10 sustainable benefits provided by a healthy ocean, uses species spatial distribution data and IUCN Red List conservation status to calculate biodiversity status for each of the world's 221 exclusive economic zones. To maximize the number of represented species, OHI gleans spatial distributions from both IUCN and AquaMaps datasets, preferring IUCN data for the subset of species in both sources. OHI uses a probability threshold of 40% to determine species presence for AquaMaps data.</w:t>
      </w:r>
      <w:r>
        <w:t xml:space="preserve"> </w:t>
      </w:r>
    </w:p>
    <w:p>
      <w:r>
        <w:rPr>
          <w:i/>
        </w:rPr>
        <w:t xml:space="preserve">Briefly summarize results</w:t>
      </w:r>
    </w:p>
    <w:p>
      <w:r>
        <w:t xml:space="preserve">Since the Ocean Health Index Species subgoal relies on spatial data from both datasets, the impacts of these threshold and preference changes will be somewhat muted (</w:t>
      </w:r>
      <w:r>
        <w:t xml:space="preserve">Figure 3</w:t>
      </w:r>
      <w:r>
        <w:t xml:space="preserve">). When IUCN range maps are the preferred data source, only the subset of AquaMaps-only species will be affected by threshold changes; and when AquaMaps is the preferred source, the IUCN-only species will dampen the effect of a threshold change.</w:t>
      </w:r>
    </w:p>
    <w:p>
      <w:r>
        <w:pict>
          <v:rect style="width:0;height:1.5pt" o:hralign="center" o:hrstd="t" o:hr="t"/>
        </w:pict>
      </w:r>
    </w:p>
    <w:p>
      <w:pPr>
        <w:pStyle w:val="Heading2"/>
      </w:pPr>
      <w:bookmarkStart w:id="28" w:name="application-to-mpa-gap-analysis"/>
      <w:bookmarkEnd w:id="28"/>
      <w:r>
        <w:t xml:space="preserve">Application to MPA Gap Analysis</w:t>
      </w:r>
    </w:p>
    <w:p>
      <w:r>
        <w:t xml:space="preserve">Klein et al. (2015) compared the global distribution of species to the global distribution of marine protected areas to assess how well the MPAs protect key species, and to identify which species fall through the gaps in protection. The MPA gap analysis relied on the AquaMaps database available in early 2015, comprising distribution maps for XXX species. Species presence was defined using a probability threshold of 50% or greater. The study defined four subsets of protected areas using the World Database of Protected Areas, based upon combinations of IUCN protected area classification, marine designation, and spatial marine coverage. The study determined that currently defined marine protected areas (IUCN categories I through IV overlapping with marine areas) are woefully inadequate in protecting marine biodiversity; 90.5% of species have less than 5% of their overall range represented within marine protected areas.</w:t>
      </w:r>
    </w:p>
    <w:p>
      <w:r>
        <w:t xml:space="preserve">working on the analysis...</w:t>
      </w:r>
    </w:p>
    <w:p>
      <w:pPr>
        <w:pStyle w:val="Compact"/>
        <w:numPr>
          <w:numId w:val="1001"/>
          <w:ilvl w:val="0"/>
        </w:numPr>
      </w:pPr>
      <w:r>
        <w:t xml:space="preserve">rerun based on old AquaMaps at 50% (to verify methodology gets a close result to paper), then new AquaMaps for updated baseline</w:t>
      </w:r>
    </w:p>
    <w:p>
      <w:pPr>
        <w:pStyle w:val="Compact"/>
        <w:numPr>
          <w:numId w:val="1002"/>
          <w:ilvl w:val="1"/>
        </w:numPr>
      </w:pPr>
      <w:r>
        <w:t xml:space="preserve">consider also: filter on STATUS == 'Designated', and filter out those pesky fishery management areas and manatee speed zones...</w:t>
      </w:r>
    </w:p>
    <w:p>
      <w:pPr>
        <w:pStyle w:val="Compact"/>
        <w:numPr>
          <w:numId w:val="1001"/>
          <w:ilvl w:val="0"/>
        </w:numPr>
      </w:pPr>
      <w:r>
        <w:t xml:space="preserve">run with threshold at 0% (not all the same as original paper)</w:t>
      </w:r>
    </w:p>
    <w:p>
      <w:pPr>
        <w:pStyle w:val="Compact"/>
        <w:numPr>
          <w:numId w:val="1001"/>
          <w:ilvl w:val="0"/>
        </w:numPr>
      </w:pPr>
      <w:r>
        <w:t xml:space="preserve">run with filtering out data-poor species?</w:t>
      </w:r>
    </w:p>
    <w:p>
      <w:pPr>
        <w:pStyle w:val="Compact"/>
        <w:numPr>
          <w:numId w:val="1001"/>
          <w:ilvl w:val="0"/>
        </w:numPr>
      </w:pPr>
      <w:r>
        <w:t xml:space="preserve">run with IUCN maps instead of AquaMaps</w:t>
      </w:r>
    </w:p>
    <w:p>
      <w:pPr>
        <w:pStyle w:val="Compact"/>
        <w:numPr>
          <w:numId w:val="1001"/>
          <w:ilvl w:val="0"/>
        </w:numPr>
      </w:pPr>
      <w:r>
        <w:t xml:space="preserve">Which aspects of the analysis should we focus on?:</w:t>
      </w:r>
    </w:p>
    <w:p>
      <w:pPr>
        <w:pStyle w:val="Compact"/>
        <w:numPr>
          <w:numId w:val="1003"/>
          <w:ilvl w:val="1"/>
        </w:numPr>
      </w:pPr>
      <w:r>
        <w:t xml:space="preserve">overall protection, for 4th subset of protected areas? or overall for all subsets? (see paper, table 1)</w:t>
      </w:r>
    </w:p>
    <w:p>
      <w:pPr>
        <w:pStyle w:val="Compact"/>
        <w:numPr>
          <w:numId w:val="1003"/>
          <w:ilvl w:val="1"/>
        </w:numPr>
      </w:pPr>
      <w:r>
        <w:t xml:space="preserve">overall vs broken down by taxonomic groups? (see paper, figure 1)</w:t>
      </w:r>
    </w:p>
    <w:p>
      <w:pPr>
        <w:pStyle w:val="Compact"/>
        <w:numPr>
          <w:numId w:val="1003"/>
          <w:ilvl w:val="1"/>
        </w:numPr>
      </w:pPr>
      <w:r>
        <w:t xml:space="preserve">spatial distribution of gap species (see paper, figure 2)</w:t>
      </w:r>
    </w:p>
    <w:p>
      <w:r>
        <w:rPr>
          <w:i/>
        </w:rPr>
        <w:t xml:space="preserve">Predictions: What happens when using a 0% threshold instead of a 50%? What happens when using IUCN rather than AM? IUCN tends to overestimate extent esp for coastal species? More species will be included in MPAs so fewer apparent gap species. Included range area inside MPAs will increase. Policy implications?</w:t>
      </w:r>
    </w:p>
    <w:p>
      <w:r>
        <w:pict>
          <v:rect style="width:0;height:1.5pt" o:hralign="center" o:hrstd="t" o:hr="t"/>
        </w:pict>
      </w:r>
    </w:p>
    <w:p>
      <w:pPr>
        <w:pStyle w:val="Heading1"/>
      </w:pPr>
      <w:bookmarkStart w:id="29" w:name="conclusions-what-can-be-done-to-address-the-differences"/>
      <w:bookmarkEnd w:id="29"/>
      <w:r>
        <w:t xml:space="preserve">Conclusions: What can be done to address the differences</w:t>
      </w:r>
    </w:p>
    <w:p>
      <w:r>
        <w:t xml:space="preserve">By addressing some of the mechanistic causes of differences, we can better align the predictions of species distributions between these two important datasets. improving their utility and increasing our confidence in conclusions</w:t>
      </w:r>
    </w:p>
    <w:p>
      <w:r>
        <w:rPr>
          <w:b/>
        </w:rPr>
        <w:t xml:space="preserve">Suggestions for data providers:</w:t>
      </w:r>
    </w:p>
    <w:p>
      <w:pPr>
        <w:pStyle w:val="Compact"/>
        <w:numPr>
          <w:numId w:val="1004"/>
          <w:ilvl w:val="0"/>
        </w:numPr>
      </w:pPr>
      <w:r>
        <w:t xml:space="preserve">The training manual for experts creating IUCN Red List maps for marine species suggests that "bathymetry can be used to delineate species' ranges limited by depth in the same way as elevation is used for terrestrial species" (REF</w:t>
      </w:r>
      <w:r>
        <w:t xml:space="preserve"> </w:t>
      </w:r>
      <w:hyperlink r:id="rId30">
        <w:r>
          <w:rPr>
            <w:rStyle w:val="Link"/>
          </w:rPr>
          <w:t xml:space="preserve">https://www.conservationtraining.org/mod/scorm/player.php?a=1412&amp;currentorg=M5L1_ORG&amp;scoid=6492</w:t>
        </w:r>
      </w:hyperlink>
      <w:r>
        <w:t xml:space="preserve">). Unfortunately, this recommendation appears to be applied haphazardly. Especially for demersal communities dependent on photosynthesis, bathymetry should be a primary consideration; even a simple cutoff at the photosynthetic limit of 200 meters would improve the utility of species range maps.</w:t>
      </w:r>
    </w:p>
    <w:p>
      <w:pPr>
        <w:pStyle w:val="Compact"/>
        <w:numPr>
          <w:numId w:val="1004"/>
          <w:ilvl w:val="0"/>
        </w:numPr>
      </w:pPr>
      <w:r>
        <w:t xml:space="preserve">The AquaMaps model is a powerful tool for quickly estimating species distribution based on limited information; however, the model's output is only as good as the input data, which for marine species is often sorely limited. AquaMaps encourages experts to review and comment on the predicted species distribution maps; lessons from the small sample of reviewed maps can be generalized, for example to other species in the same taxonomic group, to further refine the predictions, especially for data-poor species.</w:t>
      </w:r>
    </w:p>
    <w:p>
      <w:pPr>
        <w:pStyle w:val="Compact"/>
        <w:numPr>
          <w:numId w:val="1004"/>
          <w:ilvl w:val="0"/>
        </w:numPr>
      </w:pPr>
      <w:r>
        <w:t xml:space="preserve">In addition to environmental preferences and conditions, AquaMaps mapping parameters include area restrictions to help limit over-extrapolation of AquaMaps models. Currently the area restrictions are denoted by FAO Major Fishing Areas (REF find a reference in AquaMaps somewhere); however, allowing area restrictions based on biogeographical criteria, a la MEOW, would likely have better resolution and predictive power, especially for data-poor species.</w:t>
      </w:r>
    </w:p>
    <w:p>
      <w:r>
        <w:rPr>
          <w:b/>
        </w:rPr>
        <w:t xml:space="preserve">Suggestions for data users:</w:t>
      </w:r>
    </w:p>
    <w:p>
      <w:pPr>
        <w:pStyle w:val="Compact"/>
        <w:numPr>
          <w:numId w:val="1005"/>
          <w:ilvl w:val="0"/>
        </w:numPr>
      </w:pPr>
      <w:r>
        <w:t xml:space="preserve">understand that range maps a la IUCN tend to overestimate presence; AquaMaps are less likely to overestimate presence, but trade off for overestimating absence. Both better than simple point locality data. (Rondinini etc)</w:t>
      </w:r>
    </w:p>
    <w:p>
      <w:pPr>
        <w:pStyle w:val="Compact"/>
        <w:numPr>
          <w:numId w:val="1005"/>
          <w:ilvl w:val="0"/>
        </w:numPr>
      </w:pPr>
      <w:r>
        <w:t xml:space="preserve">Using both datasets together can increase the taxonomic and spatial breadth of coverage, as long as the differences between the datasets can be reasonably minimized. Consider:</w:t>
      </w:r>
    </w:p>
    <w:p>
      <w:pPr>
        <w:pStyle w:val="Compact"/>
        <w:numPr>
          <w:numId w:val="1006"/>
          <w:ilvl w:val="1"/>
        </w:numPr>
      </w:pPr>
      <w:r>
        <w:t xml:space="preserve">An AquaMaps presence threshold of 0% more closely approximates the "limits of distribution" outlined by IUCN range maps.</w:t>
      </w:r>
    </w:p>
    <w:p>
      <w:pPr>
        <w:pStyle w:val="Compact"/>
        <w:numPr>
          <w:numId w:val="1006"/>
          <w:ilvl w:val="1"/>
        </w:numPr>
      </w:pPr>
      <w:r>
        <w:t xml:space="preserve">Additional filters and criteria on AquaMaps distribution maps can help avoid overextrapolation for data poor species. The AquaMaps native range dataset includes information on expert review and the number of occurrence cells used to generate the environmental envelope.</w:t>
      </w:r>
    </w:p>
    <w:p>
      <w:pPr>
        <w:pStyle w:val="Compact"/>
        <w:numPr>
          <w:numId w:val="1006"/>
          <w:ilvl w:val="1"/>
        </w:numPr>
      </w:pPr>
      <w:r>
        <w:t xml:space="preserve">For depth-limited species or taxa, clipping IUCN range polygons to a reasonable bathymetry contour can limit overprediction of species presence into unsuitable habitats.</w:t>
      </w:r>
    </w:p>
    <w:p>
      <w:r>
        <w:pict>
          <v:rect style="width:0;height:1.5pt" o:hralign="center" o:hrstd="t" o:hr="t"/>
        </w:pict>
      </w:r>
    </w:p>
    <w:p>
      <w:pPr>
        <w:pStyle w:val="Heading1"/>
      </w:pPr>
      <w:bookmarkStart w:id="31" w:name="methods"/>
      <w:bookmarkEnd w:id="31"/>
      <w:r>
        <w:t xml:space="preserve">Methods</w:t>
      </w:r>
    </w:p>
    <w:p>
      <w:pPr>
        <w:pStyle w:val="Heading3"/>
      </w:pPr>
      <w:bookmarkStart w:id="32" w:name="taxonomic-distribution-comparison"/>
      <w:bookmarkEnd w:id="32"/>
      <w:r>
        <w:t xml:space="preserve">taxonomic distribution comparison</w:t>
      </w:r>
    </w:p>
    <w:p>
      <w:r>
        <w:t xml:space="preserve">To examine the overall taxonomic distribution across the spatial datasets, we grouped species by taxonomic class and data source (IUCN, AquaMaps, or both), and examined the proportion of each class represented in each data source category. We then filtered the species list to those that have been evaluated for the IUCN Red List of Threatened Species (in SOM).</w:t>
      </w:r>
    </w:p>
    <w:p>
      <w:r>
        <w:rPr>
          <w:i/>
          <w:b/>
        </w:rPr>
        <w:t xml:space="preserve">Currently this is also included in body - take out and leave in here? Per BH: "Either cut or move to data description section of methods above."</w:t>
      </w:r>
      <w:r>
        <w:t xml:space="preserve">: The IUCN releases spatial data sets when a taxonomic group (typically on the scale of order or family) has been comprehensively assessed, to guard against sample bias (though non-comprehensive datasets are available for reptiles and marine fish). As such, spatial data for many taxonomic classes remain unavailable, and within a class, the assessed sub-groups may not represent the entire class.</w:t>
      </w:r>
    </w:p>
    <w:p>
      <w:pPr>
        <w:pStyle w:val="Heading3"/>
      </w:pPr>
      <w:bookmarkStart w:id="33" w:name="global-spatial-distribution-comparison"/>
      <w:bookmarkEnd w:id="33"/>
      <w:r>
        <w:t xml:space="preserve">global spatial distribution comparison</w:t>
      </w:r>
    </w:p>
    <w:p>
      <w:r>
        <w:t xml:space="preserve">To compare the spatial representation of the two datasets directly, we first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w:t>
      </w:r>
    </w:p>
    <w:p>
      <w:r>
        <w:rPr>
          <w:i/>
        </w:rPr>
        <w:t xml:space="preserve">map pairs comparison</w:t>
      </w:r>
    </w:p>
    <w:p>
      <w:r>
        <w:t xml:space="preserve">Using genus and species binomials to identify paired maps, we selected the subset of marine species that have range maps in both IUCN and AquaMaps current native distribution (n = 2166). We used the same criteria as outlined above to determine species presence within a cell.</w:t>
      </w:r>
    </w:p>
    <w:p>
      <w:r>
        <w:rPr>
          <w:i/>
          <w:b/>
        </w:rPr>
        <w:t xml:space="preserve">from results/discussion: paraphrase or expand upon this</w:t>
      </w:r>
      <w:r>
        <w:t xml:space="preserve"> </w:t>
      </w:r>
      <w:r>
        <w:t xml:space="preserve">Overlaying paired distribution maps for a given species, we calculated two dimensions of spatial alignment:</w:t>
      </w:r>
      <w:r>
        <w:t xml:space="preserve"> </w:t>
      </w:r>
      <w:r>
        <w:rPr>
          <w:i/>
        </w:rPr>
        <w:t xml:space="preserve">distribution alignment</w:t>
      </w:r>
      <w:r>
        <w:t xml:space="preserve">, which we defined as the proportion of the smaller range intersecting the larger range; and</w:t>
      </w:r>
      <w:r>
        <w:t xml:space="preserve"> </w:t>
      </w:r>
      <w:r>
        <w:rPr>
          <w:i/>
        </w:rPr>
        <w:t xml:space="preserve">area alignment</w:t>
      </w:r>
      <w:r>
        <w:t xml:space="preserve">, which we defined as the ratio of the smaller range to the larger range.</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pPr>
        <w:pStyle w:val="Heading3"/>
      </w:pPr>
      <w:bookmarkStart w:id="34" w:name="methods-for-ohi-comparison"/>
      <w:bookmarkEnd w:id="34"/>
      <w:r>
        <w:t xml:space="preserve">Methods for OHI comparison</w:t>
      </w:r>
    </w:p>
    <w:p>
      <w:pPr>
        <w:pStyle w:val="Heading3"/>
      </w:pPr>
      <w:bookmarkStart w:id="35" w:name="methods-for-mpa-gap-analysis-comparison"/>
      <w:bookmarkEnd w:id="35"/>
      <w:r>
        <w:t xml:space="preserve">Methods for MPA Gap Analysis comparison</w:t>
      </w:r>
    </w:p>
    <w:p>
      <w:r>
        <w:pict>
          <v:rect style="width:0;height:1.5pt" o:hralign="center" o:hrstd="t" o:hr="t"/>
        </w:pict>
      </w:r>
    </w:p>
    <w:p>
      <w:pPr>
        <w:pStyle w:val="Heading1"/>
      </w:pPr>
      <w:bookmarkStart w:id="36" w:name="figures"/>
      <w:bookmarkEnd w:id="36"/>
      <w:r>
        <w:t xml:space="preserve">Figures</w:t>
      </w:r>
    </w:p>
    <w:p>
      <w:r>
        <w:rPr>
          <w:i/>
          <w:b/>
        </w:rPr>
        <w:t xml:space="preserve">consider using HCL or HSV values for colors on plots?</w:t>
      </w:r>
      <w:r>
        <w:t xml:space="preserve"> </w:t>
      </w:r>
      <w:r>
        <w:t xml:space="preserve">or ask Mel re: good color choices. Make sure that colors have good contrast to show up on a black-and-white print... Should the quad plot background be colored? How else to quickly code the four quadrants relative to the quadrant-breakdown-by-taxa plot?</w:t>
      </w:r>
    </w:p>
    <w:p>
      <w:r>
        <w:rPr>
          <w:rStyle w:val="VerbatimChar"/>
          <w:b/>
        </w:rPr>
        <w:t xml:space="preserve">hcl {grDevices}</w:t>
      </w:r>
      <w:r>
        <w:t xml:space="preserve">: Create a vector of colors from vectors specifying hue, chroma and luminance.</w:t>
      </w:r>
    </w:p>
    <w:p>
      <w:r>
        <w:rPr>
          <w:i/>
        </w:rPr>
        <w:t xml:space="preserve">Usage</w:t>
      </w:r>
      <w:r>
        <w:t xml:space="preserve"> </w:t>
      </w:r>
      <w:r>
        <w:rPr>
          <w:rStyle w:val="VerbatimChar"/>
        </w:rPr>
        <w:t xml:space="preserve">hcl(h = 0, c = 35, l = 85, alpha, fixup = TRUE)</w:t>
      </w:r>
      <w:r>
        <w:t xml:space="preserve"> </w:t>
      </w:r>
      <w:r>
        <w:t xml:space="preserve">Arguments</w:t>
      </w:r>
    </w:p>
    <w:p>
      <w:r>
        <w:rPr>
          <w:i/>
        </w:rPr>
        <w:t xml:space="preserve">arguments</w:t>
      </w:r>
      <w:r>
        <w:t xml:space="preserve"> </w:t>
      </w:r>
      <w:r>
        <w:t xml:space="preserve">-</w:t>
      </w:r>
      <w:r>
        <w:t xml:space="preserve"> </w:t>
      </w:r>
      <w:r>
        <w:rPr>
          <w:rStyle w:val="VerbatimChar"/>
        </w:rPr>
        <w:t xml:space="preserve">h</w:t>
      </w:r>
      <w:r>
        <w:t xml:space="preserve">: The hue of the color specified as an angle in the range [0,360]. 0 yields red, 120 yields green 240 yields blue, etc. -</w:t>
      </w:r>
      <w:r>
        <w:t xml:space="preserve"> </w:t>
      </w:r>
      <w:r>
        <w:rPr>
          <w:rStyle w:val="VerbatimChar"/>
        </w:rPr>
        <w:t xml:space="preserve">c</w:t>
      </w:r>
      <w:r>
        <w:t xml:space="preserve">: The chroma of the color. The upper bound for chroma depends on hue and luminance. -</w:t>
      </w:r>
      <w:r>
        <w:t xml:space="preserve"> </w:t>
      </w:r>
      <w:r>
        <w:rPr>
          <w:rStyle w:val="VerbatimChar"/>
        </w:rPr>
        <w:t xml:space="preserve">l</w:t>
      </w:r>
      <w:r>
        <w:t xml:space="preserve">: A value in the range [0,100] giving the luminance of the colour. For a given combination of hue and chroma, only a subset of this range is possible. -</w:t>
      </w:r>
      <w:r>
        <w:t xml:space="preserve"> </w:t>
      </w:r>
      <w:r>
        <w:rPr>
          <w:rStyle w:val="VerbatimChar"/>
        </w:rPr>
        <w:t xml:space="preserve">alpha</w:t>
      </w:r>
      <w:r>
        <w:t xml:space="preserve">: numeric vector of values in the range [0,1] for alpha transparency channel (0 means transparent and 1 means opaque). -</w:t>
      </w:r>
      <w:r>
        <w:t xml:space="preserve"> </w:t>
      </w:r>
      <w:r>
        <w:rPr>
          <w:rStyle w:val="VerbatimChar"/>
        </w:rPr>
        <w:t xml:space="preserve">fixup</w:t>
      </w:r>
      <w:r>
        <w:t xml:space="preserve">: a logical value which indicates whether the resulting RGB values should be corrected to ensure that a real color results. if fixup is FALSE RGB components lying outside the range [0,1] will result in an NA value.</w:t>
      </w:r>
    </w:p>
    <w:p>
      <w:r>
        <w:rPr>
          <w:rStyle w:val="VerbatimChar"/>
          <w:b/>
        </w:rPr>
        <w:t xml:space="preserve">hsv {grDevices}</w:t>
      </w:r>
      <w:r>
        <w:t xml:space="preserve">: Create a vector of colors from vectors specifying hue, saturation and value.</w:t>
      </w:r>
    </w:p>
    <w:p>
      <w:r>
        <w:rPr>
          <w:i/>
        </w:rPr>
        <w:t xml:space="preserve">usage</w:t>
      </w:r>
      <w:r>
        <w:t xml:space="preserve"> </w:t>
      </w:r>
      <w:r>
        <w:rPr>
          <w:rStyle w:val="VerbatimChar"/>
        </w:rPr>
        <w:t xml:space="preserve">hsv(h = 1, s = 1, v = 1, alpha)</w:t>
      </w:r>
    </w:p>
    <w:p>
      <w:r>
        <w:rPr>
          <w:i/>
        </w:rPr>
        <w:t xml:space="preserve">arguments</w:t>
      </w:r>
    </w:p>
    <w:p>
      <w:pPr>
        <w:pStyle w:val="Compact"/>
        <w:numPr>
          <w:numId w:val="1007"/>
          <w:ilvl w:val="0"/>
        </w:numPr>
      </w:pPr>
      <w:r>
        <w:rPr>
          <w:rStyle w:val="VerbatimChar"/>
        </w:rPr>
        <w:t xml:space="preserve">h</w:t>
      </w:r>
      <w:r>
        <w:t xml:space="preserve">,</w:t>
      </w:r>
      <w:r>
        <w:t xml:space="preserve"> </w:t>
      </w:r>
      <w:r>
        <w:rPr>
          <w:rStyle w:val="VerbatimChar"/>
        </w:rPr>
        <w:t xml:space="preserve">s</w:t>
      </w:r>
      <w:r>
        <w:t xml:space="preserve">,</w:t>
      </w:r>
      <w:r>
        <w:rPr>
          <w:rStyle w:val="VerbatimChar"/>
        </w:rPr>
        <w:t xml:space="preserve">v</w:t>
      </w:r>
      <w:r>
        <w:t xml:space="preserve">: numeric vectors of values in the range [0, 1] for ‘hue’, ‘saturation’ and ‘value’ to be combined to form a vector of colors. Values in shorter arguments are recycled.</w:t>
      </w:r>
    </w:p>
    <w:p>
      <w:pPr>
        <w:pStyle w:val="Compact"/>
        <w:numPr>
          <w:numId w:val="1007"/>
          <w:ilvl w:val="0"/>
        </w:numPr>
      </w:pPr>
      <w:r>
        <w:rPr>
          <w:rStyle w:val="VerbatimChar"/>
        </w:rPr>
        <w:t xml:space="preserve">alpha</w:t>
      </w:r>
      <w:r>
        <w:t xml:space="preserve">: numeric vector of values in the range [0, 1] for alpha transparency channel (0 means transparent and 1 means opaque).</w:t>
      </w:r>
    </w:p>
    <w:p>
      <w:r>
        <w:pict>
          <v:rect style="width:0;height:1.5pt" o:hralign="center" o:hrstd="t" o:hr="t"/>
        </w:pict>
      </w:r>
    </w:p>
    <w:p>
      <w:pPr>
        <w:pStyle w:val="Heading3"/>
      </w:pPr>
      <w:bookmarkStart w:id="37" w:name="figure-1"/>
      <w:bookmarkEnd w:id="37"/>
      <w:r>
        <w:t xml:space="preserve">Figure 1</w:t>
      </w:r>
    </w:p>
    <w:p/>
    <w:p>
      <w:r>
        <w:drawing>
          <wp:inline>
            <wp:extent cx="5440680" cy="2714057"/>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8"/>
                    <a:stretch>
                      <a:fillRect/>
                    </a:stretch>
                  </pic:blipFill>
                  <pic:spPr bwMode="auto">
                    <a:xfrm>
                      <a:off x="0" y="0"/>
                      <a:ext cx="5440680" cy="2714057"/>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39"/>
                    <a:stretch>
                      <a:fillRect/>
                    </a:stretch>
                  </pic:blipFill>
                  <pic:spPr bwMode="auto">
                    <a:xfrm>
                      <a:off x="0" y="0"/>
                      <a:ext cx="5440680" cy="3855494"/>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40"/>
                    <a:stretch>
                      <a:fillRect/>
                    </a:stretch>
                  </pic:blipFill>
                  <pic:spPr bwMode="auto">
                    <a:xfrm>
                      <a:off x="0" y="0"/>
                      <a:ext cx="5440680" cy="3855494"/>
                    </a:xfrm>
                    <a:prstGeom prst="rect">
                      <a:avLst/>
                    </a:prstGeom>
                    <a:noFill/>
                    <a:ln w="9525">
                      <a:noFill/>
                      <a:headEnd/>
                      <a:tailEnd/>
                    </a:ln>
                  </pic:spPr>
                </pic:pic>
              </a:graphicData>
            </a:graphic>
          </wp:inline>
        </w:drawing>
      </w:r>
    </w:p>
    <w:p>
      <w:pPr>
        <w:pStyle w:val="BlockQuote"/>
      </w:pPr>
      <w:r>
        <w:rPr>
          <w:b/>
        </w:rPr>
        <w:t xml:space="preserve">Figure 1(a):</w:t>
      </w:r>
      <w:r>
        <w:t xml:space="preserve"> </w:t>
      </w:r>
      <w:r>
        <w:t xml:space="preserve">Number and proportion of species, listed by taxa, included in each dataset: IUCN, AquaMaps, or both. AquaMaps encompasses a broader range of taxa than IUCN, while IUCN focuses on comprehensively assessing select taxonomic groups, typically at the level of order or family. Overlapping species are dominated by bony fishes (1304 species, primarily tropical taxa) and corals (505 species).</w:t>
      </w:r>
    </w:p>
    <w:p>
      <w:pPr>
        <w:pStyle w:val="BlockQuote"/>
      </w:pPr>
      <w:r>
        <w:rPr>
          <w:b/>
        </w:rPr>
        <w:t xml:space="preserve">Figure 1 (b, c):</w:t>
      </w:r>
      <w:r>
        <w:t xml:space="preserve"> </w:t>
      </w:r>
      <w:r>
        <w:t xml:space="preserve">Global marine species richness according to (b) AquaMaps dataset and (c) IUCN dataset. The frequency plot to the right of each map shows relative species count per cell at each latitude; while both datasets peak in tropical latitudes near the equator, the frequency for IUCN maps drops quickly beyond 30°N and 30°S, while the frequency for AquaMaps remains robust well into temperate latitudes. The frequency plot above each map shows relative species count at each longitude, showing a slight bias in the IUCN dataset away from the Atlantic and eastern Pacific compared to AquaMaps.</w:t>
      </w:r>
    </w:p>
    <w:p>
      <w:pPr>
        <w:pStyle w:val="Heading3"/>
      </w:pPr>
      <w:bookmarkStart w:id="41" w:name="figure-2"/>
      <w:bookmarkEnd w:id="41"/>
      <w:r>
        <w:t xml:space="preserve">Figure 2</w:t>
      </w:r>
    </w:p>
    <w:p/>
    <w:p>
      <w:r>
        <w:drawing>
          <wp:inline>
            <wp:extent cx="5440680" cy="3166400"/>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42"/>
                    <a:stretch>
                      <a:fillRect/>
                    </a:stretch>
                  </pic:blipFill>
                  <pic:spPr bwMode="auto">
                    <a:xfrm>
                      <a:off x="0" y="0"/>
                      <a:ext cx="5440680" cy="3166400"/>
                    </a:xfrm>
                    <a:prstGeom prst="rect">
                      <a:avLst/>
                    </a:prstGeom>
                    <a:noFill/>
                    <a:ln w="9525">
                      <a:noFill/>
                      <a:headEnd/>
                      <a:tailEnd/>
                    </a:ln>
                  </pic:spPr>
                </pic:pic>
              </a:graphicData>
            </a:graphic>
          </wp:inline>
        </w:drawing>
      </w:r>
    </w:p>
    <w:p>
      <w:pPr>
        <w:pStyle w:val="BlockQuote"/>
      </w:pPr>
      <w:r>
        <w:rPr>
          <w:b/>
        </w:rPr>
        <w:t xml:space="preserve">Figure 2 (a):</w:t>
      </w:r>
      <w:r>
        <w:t xml:space="preserve"> </w:t>
      </w:r>
      <w:r>
        <w:t xml:space="preserve">For each paired-map species, we calculated two dimensions of spatial alignment:</w:t>
      </w:r>
      <w:r>
        <w:t xml:space="preserve"> </w:t>
      </w:r>
      <w:r>
        <w:rPr>
          <w:i/>
        </w:rPr>
        <w:t xml:space="preserve">distribution alignment</w:t>
      </w:r>
      <w:r>
        <w:t xml:space="preserve">, which we defined as the proportion of the smaller predicted range intersecting the larger predicted range (where on the map); and</w:t>
      </w:r>
      <w:r>
        <w:t xml:space="preserve"> </w:t>
      </w:r>
      <w:r>
        <w:rPr>
          <w:i/>
        </w:rPr>
        <w:t xml:space="preserve">extent alignment</w:t>
      </w:r>
      <w:r>
        <w:t xml:space="preserve">, which we defined as the ratio of the smaller range area to the larger range area (how much of the map). For a species whose distribution is well understood and described in both datasets, we would expect to see a value near 100% for each dimension of alignment.</w:t>
      </w:r>
    </w:p>
    <w:p>
      <w:pPr>
        <w:pStyle w:val="BlockQuote"/>
      </w:pPr>
      <w:r>
        <w:t xml:space="preserve">The upper right quadrant (quadrant 1) comprises species whose maps largely agree (better than median value) in both spatial distribution and the extent of described ranges (n = 400; 18.5 %). The upper left quadrant (quadrant 2) comprises species whose maps agree well in distribution, but disagree in extent (n = 684; 31.6 %). The lower right quadrant (quadrant 3) includes species for which the paired maps generally agree in range extent, but disagree on where those ranges occur (n = 681; 31.4 %). The lower left quadrant (quadrant 4) indicates species for which the map pairs agree poorly in both area and distribution (n = 401; 18.5 %).</w:t>
      </w:r>
    </w:p>
    <w:p>
      <w:r>
        <w:drawing>
          <wp:inline>
            <wp:extent cx="5440680" cy="3166400"/>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43"/>
                    <a:stretch>
                      <a:fillRect/>
                    </a:stretch>
                  </pic:blipFill>
                  <pic:spPr bwMode="auto">
                    <a:xfrm>
                      <a:off x="0" y="0"/>
                      <a:ext cx="5440680" cy="3166400"/>
                    </a:xfrm>
                    <a:prstGeom prst="rect">
                      <a:avLst/>
                    </a:prstGeom>
                    <a:noFill/>
                    <a:ln w="9525">
                      <a:noFill/>
                      <a:headEnd/>
                      <a:tailEnd/>
                    </a:ln>
                  </pic:spPr>
                </pic:pic>
              </a:graphicData>
            </a:graphic>
          </wp:inline>
        </w:drawing>
      </w:r>
    </w:p>
    <w:p>
      <w:pPr>
        <w:pStyle w:val="BlockQuote"/>
      </w:pPr>
      <w:r>
        <w:rPr>
          <w:b/>
        </w:rPr>
        <w:t xml:space="preserve">Figure 2 (b):</w:t>
      </w:r>
      <w:r>
        <w:t xml:space="preserve"> </w:t>
      </w:r>
      <w:r>
        <w:t xml:space="preserve">Spatial alignment of paired-map species by taxonomic group.</w:t>
      </w:r>
      <w:r>
        <w:t xml:space="preserve"> </w:t>
      </w:r>
      <w:r>
        <w:rPr>
          <w:i/>
          <w:b/>
        </w:rPr>
        <w:t xml:space="preserve">REDO with all corals grouped together!</w:t>
      </w:r>
      <w:r>
        <w:t xml:space="preserve"> </w:t>
      </w:r>
      <w:r>
        <w:rPr>
          <w:i/>
        </w:rPr>
        <w:t xml:space="preserve">Also - is it distracting to use order names for some groups and not others? Some of the groups had pretty long names ("acanthuridae" is way shorter than "surgeonfish, tangs, and unicornfish")</w:t>
      </w:r>
    </w:p>
    <w:p>
      <w:pPr>
        <w:pStyle w:val="Heading3"/>
      </w:pPr>
      <w:bookmarkStart w:id="44" w:name="figure-3"/>
      <w:bookmarkEnd w:id="44"/>
      <w:r>
        <w:t xml:space="preserve">Figure 3</w:t>
      </w:r>
    </w:p>
    <w:p/>
    <w:p>
      <w:r>
        <w:drawing>
          <wp:inline>
            <wp:extent cx="5440680" cy="2714057"/>
            <wp:effectExtent b="0" l="0" r="0" t="0"/>
            <wp:docPr descr="" id="1" name="Picture"/>
            <a:graphic>
              <a:graphicData uri="http://schemas.openxmlformats.org/drawingml/2006/picture">
                <pic:pic>
                  <pic:nvPicPr>
                    <pic:cNvPr descr="figures/boxplot_abs_diff.png" id="0" name="Picture"/>
                    <pic:cNvPicPr>
                      <a:picLocks noChangeArrowheads="1" noChangeAspect="1"/>
                    </pic:cNvPicPr>
                  </pic:nvPicPr>
                  <pic:blipFill>
                    <a:blip r:embed="rId45"/>
                    <a:stretch>
                      <a:fillRect/>
                    </a:stretch>
                  </pic:blipFill>
                  <pic:spPr bwMode="auto">
                    <a:xfrm>
                      <a:off x="0" y="0"/>
                      <a:ext cx="5440680" cy="2714057"/>
                    </a:xfrm>
                    <a:prstGeom prst="rect">
                      <a:avLst/>
                    </a:prstGeom>
                    <a:noFill/>
                    <a:ln w="9525">
                      <a:noFill/>
                      <a:headEnd/>
                      <a:tailEnd/>
                    </a:ln>
                  </pic:spPr>
                </pic:pic>
              </a:graphicData>
            </a:graphic>
          </wp:inline>
        </w:drawing>
      </w:r>
    </w:p>
    <w:p>
      <w:r>
        <w:rPr>
          <w:i/>
          <w:b/>
        </w:rPr>
        <w:t xml:space="preserve">NOTE: These figures still need to be recreated using the latest and greatest data!</w:t>
      </w:r>
      <w:r>
        <w:t xml:space="preserve"> </w:t>
      </w:r>
      <w:r>
        <w:rPr>
          <w:i/>
        </w:rPr>
        <w:t xml:space="preserve">currently they use data generated in November or so, in ohiprep.</w:t>
      </w:r>
    </w:p>
    <w:p>
      <w:pPr>
        <w:pStyle w:val="BlockQuote"/>
      </w:pPr>
      <w:r>
        <w:rPr>
          <w:b/>
        </w:rPr>
        <w:t xml:space="preserve">Figure 3:</w:t>
      </w:r>
      <w:r>
        <w:t xml:space="preserve"> </w:t>
      </w:r>
      <w:r>
        <w:t xml:space="preserve">Change in status score for the Species Subgoal within the global Ocean Health Index under three different scenarios.</w:t>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center"/>
            </w:pPr>
            <w:r>
              <w:t xml:space="preserve">Priority data source</w:t>
            </w:r>
          </w:p>
        </w:tc>
        <w:tc>
          <w:tcPr>
            <w:tcBorders>
              <w:bottom w:val="single"/>
            </w:tcBorders>
            <w:vAlign w:val="bottom"/>
          </w:tcPr>
          <w:p>
            <w:pPr>
              <w:pStyle w:val="Compact"/>
              <w:jc w:val="center"/>
            </w:pPr>
            <w:r>
              <w:t xml:space="preserve">AquaMaps presence threshold</w:t>
            </w:r>
          </w:p>
        </w:tc>
      </w:tr>
      <w:tr>
        <w:tc>
          <w:p>
            <w:pPr>
              <w:pStyle w:val="Compact"/>
              <w:jc w:val="left"/>
            </w:pPr>
            <w:r>
              <w:t xml:space="preserve">Scenario 0 (current)</w:t>
            </w:r>
          </w:p>
        </w:tc>
        <w:tc>
          <w:p>
            <w:pPr>
              <w:pStyle w:val="Compact"/>
              <w:jc w:val="center"/>
            </w:pPr>
            <w:r>
              <w:t xml:space="preserve">IUCN</w:t>
            </w:r>
          </w:p>
        </w:tc>
        <w:tc>
          <w:p>
            <w:pPr>
              <w:pStyle w:val="Compact"/>
              <w:jc w:val="center"/>
            </w:pPr>
            <w:r>
              <w:t xml:space="preserve">&gt;= 40%</w:t>
            </w:r>
          </w:p>
        </w:tc>
      </w:tr>
      <w:tr>
        <w:tc>
          <w:p>
            <w:pPr>
              <w:pStyle w:val="Compact"/>
              <w:jc w:val="left"/>
            </w:pPr>
            <w:r>
              <w:t xml:space="preserve">Scenario 1</w:t>
            </w:r>
          </w:p>
        </w:tc>
        <w:tc>
          <w:p>
            <w:pPr>
              <w:pStyle w:val="Compact"/>
              <w:jc w:val="center"/>
            </w:pPr>
            <w:r>
              <w:t xml:space="preserve">IUCN</w:t>
            </w:r>
          </w:p>
        </w:tc>
        <w:tc>
          <w:p>
            <w:pPr>
              <w:pStyle w:val="Compact"/>
              <w:jc w:val="center"/>
            </w:pPr>
            <w:r>
              <w:t xml:space="preserve">&gt; 0%</w:t>
            </w:r>
          </w:p>
        </w:tc>
      </w:tr>
      <w:tr>
        <w:tc>
          <w:p>
            <w:pPr>
              <w:pStyle w:val="Compact"/>
              <w:jc w:val="left"/>
            </w:pPr>
            <w:r>
              <w:t xml:space="preserve">Scenario 2</w:t>
            </w:r>
          </w:p>
        </w:tc>
        <w:tc>
          <w:p>
            <w:pPr>
              <w:pStyle w:val="Compact"/>
              <w:jc w:val="center"/>
            </w:pPr>
            <w:r>
              <w:t xml:space="preserve">AquaMaps</w:t>
            </w:r>
          </w:p>
        </w:tc>
        <w:tc>
          <w:p>
            <w:pPr>
              <w:pStyle w:val="Compact"/>
              <w:jc w:val="center"/>
            </w:pPr>
            <w:r>
              <w:t xml:space="preserve">&gt;= 40%</w:t>
            </w:r>
          </w:p>
        </w:tc>
      </w:tr>
      <w:tr>
        <w:tc>
          <w:p>
            <w:pPr>
              <w:pStyle w:val="Compact"/>
              <w:jc w:val="left"/>
            </w:pPr>
            <w:r>
              <w:t xml:space="preserve">Scenario 3</w:t>
            </w:r>
          </w:p>
        </w:tc>
        <w:tc>
          <w:p>
            <w:pPr>
              <w:pStyle w:val="Compact"/>
              <w:jc w:val="center"/>
            </w:pPr>
            <w:r>
              <w:t xml:space="preserve">AquaMaps</w:t>
            </w:r>
          </w:p>
        </w:tc>
        <w:tc>
          <w:p>
            <w:pPr>
              <w:pStyle w:val="Compact"/>
              <w:jc w:val="center"/>
            </w:pPr>
            <w:r>
              <w:t xml:space="preserve">&gt; 0%</w:t>
            </w:r>
          </w:p>
        </w:tc>
      </w:tr>
    </w:tbl>
    <w:p>
      <w:pPr>
        <w:pStyle w:val="Compact"/>
        <w:pStyle w:val="BlockQuote"/>
        <w:numPr>
          <w:numId w:val="1008"/>
          <w:ilvl w:val="0"/>
        </w:numPr>
      </w:pPr>
      <w:r>
        <w:t xml:space="preserve">Scenario 1 shows the effect of reducing the presence threshold for AquaMaps presence. Reducing the threshold will always increase the apparent range of a species, therefore the slight decrease in average score suggests increased spatial representation of threatened species.</w:t>
      </w:r>
    </w:p>
    <w:p>
      <w:pPr>
        <w:pStyle w:val="Compact"/>
        <w:pStyle w:val="BlockQuote"/>
        <w:numPr>
          <w:numId w:val="1008"/>
          <w:ilvl w:val="0"/>
        </w:numPr>
      </w:pPr>
      <w:r>
        <w:t xml:space="preserve">Scenario 2 shows the effect of preferring AquaMaps data over IUCN, while maintaining the same presence threshold. This will have different effects depending on the species; in general, AquaMaps ranges are smaller than IUCN ranges, so many but not all overlapping species will see a decrease in represented range. The slight bump in mean score may indicate a small increase in spatial representation of low-risk species, a small decrease in spatial representation of high-risk species, or more likely a combination of both.</w:t>
      </w:r>
    </w:p>
    <w:p>
      <w:pPr>
        <w:pStyle w:val="Compact"/>
        <w:pStyle w:val="BlockQuote"/>
        <w:numPr>
          <w:numId w:val="1008"/>
          <w:ilvl w:val="0"/>
        </w:numPr>
      </w:pPr>
      <w:r>
        <w:t xml:space="preserve">Scenario 3 shows the effect of preferring AquaMaps data over IUCN, while eliminating the presence threshold. Just as a presence threshold of zero in scenario 1 drives a decrease in average score relative to the baseline, the zero threshold in scenario 3 drives a decrease in scores relative to scenario 2. The large decrease seems to indicate that within the set of paired-map species, a zero threshold greatly increases the spatial representation of high-risk species relative to low-risk species.</w:t>
      </w:r>
    </w:p>
    <w:p>
      <w:r>
        <w:pict>
          <v:rect style="width:0;height:1.5pt" o:hralign="center" o:hrstd="t" o:hr="t"/>
        </w:pict>
      </w:r>
    </w:p>
    <w:p>
      <w:pPr>
        <w:pStyle w:val="Heading1"/>
      </w:pPr>
      <w:bookmarkStart w:id="46" w:name="references"/>
      <w:bookmarkEnd w:id="46"/>
      <w:r>
        <w:t xml:space="preserve">References</w:t>
      </w:r>
    </w:p>
    <w:p>
      <w:r>
        <w:rPr>
          <w:b/>
        </w:rPr>
        <w:t xml:space="preserve">Key AquaMaps publications:</w:t>
      </w:r>
    </w:p>
    <w:p>
      <w:r>
        <w:t xml:space="preserve">Kaschner, K., R. Watson, A. W. Trites, D. Pauly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Kaschner, K., D.P. Tittensor, J. Ready, T Gerrodette and B. Worm (2011). Current and Future Patterns of Global Marine Mammal Biodiversity. PLoS ONE 6(5): e19653. PDF</w:t>
      </w:r>
      <w:r>
        <w:t xml:space="preserve"> </w:t>
      </w:r>
      <w:r>
        <w:rPr>
          <w:i/>
        </w:rPr>
        <w:t xml:space="preserve">just what the title says - AM development, presence threshold 60%, also analyzes richness as a function of threshold</w:t>
      </w:r>
    </w:p>
    <w:p>
      <w:r>
        <w:t xml:space="preserve">Ready, J., K. Kaschner, A.B. South, P.D Eastwood, T. Rees, J. Rius, E. Agbayani, S. Kullander and R. Froese (2010). Predicting the distributions of marine organisms at the global scale. Ecological Modelling 221(3): 467-478. PDF</w:t>
      </w:r>
      <w:r>
        <w:t xml:space="preserve"> </w:t>
      </w:r>
      <w:r>
        <w:rPr>
          <w:i/>
        </w:rPr>
        <w:t xml:space="preserve">Presents AM; assessing AquaMaps against other presence-only species models</w:t>
      </w:r>
    </w:p>
    <w:p>
      <w:r>
        <w:rPr>
          <w:b/>
        </w:rPr>
        <w:t xml:space="preserve">Papers based on AquaMaps:</w:t>
      </w:r>
    </w:p>
    <w:p>
      <w:r>
        <w:t xml:space="preserve">Jones, M.C., S.R. Dyeb, J.K. Pinnegar and W.W.L. Cheung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Coll, M., C. Piroddi, J. Steenbeek, K. Kaschner, F. Ben Rais Lasram et al. (2010). The biodiversity of the Mediterranean Sea: estimates, patterns, and threats. PLoS ONE 5(8): e11842. PDF</w:t>
      </w:r>
      <w:r>
        <w:t xml:space="preserve"> </w:t>
      </w:r>
      <w:r>
        <w:rPr>
          <w:i/>
        </w:rPr>
        <w:t xml:space="preserve">used AquaMaps to predict Med biodiversity. Also: Threshold = 0.</w:t>
      </w:r>
    </w:p>
    <w:p>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w:t>
      </w:r>
      <w:r>
        <w:t xml:space="preserve"> </w:t>
      </w:r>
      <w:r>
        <w:rPr>
          <w:i/>
        </w:rPr>
        <w:t xml:space="preserve">report on marine data sets and data gaps etc, incl both IUCN and AM</w:t>
      </w:r>
    </w:p>
    <w:p>
      <w:r>
        <w:pict>
          <v:rect style="width:0;height:1.5pt" o:hralign="center" o:hrstd="t" o:hr="t"/>
        </w:pict>
      </w:r>
    </w:p>
    <w:p>
      <w:r>
        <w:t xml:space="preserve">Hurlbert 2007 Species richness, hotspots, and the scale dependence of range maps in ecology and conservation.</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t xml:space="preserve">Jetz 2008 Ecological Correlates and Conservation Implications of Overestimating Species Geographic Ranges</w:t>
      </w:r>
      <w:r>
        <w:t xml:space="preserve"> </w:t>
      </w:r>
      <w:r>
        <w:rPr>
          <w:i/>
        </w:rPr>
        <w:t xml:space="preserve">EOO maps are usually highly interpolated and overestimate small-scale occurrence, which may bias research outcomes</w:t>
      </w:r>
    </w:p>
    <w:p>
      <w:r>
        <w:t xml:space="preserve">Pimm 2014 The biodiversity of species and their rates of extinction, distribtuion, and protection.</w:t>
      </w:r>
      <w:r>
        <w:t xml:space="preserve"> </w:t>
      </w:r>
      <w:r>
        <w:rPr>
          <w:i/>
        </w:rPr>
        <w:t xml:space="preserve">uses range maps to show biodiversity areas; may use IUCN range maps. Also discusses gaps and possible things that can be done about them.</w:t>
      </w:r>
    </w:p>
    <w:p>
      <w:r>
        <w:t xml:space="preserve">Rondinini 2006 Tradeoffs of different types of species occurrence data for use in systematic conservation planning</w:t>
      </w:r>
      <w:r>
        <w:t xml:space="preserve"> </w:t>
      </w:r>
      <w:r>
        <w:rPr>
          <w:i/>
        </w:rPr>
        <w:t xml:space="preserve">compares point locality, range maps, and distribution models in terms of omission and commission errors; also outlines Extent of Occurrence and Area of Occupancy distinctions.</w:t>
      </w:r>
    </w:p>
    <w:p>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w:t>
      </w:r>
      <w:r>
        <w:t xml:space="preserve"> </w:t>
      </w:r>
      <w:hyperlink r:id="rId47">
        <w:r>
          <w:rPr>
            <w:rStyle w:val="Link"/>
          </w:rPr>
          <w:t xml:space="preserve">doi:10.1038/nclimate2769</w:t>
        </w:r>
      </w:hyperlink>
      <w:r>
        <w:t xml:space="preserve">.</w:t>
      </w:r>
    </w:p>
    <w:p>
      <w:r>
        <w:t xml:space="preserve">Halpern, Benjamin S., Catherine Longo, Darren Hardy, Karen L. McLeod, Jameal F. Samhouri, Steven K. Katona, Kristin Kleisner, et al. “An Index to Assess the Health and Benefits of the Global Ocean.” Nature 488, no. 7413 (August 30, 2012): 615–20.</w:t>
      </w:r>
      <w:r>
        <w:t xml:space="preserve"> </w:t>
      </w:r>
      <w:hyperlink r:id="rId48">
        <w:r>
          <w:rPr>
            <w:rStyle w:val="Link"/>
          </w:rPr>
          <w:t xml:space="preserve">doi:10.1038/nature11397</w:t>
        </w:r>
      </w:hyperlink>
      <w:r>
        <w:t xml:space="preserve">.</w:t>
      </w:r>
    </w:p>
    <w:p>
      <w:r>
        <w:t xml:space="preserve">Klein, Carissa J., Christopher J. Brown, Benjamin S. Halpern, Daniel B. Segan, Jennifer McGowan, Maria Beger, and James E.M. Watson. “Shortfalls in the Global Protected Area Network at Representing Marine Biodiversity.” Scientific Reports 5 (December 3, 2015): 17539.</w:t>
      </w:r>
      <w:r>
        <w:t xml:space="preserve"> </w:t>
      </w:r>
      <w:hyperlink r:id="rId49">
        <w:r>
          <w:rPr>
            <w:rStyle w:val="Link"/>
          </w:rPr>
          <w:t xml:space="preserve">doi:10.1038/srep17539</w:t>
        </w:r>
      </w:hyperlink>
      <w:r>
        <w:t xml:space="preserve">.</w:t>
      </w:r>
    </w:p>
    <w:p>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w:t>
      </w:r>
      <w:r>
        <w:t xml:space="preserve"> </w:t>
      </w:r>
      <w:hyperlink r:id="rId50">
        <w:r>
          <w:rPr>
            <w:rStyle w:val="Link"/>
          </w:rPr>
          <w:t xml:space="preserve">doi:10.1371/journal.pone.0060284</w:t>
        </w:r>
      </w:hyperlink>
      <w:r>
        <w:t xml:space="preserve">.</w:t>
      </w:r>
    </w:p>
    <w:p>
      <w:pPr>
        <w:pStyle w:val="Compact"/>
        <w:numPr>
          <w:numId w:val="1009"/>
          <w:ilvl w:val="0"/>
        </w:numPr>
      </w:pPr>
      <w:r>
        <w:t xml:space="preserve">IUCN reference:</w:t>
      </w:r>
    </w:p>
    <w:p>
      <w:pPr>
        <w:pStyle w:val="Compact"/>
        <w:numPr>
          <w:numId w:val="1010"/>
          <w:ilvl w:val="1"/>
        </w:numPr>
      </w:pPr>
      <w:hyperlink r:id="rId51">
        <w:r>
          <w:rPr>
            <w:rStyle w:val="Link"/>
          </w:rPr>
          <w:t xml:space="preserve">https://www.conservationtraining.org/course/view.php?id=217&amp;lang=en</w:t>
        </w:r>
      </w:hyperlink>
    </w:p>
    <w:p>
      <w:pPr>
        <w:pStyle w:val="Compact"/>
        <w:numPr>
          <w:numId w:val="1010"/>
          <w:ilvl w:val="1"/>
        </w:numPr>
      </w:pPr>
      <w:hyperlink r:id="rId52">
        <w:r>
          <w:rPr>
            <w:rStyle w:val="Link"/>
          </w:rPr>
          <w:t xml:space="preserve">http://www.iucnredlist.org/technical-documents/red-list-training/iucnspatialresources</w:t>
        </w:r>
      </w:hyperlink>
    </w:p>
    <w:p>
      <w:pPr>
        <w:pStyle w:val="Compact"/>
        <w:numPr>
          <w:numId w:val="1010"/>
          <w:ilvl w:val="1"/>
        </w:numPr>
      </w:pPr>
      <w:r>
        <w:t xml:space="preserve">IUCN Red List - accessed 12/21/2015</w:t>
      </w:r>
    </w:p>
    <w:p>
      <w:pPr>
        <w:pStyle w:val="Compact"/>
        <w:numPr>
          <w:numId w:val="1009"/>
          <w:ilvl w:val="0"/>
        </w:numPr>
      </w:pPr>
      <w:r>
        <w:t xml:space="preserve">AquaMaps reference, and accessed date?</w:t>
      </w:r>
    </w:p>
    <w:p>
      <w:r>
        <w:pict>
          <v:rect style="width:0;height:1.5pt" o:hralign="center" o:hrstd="t" o:hr="t"/>
        </w:pict>
      </w:r>
    </w:p>
    <w:p>
      <w:pPr>
        <w:pStyle w:val="Heading1"/>
      </w:pPr>
      <w:bookmarkStart w:id="53" w:name="supplemental-information"/>
      <w:bookmarkEnd w:id="53"/>
      <w:r>
        <w:t xml:space="preserve">Supplemental Information</w:t>
      </w:r>
    </w:p>
    <w:p>
      <w:pPr>
        <w:pStyle w:val="Heading2"/>
      </w:pPr>
      <w:bookmarkStart w:id="54" w:name="info-on-data-prep"/>
      <w:bookmarkEnd w:id="54"/>
      <w:r>
        <w:t xml:space="preserve">Info on data prep</w:t>
      </w:r>
    </w:p>
    <w:p>
      <w:pPr>
        <w:pStyle w:val="Heading3"/>
      </w:pPr>
      <w:bookmarkStart w:id="55" w:name="processing-aquamaps"/>
      <w:bookmarkEnd w:id="55"/>
      <w:r>
        <w:t xml:space="preserve">processing AquaMaps</w:t>
      </w:r>
    </w:p>
    <w:p>
      <w:pPr>
        <w:pStyle w:val="Compact"/>
        <w:numPr>
          <w:numId w:val="1011"/>
          <w:ilvl w:val="0"/>
        </w:numPr>
      </w:pPr>
      <w:r>
        <w:t xml:space="preserve">start with .sql files - three of 'em - how to get 'em?</w:t>
      </w:r>
    </w:p>
    <w:p>
      <w:pPr>
        <w:pStyle w:val="Compact"/>
        <w:numPr>
          <w:numId w:val="1011"/>
          <w:ilvl w:val="0"/>
        </w:numPr>
      </w:pPr>
      <w:r>
        <w:t xml:space="preserve">turn into .csvs, which columns are critical for this analysis? simplify</w:t>
      </w:r>
    </w:p>
    <w:p>
      <w:pPr>
        <w:pStyle w:val="Heading3"/>
      </w:pPr>
      <w:bookmarkStart w:id="56" w:name="downloading-and-processing-iucn-maps"/>
      <w:bookmarkEnd w:id="56"/>
      <w:r>
        <w:t xml:space="preserve">downloading and processing IUCN maps</w:t>
      </w:r>
    </w:p>
    <w:p>
      <w:pPr>
        <w:pStyle w:val="Compact"/>
        <w:numPr>
          <w:numId w:val="1012"/>
          <w:ilvl w:val="0"/>
        </w:numPr>
      </w:pPr>
      <w:r>
        <w:t xml:space="preserve">which data sets are included?</w:t>
      </w:r>
    </w:p>
    <w:p>
      <w:pPr>
        <w:pStyle w:val="Compact"/>
        <w:numPr>
          <w:numId w:val="1012"/>
          <w:ilvl w:val="0"/>
        </w:numPr>
      </w:pPr>
      <w:r>
        <w:t xml:space="preserve">raster::extract() to convert polys to csvs</w:t>
      </w:r>
    </w:p>
    <w:p>
      <w:pPr>
        <w:pStyle w:val="Compact"/>
        <w:numPr>
          <w:numId w:val="1012"/>
          <w:ilvl w:val="0"/>
        </w:numPr>
      </w:pPr>
      <w:r>
        <w:t xml:space="preserve">which columns are included?</w:t>
      </w:r>
    </w:p>
    <w:p>
      <w:pPr>
        <w:pStyle w:val="Heading3"/>
      </w:pPr>
      <w:bookmarkStart w:id="57" w:name="creating-master-species-list-for-co-listed-species"/>
      <w:bookmarkEnd w:id="57"/>
      <w:r>
        <w:t xml:space="preserve">creating master species list for co-listed species</w:t>
      </w:r>
    </w:p>
    <w:p>
      <w:pPr>
        <w:pStyle w:val="Compact"/>
        <w:numPr>
          <w:numId w:val="1013"/>
          <w:ilvl w:val="0"/>
        </w:numPr>
      </w:pPr>
      <w:r>
        <w:t xml:space="preserve">using AquaMaps and IUCN, and IUCN master list, create the big list</w:t>
      </w:r>
    </w:p>
    <w:p>
      <w:pPr>
        <w:pStyle w:val="Compact"/>
        <w:numPr>
          <w:numId w:val="1013"/>
          <w:ilvl w:val="0"/>
        </w:numPr>
      </w:pPr>
      <w:r>
        <w:t xml:space="preserve">which columns are included?</w:t>
      </w:r>
    </w:p>
    <w:p>
      <w:pPr>
        <w:pStyle w:val="Compact"/>
        <w:numPr>
          <w:numId w:val="1013"/>
          <w:ilvl w:val="0"/>
        </w:numPr>
      </w:pPr>
      <w:r>
        <w:t xml:space="preserve">adjust this master list to use IUCN SID only for parent - eliminate the whole question of parent/subpop? for the purpose of this analysis</w:t>
      </w:r>
    </w:p>
    <w:p>
      <w:pPr>
        <w:pStyle w:val="Heading2"/>
      </w:pPr>
      <w:bookmarkStart w:id="58" w:name="descriptions-of-iucn-and-am-data-sets"/>
      <w:bookmarkEnd w:id="58"/>
      <w:r>
        <w:t xml:space="preserve">descriptions of IUCN and AM data sets</w:t>
      </w:r>
    </w:p>
    <w:p>
      <w:r>
        <w:t xml:space="preserve">IUCN: While the polygons roughly define regions of presence/absence, additional attributes provide information on extant/extinct ranges, native/introduced ranges, and seasonality.</w:t>
      </w:r>
    </w:p>
    <w:p>
      <w:r>
        <w:t xml:space="preserve">As of December 2015, IUCN had published species distribution maps for 4138 marine species across 24 taxonomic groups. For this analysis, we did not consider IUCN range maps for bird species, as those data are hosted separately by BirdLife International.</w:t>
      </w:r>
    </w:p>
    <w:p>
      <w:r>
        <w:t xml:space="preserve">As of December 2015, AquaMaps current native distribution maps have been produced for 22889 species.</w:t>
      </w:r>
    </w:p>
    <w:p>
      <w:r>
        <w:rPr>
          <w:i/>
          <w:b/>
        </w:rPr>
        <w:t xml:space="preserve">Move to supplementary materials. - BH</w:t>
      </w:r>
      <w:r>
        <w:t xml:space="preserve">: 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r>
        <w:rPr>
          <w:i/>
          <w:b/>
        </w:rPr>
        <w:t xml:space="preserve">Probably just cut, but maybe include in Suppl Materials. - BH</w:t>
      </w:r>
      <w:r>
        <w:t xml:space="preserve">: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r>
        <w:rPr>
          <w:i/>
          <w:b/>
        </w:rPr>
        <w:t xml:space="preserve">Red List inclusion:</w:t>
      </w:r>
    </w:p>
    <w:p>
      <w:r>
        <w:drawing>
          <wp:inline>
            <wp:extent cx="5440680" cy="2714057"/>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59"/>
                    <a:stretch>
                      <a:fillRect/>
                    </a:stretch>
                  </pic:blipFill>
                  <pic:spPr bwMode="auto">
                    <a:xfrm>
                      <a:off x="0" y="0"/>
                      <a:ext cx="5440680" cy="2714057"/>
                    </a:xfrm>
                    <a:prstGeom prst="rect">
                      <a:avLst/>
                    </a:prstGeom>
                    <a:noFill/>
                    <a:ln w="9525">
                      <a:noFill/>
                      <a:headEnd/>
                      <a:tailEnd/>
                    </a:ln>
                  </pic:spPr>
                </pic:pic>
              </a:graphicData>
            </a:graphic>
          </wp:inline>
        </w:drawing>
      </w:r>
    </w:p>
    <w:p>
      <w:r>
        <w:drawing>
          <wp:inline>
            <wp:extent cx="5440680" cy="1583200"/>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60"/>
                    <a:stretch>
                      <a:fillRect/>
                    </a:stretch>
                  </pic:blipFill>
                  <pic:spPr bwMode="auto">
                    <a:xfrm>
                      <a:off x="0" y="0"/>
                      <a:ext cx="5440680" cy="1583200"/>
                    </a:xfrm>
                    <a:prstGeom prst="rect">
                      <a:avLst/>
                    </a:prstGeom>
                    <a:noFill/>
                    <a:ln w="9525">
                      <a:noFill/>
                      <a:headEnd/>
                      <a:tailEnd/>
                    </a:ln>
                  </pic:spPr>
                </pic:pic>
              </a:graphicData>
            </a:graphic>
          </wp:inline>
        </w:drawing>
      </w:r>
    </w:p>
    <w:p>
      <w:pPr>
        <w:pStyle w:val="Compact"/>
        <w:numPr>
          <w:numId w:val="1014"/>
          <w:ilvl w:val="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r>
        <w:rPr>
          <w:i/>
          <w:b/>
        </w:rPr>
        <w:t xml:space="preserve">table to show data poor status and reviewed status for AquaMaps maps represented in the quadrant plot</w:t>
      </w:r>
      <w:r>
        <w:t xml:space="preserve"> </w:t>
      </w:r>
      <w:r>
        <w:rPr>
          <w:i/>
        </w:rPr>
        <w:t xml:space="preserve">- perhaps update the quadrant plot to reveal data-poor species (and reviewed species? little overlap of reviewed &amp; data-poor) instead of, say, red-list category which doesn't get discussed in the body of the paper? then this table can go in SOM if we like it</w:t>
      </w:r>
    </w:p>
    <w:tbl>
      <w:tblPr>
        <w:tblStyle w:val="TableNormal"/>
        <w:tblW w:type="pct" w:w="0.0"/>
      </w:tblPr>
      <w:tblGrid/>
      <w:tr>
        <w:tc>
          <w:tcPr>
            <w:tcBorders>
              <w:bottom w:val="single"/>
            </w:tcBorders>
            <w:vAlign w:val="bottom"/>
          </w:tcPr>
          <w:p>
            <w:pPr>
              <w:pStyle w:val="Compact"/>
              <w:jc w:val="center"/>
            </w:pPr>
            <w:r>
              <w:t xml:space="preserve">quadrant</w:t>
            </w:r>
          </w:p>
        </w:tc>
        <w:tc>
          <w:tcPr>
            <w:tcBorders>
              <w:bottom w:val="single"/>
            </w:tcBorders>
            <w:vAlign w:val="bottom"/>
          </w:tcPr>
          <w:p>
            <w:pPr>
              <w:pStyle w:val="Compact"/>
              <w:jc w:val="center"/>
            </w:pPr>
            <w:r>
              <w:t xml:space="preserve">n species</w:t>
            </w:r>
          </w:p>
        </w:tc>
        <w:tc>
          <w:tcPr>
            <w:tcBorders>
              <w:bottom w:val="single"/>
            </w:tcBorders>
            <w:vAlign w:val="bottom"/>
          </w:tcPr>
          <w:p>
            <w:pPr>
              <w:pStyle w:val="Compact"/>
              <w:jc w:val="center"/>
            </w:pPr>
            <w:r>
              <w:t xml:space="preserve">n data poor species</w:t>
            </w:r>
          </w:p>
        </w:tc>
        <w:tc>
          <w:tcPr>
            <w:tcBorders>
              <w:bottom w:val="single"/>
            </w:tcBorders>
            <w:vAlign w:val="bottom"/>
          </w:tcPr>
          <w:p>
            <w:pPr>
              <w:pStyle w:val="Compact"/>
              <w:jc w:val="center"/>
            </w:pPr>
            <w:r>
              <w:t xml:space="preserve">mean (median) data points</w:t>
            </w:r>
          </w:p>
        </w:tc>
        <w:tc>
          <w:tcPr>
            <w:tcBorders>
              <w:bottom w:val="single"/>
            </w:tcBorders>
            <w:vAlign w:val="bottom"/>
          </w:tcPr>
          <w:p>
            <w:pPr>
              <w:pStyle w:val="Compact"/>
              <w:jc w:val="center"/>
            </w:pPr>
            <w:r>
              <w:t xml:space="preserve">n reviewed species</w:t>
            </w:r>
          </w:p>
        </w:tc>
      </w:tr>
      <w:tr>
        <w:tc>
          <w:p>
            <w:pPr>
              <w:pStyle w:val="Compact"/>
              <w:jc w:val="center"/>
            </w:pPr>
            <w:r>
              <w:t xml:space="preserve">all AM</w:t>
            </w:r>
          </w:p>
        </w:tc>
        <w:tc>
          <w:p>
            <w:pPr>
              <w:pStyle w:val="Compact"/>
              <w:jc w:val="center"/>
            </w:pPr>
            <w:r>
              <w:t xml:space="preserve">22889</w:t>
            </w:r>
          </w:p>
        </w:tc>
        <w:tc>
          <w:p>
            <w:pPr>
              <w:pStyle w:val="Compact"/>
              <w:jc w:val="center"/>
            </w:pPr>
            <w:r>
              <w:t xml:space="preserve">8749 (38.2%)</w:t>
            </w:r>
          </w:p>
        </w:tc>
        <w:tc>
          <w:p>
            <w:pPr>
              <w:pStyle w:val="Compact"/>
              <w:jc w:val="center"/>
            </w:pPr>
            <w:r>
              <w:t xml:space="preserve">57.1 (16)</w:t>
            </w:r>
          </w:p>
        </w:tc>
        <w:tc>
          <w:p>
            <w:pPr>
              <w:pStyle w:val="Compact"/>
              <w:jc w:val="center"/>
            </w:pPr>
            <w:r>
              <w:t xml:space="preserve">1296 (5.7%)</w:t>
            </w:r>
          </w:p>
        </w:tc>
      </w:tr>
      <w:tr>
        <w:tc>
          <w:p>
            <w:pPr>
              <w:pStyle w:val="Compact"/>
              <w:jc w:val="center"/>
            </w:pPr>
            <w:r>
              <w:t xml:space="preserve">AM&amp;IUCN</w:t>
            </w:r>
          </w:p>
        </w:tc>
        <w:tc>
          <w:p>
            <w:pPr>
              <w:pStyle w:val="Compact"/>
              <w:jc w:val="center"/>
            </w:pPr>
            <w:r>
              <w:t xml:space="preserve">2166</w:t>
            </w:r>
          </w:p>
        </w:tc>
        <w:tc>
          <w:p>
            <w:pPr>
              <w:pStyle w:val="Compact"/>
              <w:jc w:val="center"/>
            </w:pPr>
            <w:r>
              <w:t xml:space="preserve">457 (21.1%)</w:t>
            </w:r>
          </w:p>
        </w:tc>
        <w:tc>
          <w:p>
            <w:pPr>
              <w:pStyle w:val="Compact"/>
              <w:jc w:val="center"/>
            </w:pPr>
            <w:r>
              <w:t xml:space="preserve">89.9 (33)</w:t>
            </w:r>
          </w:p>
        </w:tc>
        <w:tc>
          <w:p>
            <w:pPr>
              <w:pStyle w:val="Compact"/>
              <w:jc w:val="center"/>
            </w:pPr>
            <w:r>
              <w:t xml:space="preserve">290 (13.4%)</w:t>
            </w:r>
          </w:p>
        </w:tc>
      </w:tr>
      <w:tr>
        <w:tc>
          <w:p>
            <w:pPr>
              <w:pStyle w:val="Compact"/>
              <w:jc w:val="center"/>
            </w:pPr>
            <w:r>
              <w:t xml:space="preserve">q1</w:t>
            </w:r>
          </w:p>
        </w:tc>
        <w:tc>
          <w:p>
            <w:pPr>
              <w:pStyle w:val="Compact"/>
              <w:jc w:val="center"/>
            </w:pPr>
            <w:r>
              <w:t xml:space="preserve">401</w:t>
            </w:r>
          </w:p>
        </w:tc>
        <w:tc>
          <w:p>
            <w:pPr>
              <w:pStyle w:val="Compact"/>
              <w:jc w:val="center"/>
            </w:pPr>
            <w:r>
              <w:t xml:space="preserve">33 (8.2%)</w:t>
            </w:r>
          </w:p>
        </w:tc>
        <w:tc>
          <w:p>
            <w:pPr>
              <w:pStyle w:val="Compact"/>
              <w:jc w:val="center"/>
            </w:pPr>
            <w:r>
              <w:t xml:space="preserve">233.0 (78)</w:t>
            </w:r>
          </w:p>
        </w:tc>
        <w:tc>
          <w:p>
            <w:pPr>
              <w:pStyle w:val="Compact"/>
              <w:jc w:val="center"/>
            </w:pPr>
            <w:r>
              <w:t xml:space="preserve">100 (24.9%)</w:t>
            </w:r>
          </w:p>
        </w:tc>
      </w:tr>
      <w:tr>
        <w:tc>
          <w:p>
            <w:pPr>
              <w:pStyle w:val="Compact"/>
              <w:jc w:val="center"/>
            </w:pPr>
            <w:r>
              <w:t xml:space="preserve">q2</w:t>
            </w:r>
          </w:p>
        </w:tc>
        <w:tc>
          <w:p>
            <w:pPr>
              <w:pStyle w:val="Compact"/>
              <w:jc w:val="center"/>
            </w:pPr>
            <w:r>
              <w:t xml:space="preserve">682</w:t>
            </w:r>
          </w:p>
        </w:tc>
        <w:tc>
          <w:p>
            <w:pPr>
              <w:pStyle w:val="Compact"/>
              <w:jc w:val="center"/>
            </w:pPr>
            <w:r>
              <w:t xml:space="preserve">151 (22.1%)</w:t>
            </w:r>
          </w:p>
        </w:tc>
        <w:tc>
          <w:p>
            <w:pPr>
              <w:pStyle w:val="Compact"/>
              <w:jc w:val="center"/>
            </w:pPr>
            <w:r>
              <w:t xml:space="preserve">77.4 (39)</w:t>
            </w:r>
          </w:p>
        </w:tc>
        <w:tc>
          <w:p>
            <w:pPr>
              <w:pStyle w:val="Compact"/>
              <w:jc w:val="center"/>
            </w:pPr>
            <w:r>
              <w:t xml:space="preserve">100 (14.7%)</w:t>
            </w:r>
          </w:p>
        </w:tc>
      </w:tr>
      <w:tr>
        <w:tc>
          <w:p>
            <w:pPr>
              <w:pStyle w:val="Compact"/>
              <w:jc w:val="center"/>
            </w:pPr>
            <w:r>
              <w:t xml:space="preserve">q3</w:t>
            </w:r>
          </w:p>
        </w:tc>
        <w:tc>
          <w:p>
            <w:pPr>
              <w:pStyle w:val="Compact"/>
              <w:jc w:val="center"/>
            </w:pPr>
            <w:r>
              <w:t xml:space="preserve">682</w:t>
            </w:r>
          </w:p>
        </w:tc>
        <w:tc>
          <w:p>
            <w:pPr>
              <w:pStyle w:val="Compact"/>
              <w:jc w:val="center"/>
            </w:pPr>
            <w:r>
              <w:t xml:space="preserve">114 (16.5%)</w:t>
            </w:r>
          </w:p>
        </w:tc>
        <w:tc>
          <w:p>
            <w:pPr>
              <w:pStyle w:val="Compact"/>
              <w:jc w:val="center"/>
            </w:pPr>
            <w:r>
              <w:t xml:space="preserve">52.4 (29)</w:t>
            </w:r>
          </w:p>
        </w:tc>
        <w:tc>
          <w:p>
            <w:pPr>
              <w:pStyle w:val="Compact"/>
              <w:jc w:val="center"/>
            </w:pPr>
            <w:r>
              <w:t xml:space="preserve">65 (9.5%)</w:t>
            </w:r>
          </w:p>
        </w:tc>
      </w:tr>
      <w:tr>
        <w:tc>
          <w:p>
            <w:pPr>
              <w:pStyle w:val="Compact"/>
              <w:jc w:val="center"/>
            </w:pPr>
            <w:r>
              <w:t xml:space="preserve">q4</w:t>
            </w:r>
          </w:p>
        </w:tc>
        <w:tc>
          <w:p>
            <w:pPr>
              <w:pStyle w:val="Compact"/>
              <w:jc w:val="center"/>
            </w:pPr>
            <w:r>
              <w:t xml:space="preserve">410</w:t>
            </w:r>
          </w:p>
        </w:tc>
        <w:tc>
          <w:p>
            <w:pPr>
              <w:pStyle w:val="Compact"/>
              <w:jc w:val="center"/>
            </w:pPr>
            <w:r>
              <w:t xml:space="preserve">159 (39.7%)</w:t>
            </w:r>
          </w:p>
        </w:tc>
        <w:tc>
          <w:p>
            <w:pPr>
              <w:pStyle w:val="Compact"/>
              <w:jc w:val="center"/>
            </w:pPr>
            <w:r>
              <w:t xml:space="preserve">32.1 (13)</w:t>
            </w:r>
          </w:p>
        </w:tc>
        <w:tc>
          <w:p>
            <w:pPr>
              <w:pStyle w:val="Compact"/>
              <w:jc w:val="center"/>
            </w:pPr>
            <w:r>
              <w:t xml:space="preserve">25 (6.2%)</w:t>
            </w:r>
          </w:p>
        </w:tc>
      </w:tr>
    </w:tbl>
    <w:p>
      <w:pPr>
        <w:pStyle w:val="Heading2"/>
      </w:pPr>
      <w:bookmarkStart w:id="61" w:name="illustrative-maps-for-different-quadrants-and-different-mechanistic-problems"/>
      <w:bookmarkEnd w:id="61"/>
      <w:r>
        <w:t xml:space="preserve">illustrative maps for different quadrants and different mechanistic problems</w:t>
      </w:r>
    </w:p>
    <w:p>
      <w:r>
        <w:t xml:space="preserve">Oculina varicosa - Ivory tree coral</w:t>
      </w:r>
      <w:r>
        <w:t xml:space="preserve"> </w:t>
      </w:r>
      <w:r>
        <w:drawing>
          <wp:inline>
            <wp:extent cx="5440680" cy="4243730"/>
            <wp:effectExtent b="0" l="0" r="0" t="0"/>
            <wp:docPr descr="" id="1" name="Picture"/>
            <a:graphic>
              <a:graphicData uri="http://schemas.openxmlformats.org/drawingml/2006/picture">
                <pic:pic>
                  <pic:nvPicPr>
                    <pic:cNvPr descr="figures/oculina/oculina_pic.jpg" id="0" name="Picture"/>
                    <pic:cNvPicPr>
                      <a:picLocks noChangeArrowheads="1" noChangeAspect="1"/>
                    </pic:cNvPicPr>
                  </pic:nvPicPr>
                  <pic:blipFill>
                    <a:blip r:embed="rId62"/>
                    <a:stretch>
                      <a:fillRect/>
                    </a:stretch>
                  </pic:blipFill>
                  <pic:spPr bwMode="auto">
                    <a:xfrm>
                      <a:off x="0" y="0"/>
                      <a:ext cx="5440680" cy="4243730"/>
                    </a:xfrm>
                    <a:prstGeom prst="rect">
                      <a:avLst/>
                    </a:prstGeom>
                    <a:noFill/>
                    <a:ln w="9525">
                      <a:noFill/>
                      <a:headEnd/>
                      <a:tailEnd/>
                    </a:ln>
                  </pic:spPr>
                </pic:pic>
              </a:graphicData>
            </a:graphic>
          </wp:inline>
        </w:drawing>
      </w:r>
    </w:p>
    <w:p>
      <w:pPr>
        <w:pStyle w:val="Compact"/>
        <w:numPr>
          <w:numId w:val="1015"/>
          <w:ilvl w:val="0"/>
        </w:numPr>
      </w:pPr>
      <w:r>
        <w:t xml:space="preserve">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r>
        <w:t xml:space="preserve">plotted against a 200 m bathymetry line:</w:t>
      </w:r>
      <w:r>
        <w:t xml:space="preserve"> </w:t>
      </w:r>
      <w:r>
        <w:drawing>
          <wp:inline>
            <wp:extent cx="5440680" cy="4162746"/>
            <wp:effectExtent b="0" l="0" r="0" t="0"/>
            <wp:docPr descr="" id="1" name="Picture"/>
            <a:graphic>
              <a:graphicData uri="http://schemas.openxmlformats.org/drawingml/2006/picture">
                <pic:pic>
                  <pic:nvPicPr>
                    <pic:cNvPr descr="figures/oculina/oculina_map.png" id="0" name="Picture"/>
                    <pic:cNvPicPr>
                      <a:picLocks noChangeArrowheads="1" noChangeAspect="1"/>
                    </pic:cNvPicPr>
                  </pic:nvPicPr>
                  <pic:blipFill>
                    <a:blip r:embed="rId63"/>
                    <a:stretch>
                      <a:fillRect/>
                    </a:stretch>
                  </pic:blipFill>
                  <pic:spPr bwMode="auto">
                    <a:xfrm>
                      <a:off x="0" y="0"/>
                      <a:ext cx="5440680" cy="4162746"/>
                    </a:xfrm>
                    <a:prstGeom prst="rect">
                      <a:avLst/>
                    </a:prstGeom>
                    <a:noFill/>
                    <a:ln w="9525">
                      <a:noFill/>
                      <a:headEnd/>
                      <a:tailEnd/>
                    </a:ln>
                  </pic:spPr>
                </pic:pic>
              </a:graphicData>
            </a:graphic>
          </wp:inline>
        </w:drawing>
      </w:r>
    </w:p>
    <w:p>
      <w:pPr>
        <w:pStyle w:val="Heading2"/>
      </w:pPr>
      <w:bookmarkStart w:id="64" w:name="aquamaps-effect-of-changing-presence-threshold-on-apparent-distribution"/>
      <w:bookmarkEnd w:id="64"/>
      <w:r>
        <w:t xml:space="preserve">AquaMaps: Effect of changing "presence" threshold on apparent distribution</w:t>
      </w:r>
    </w:p>
    <w:p>
      <w:pPr>
        <w:pStyle w:val="Heading3"/>
      </w:pPr>
      <w:bookmarkStart w:id="65" w:name="aquamaps-presence-threshold-analysis---move-to-som"/>
      <w:bookmarkEnd w:id="65"/>
      <w:r>
        <w:t xml:space="preserve">AquaMaps presence threshold analysis - move to SOM</w:t>
      </w:r>
    </w:p>
    <w:p>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pPr>
        <w:pStyle w:val="Heading3"/>
      </w:pPr>
      <w:bookmarkStart w:id="66" w:name="figure-5-a-b"/>
      <w:bookmarkEnd w:id="66"/>
      <w:r>
        <w:t xml:space="preserve">Figure 5 (a, b):</w:t>
      </w:r>
    </w:p>
    <w:p>
      <w:r>
        <w:drawing>
          <wp:inline>
            <wp:extent cx="5440680" cy="3166400"/>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67"/>
                    <a:stretch>
                      <a:fillRect/>
                    </a:stretch>
                  </pic:blipFill>
                  <pic:spPr bwMode="auto">
                    <a:xfrm>
                      <a:off x="0" y="0"/>
                      <a:ext cx="5440680" cy="3166400"/>
                    </a:xfrm>
                    <a:prstGeom prst="rect">
                      <a:avLst/>
                    </a:prstGeom>
                    <a:noFill/>
                    <a:ln w="9525">
                      <a:noFill/>
                      <a:headEnd/>
                      <a:tailEnd/>
                    </a:ln>
                  </pic:spPr>
                </pic:pic>
              </a:graphicData>
            </a:graphic>
          </wp:inline>
        </w:drawing>
      </w:r>
    </w:p>
    <w:p>
      <w:r>
        <w:drawing>
          <wp:inline>
            <wp:extent cx="5440680" cy="3166400"/>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68"/>
                    <a:stretch>
                      <a:fillRect/>
                    </a:stretch>
                  </pic:blipFill>
                  <pic:spPr bwMode="auto">
                    <a:xfrm>
                      <a:off x="0" y="0"/>
                      <a:ext cx="5440680" cy="3166400"/>
                    </a:xfrm>
                    <a:prstGeom prst="rect">
                      <a:avLst/>
                    </a:prstGeom>
                    <a:noFill/>
                    <a:ln w="9525">
                      <a:noFill/>
                      <a:headEnd/>
                      <a:tailEnd/>
                    </a:ln>
                  </pic:spPr>
                </pic:pic>
              </a:graphicData>
            </a:graphic>
          </wp:inline>
        </w:drawing>
      </w:r>
    </w:p>
    <w:p>
      <w:pPr>
        <w:pStyle w:val="BlockQuote"/>
      </w:pPr>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c16b3e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5304d9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7" Target="media/rId67.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2" Target="media/rId62.jpg" /><Relationship Type="http://schemas.openxmlformats.org/officeDocument/2006/relationships/image" Id="rId68" Target="media/rId68.png" /><Relationship Type="http://schemas.openxmlformats.org/officeDocument/2006/relationships/hyperlink" Id="rId48" Target="doi:10.1038/nature11397" TargetMode="External" /><Relationship Type="http://schemas.openxmlformats.org/officeDocument/2006/relationships/hyperlink" Id="rId47" Target="doi:10.1038/nclimate2769" TargetMode="External" /><Relationship Type="http://schemas.openxmlformats.org/officeDocument/2006/relationships/hyperlink" Id="rId49" Target="doi:10.1038/srep17539" TargetMode="External" /><Relationship Type="http://schemas.openxmlformats.org/officeDocument/2006/relationships/hyperlink" Id="rId50" Target="doi:10.1371/journal.pone.0060284" TargetMode="External" /><Relationship Type="http://schemas.openxmlformats.org/officeDocument/2006/relationships/hyperlink" Id="rId52" Target="http://www.iucnredlist.org/technical-documents/red-list-training/iucnspatialresources" TargetMode="External" /><Relationship Type="http://schemas.openxmlformats.org/officeDocument/2006/relationships/hyperlink" Id="rId51" Target="https://www.conservationtraining.org/course/view.php?id=217&amp;lang=en" TargetMode="External" /><Relationship Type="http://schemas.openxmlformats.org/officeDocument/2006/relationships/hyperlink" Id="rId30" Target="https://www.conservationtraining.org/mod/scorm/player.php?a=1412&amp;currentorg=M5L1_ORG&amp;scoid=6492" TargetMode="External" /></Relationships>
</file>

<file path=word/_rels/footnotes.xml.rels><?xml version="1.0" encoding="UTF-8"?>
<Relationships xmlns="http://schemas.openxmlformats.org/package/2006/relationships"><Relationship Type="http://schemas.openxmlformats.org/officeDocument/2006/relationships/hyperlink" Id="rId48" Target="doi:10.1038/nature11397" TargetMode="External" /><Relationship Type="http://schemas.openxmlformats.org/officeDocument/2006/relationships/hyperlink" Id="rId47" Target="doi:10.1038/nclimate2769" TargetMode="External" /><Relationship Type="http://schemas.openxmlformats.org/officeDocument/2006/relationships/hyperlink" Id="rId49" Target="doi:10.1038/srep17539" TargetMode="External" /><Relationship Type="http://schemas.openxmlformats.org/officeDocument/2006/relationships/hyperlink" Id="rId50" Target="doi:10.1371/journal.pone.0060284" TargetMode="External" /><Relationship Type="http://schemas.openxmlformats.org/officeDocument/2006/relationships/hyperlink" Id="rId52" Target="http://www.iucnredlist.org/technical-documents/red-list-training/iucnspatialresources" TargetMode="External" /><Relationship Type="http://schemas.openxmlformats.org/officeDocument/2006/relationships/hyperlink" Id="rId51" Target="https://www.conservationtraining.org/course/view.php?id=217&amp;lang=en" TargetMode="External" /><Relationship Type="http://schemas.openxmlformats.org/officeDocument/2006/relationships/hyperlink" Id="rId30" Target="https://www.conservationtraining.org/mod/scorm/player.php?a=1412&amp;currentorg=M5L1_ORG&amp;scoid=64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 Jamie Afflerbach, Benjamin S. Halpern</dc:creator>
</cp:coreProperties>
</file>