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CE57C9">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CE57C9">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CE57C9">
      <w:pPr>
        <w:pStyle w:val="Compact"/>
        <w:numPr>
          <w:ilvl w:val="0"/>
          <w:numId w:val="3"/>
        </w:numPr>
      </w:pPr>
      <w:r w:rsidRPr="004D1E3D">
        <w:t>Department of Life Sciences, Imperial College London, Silwood Park Campus, Buckhurst Rd, Ascot, West Berkshire SL5 7PY, United Kingdom</w:t>
      </w:r>
    </w:p>
    <w:p w14:paraId="28D9C1E1" w14:textId="77777777" w:rsidR="004C1D92" w:rsidRPr="004D1E3D" w:rsidRDefault="004D1E3D" w:rsidP="00CE57C9">
      <w:pPr>
        <w:pStyle w:val="FirstParagraph"/>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CE57C9">
      <w:pPr>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439A2D5F" w:rsidR="004C1D92" w:rsidRPr="00CE57C9" w:rsidRDefault="004D1E3D" w:rsidP="00CE57C9">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w:t>
      </w:r>
      <w:r w:rsidR="00C24445">
        <w:t>645</w:t>
      </w:r>
      <w:r w:rsidRPr="00CE57C9">
        <w:t xml:space="preserve"> species (92.9% within </w:t>
      </w:r>
      <w:proofErr w:type="spellStart"/>
      <w:r w:rsidRPr="00CE57C9">
        <w:t>AquaMaps</w:t>
      </w:r>
      <w:proofErr w:type="spellEnd"/>
      <w:r w:rsidRPr="00CE57C9">
        <w:t>, 16.3% within IUCN), with only 2</w:t>
      </w:r>
      <w:proofErr w:type="gramStart"/>
      <w:r w:rsidRPr="00CE57C9">
        <w:t>,27</w:t>
      </w:r>
      <w:r w:rsidR="00C24445">
        <w:t>1</w:t>
      </w:r>
      <w:r w:rsidRPr="00CE57C9">
        <w:t xml:space="preserve">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w:t>
      </w:r>
      <w:commentRangeStart w:id="1"/>
      <w:del w:id="2" w:author="Casey O'Hara" w:date="2016-12-20T13:14:00Z">
        <w:r w:rsidRPr="00CE57C9" w:rsidDel="008A27B9">
          <w:delText xml:space="preserve">demonstrate </w:delText>
        </w:r>
      </w:del>
      <w:ins w:id="3" w:author="Casey O'Hara" w:date="2016-12-20T13:14:00Z">
        <w:r w:rsidR="008A27B9">
          <w:t>show</w:t>
        </w:r>
        <w:r w:rsidR="008A27B9" w:rsidRPr="00CE57C9">
          <w:t xml:space="preserve"> </w:t>
        </w:r>
      </w:ins>
      <w:r w:rsidRPr="00CE57C9">
        <w:t xml:space="preserve">that </w:t>
      </w:r>
      <w:proofErr w:type="spellStart"/>
      <w:r w:rsidRPr="00CE57C9">
        <w:t>AquaMaps</w:t>
      </w:r>
      <w:proofErr w:type="spellEnd"/>
      <w:r w:rsidRPr="00CE57C9">
        <w:t xml:space="preserve"> </w:t>
      </w:r>
      <w:del w:id="4" w:author="Casey O'Hara" w:date="2016-12-20T13:15:00Z">
        <w:r w:rsidRPr="00CE57C9" w:rsidDel="008A27B9">
          <w:delText xml:space="preserve">methodology </w:delText>
        </w:r>
      </w:del>
      <w:commentRangeEnd w:id="1"/>
      <w:ins w:id="5" w:author="Casey O'Hara" w:date="2016-12-20T13:15:00Z">
        <w:r w:rsidR="008A27B9">
          <w:t>computer-generated maps</w:t>
        </w:r>
        <w:r w:rsidR="008A27B9" w:rsidRPr="00CE57C9">
          <w:t xml:space="preserve"> </w:t>
        </w:r>
      </w:ins>
      <w:r w:rsidR="006E084E">
        <w:rPr>
          <w:rStyle w:val="CommentReference"/>
        </w:rPr>
        <w:commentReference w:id="1"/>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6" w:name="introduction"/>
      <w:bookmarkEnd w:id="6"/>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CE57C9">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CE57C9">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commentRangeStart w:id="7"/>
      <w:r w:rsidRPr="004D1E3D">
        <w:t xml:space="preserve">AquaMaps, which rely primarily on model predictions to communicate the distribution of a species based on habitat suitability </w:t>
      </w:r>
      <w:commentRangeEnd w:id="7"/>
      <w:r w:rsidR="006E084E">
        <w:rPr>
          <w:rStyle w:val="CommentReference"/>
        </w:rPr>
        <w:commentReference w:id="7"/>
      </w:r>
      <w:r w:rsidRPr="004D1E3D">
        <w:t>[1], and range data from the International Union for Conservation of Nature (IUCN), which rely primarily on expert opinion to communicate range size as a criterion for extinction risk assessments [2].</w:t>
      </w:r>
    </w:p>
    <w:p w14:paraId="548DD73C" w14:textId="77777777" w:rsidR="004C1D92" w:rsidRPr="004D1E3D" w:rsidRDefault="004D1E3D" w:rsidP="00CE57C9">
      <w:pPr>
        <w:pStyle w:val="BodyText"/>
      </w:pPr>
      <w:r w:rsidRPr="004D1E3D">
        <w:lastRenderedPageBreak/>
        <w:t xml:space="preserve">While the two datasets ostensibly describe the same information, i.e., where can a particular species be found, </w:t>
      </w:r>
      <w:commentRangeStart w:id="8"/>
      <w:r w:rsidRPr="004D1E3D">
        <w:t>they communicate fundamentally distinct concepts</w:t>
      </w:r>
      <w:commentRangeEnd w:id="8"/>
      <w:r w:rsidR="002C369E">
        <w:rPr>
          <w:rStyle w:val="CommentReference"/>
        </w:rPr>
        <w:commentReference w:id="8"/>
      </w:r>
      <w:r w:rsidRPr="004D1E3D">
        <w:t>. The IUCN range map for a given species describes the "extent of occurrence" for that species, a contiguous region that encloses all known occurrences and connecting regions, with the explicit caveat that this "does not mean that [the species] is distributed equally within that polygon or occurs everywhere within that polygon" [2]. The AquaMaps map for a species, on the other hand, excludes unsuitable habitats and thus seems to better be defined as "area of occupancy": the subset of the extent of occurrence in which the species is actually likely to be found [1].</w:t>
      </w:r>
    </w:p>
    <w:p w14:paraId="6087006C" w14:textId="5F04BA7E" w:rsidR="004C1D92" w:rsidRPr="004D1E3D" w:rsidRDefault="004D1E3D" w:rsidP="00CE57C9">
      <w:pPr>
        <w:pStyle w:val="BodyText"/>
      </w:pPr>
      <w:r w:rsidRPr="004D1E3D">
        <w:t xml:space="preserve">The fundamental differences between the datasets suggest that the choice of one over the other should be carefully matched to the purpose for which it is to be used [3], and yet these datasets have been used in </w:t>
      </w:r>
      <w:commentRangeStart w:id="9"/>
      <w:del w:id="10" w:author="Casey O'Hara" w:date="2016-12-20T13:19:00Z">
        <w:r w:rsidRPr="004D1E3D" w:rsidDel="005C5E7F">
          <w:delText>hundreds of</w:delText>
        </w:r>
      </w:del>
      <w:ins w:id="11" w:author="Casey O'Hara" w:date="2016-12-20T13:19:00Z">
        <w:r w:rsidR="005C5E7F">
          <w:t>many</w:t>
        </w:r>
      </w:ins>
      <w:r w:rsidRPr="004D1E3D">
        <w:t xml:space="preserve"> studies and applications </w:t>
      </w:r>
      <w:commentRangeEnd w:id="9"/>
      <w:r w:rsidR="006E084E">
        <w:rPr>
          <w:rStyle w:val="CommentReference"/>
        </w:rPr>
        <w:commentReference w:id="9"/>
      </w:r>
      <w:r w:rsidRPr="004D1E3D">
        <w:t>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CE57C9">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use overlapping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these datasets are </w:t>
      </w:r>
      <w:r w:rsidRPr="004D1E3D">
        <w:lastRenderedPageBreak/>
        <w:t>so widely used, it is crucial to understand and acknowledge, and where possible address, data limitations.</w:t>
      </w:r>
    </w:p>
    <w:p w14:paraId="3A2481BD" w14:textId="77777777" w:rsidR="004C1D92" w:rsidRPr="004D1E3D" w:rsidRDefault="004D1E3D" w:rsidP="00CE57C9">
      <w:pPr>
        <w:pStyle w:val="Heading1"/>
      </w:pPr>
      <w:bookmarkStart w:id="12" w:name="methods-and-analysis"/>
      <w:bookmarkEnd w:id="12"/>
      <w:r w:rsidRPr="004D1E3D">
        <w:t>Methods and Analysis</w:t>
      </w:r>
    </w:p>
    <w:p w14:paraId="2591F618" w14:textId="77777777" w:rsidR="004C1D92" w:rsidRPr="004D1E3D" w:rsidRDefault="004D1E3D" w:rsidP="00CE57C9">
      <w:pPr>
        <w:pStyle w:val="Heading2"/>
      </w:pPr>
      <w:bookmarkStart w:id="13" w:name="about-the-datasets"/>
      <w:bookmarkEnd w:id="13"/>
      <w:r w:rsidRPr="004D1E3D">
        <w:t>About the datasets</w:t>
      </w:r>
    </w:p>
    <w:p w14:paraId="6B9AC6AA" w14:textId="77777777" w:rsidR="004C1D92" w:rsidRPr="004D1E3D" w:rsidRDefault="004D1E3D" w:rsidP="00CE57C9">
      <w:pPr>
        <w:pStyle w:val="FirstParagraph"/>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 "the smallest polygon in which no internal angle exceeds 180 degrees and which contains all the sites of occurrence" [2].</w:t>
      </w:r>
    </w:p>
    <w:p w14:paraId="2BC460B2" w14:textId="77777777" w:rsidR="004C1D92" w:rsidRPr="004D1E3D" w:rsidRDefault="004D1E3D" w:rsidP="00CE57C9">
      <w:pPr>
        <w:pStyle w:val="BodyText"/>
      </w:pPr>
      <w:r w:rsidRPr="004D1E3D">
        <w:t>In contrast, AquaMaps has modeled species distribution for 22,889 species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 [13] boundaries. Of the resulting maps, 1,296 (5.7% of the full dataset) have been further refined through an expert review process [14,15].</w:t>
      </w:r>
    </w:p>
    <w:p w14:paraId="27BE46BC" w14:textId="0E451D81" w:rsidR="004C1D92" w:rsidRPr="004D1E3D" w:rsidRDefault="004D1E3D" w:rsidP="00CE57C9">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CE57C9">
      <w:pPr>
        <w:pStyle w:val="BodyText"/>
      </w:pPr>
      <w:r w:rsidRPr="004D1E3D">
        <w:rPr>
          <w:b/>
        </w:rPr>
        <w:t>Comparison of taxonomic and regional distribution</w:t>
      </w:r>
      <w:r w:rsidRPr="004D1E3D">
        <w:t>: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(Fig S2). We determined species presence within a grid cell as any non-zero overlap of a species polygon with the cell (Fig S1C). For the AquaMaps dataset, we determined per-cell species count by including all species with non-zero probability of occurrence to best approximate the "extent of occurrence" generally indicated by IUCN maps (Fig S1D).</w:t>
      </w:r>
    </w:p>
    <w:p w14:paraId="769FE384" w14:textId="77777777" w:rsidR="004C1D92" w:rsidRPr="004D1E3D" w:rsidRDefault="004D1E3D" w:rsidP="00CE57C9">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Based upon the definitions of </w:t>
      </w:r>
      <w:commentRangeStart w:id="14"/>
      <w:r w:rsidRPr="004D1E3D">
        <w:t xml:space="preserve">extent of occurrence and area of occupancy, we expect that for a given species, the AquaMaps predicted distribution </w:t>
      </w:r>
      <w:proofErr w:type="gramStart"/>
      <w:r w:rsidRPr="004D1E3D">
        <w:t>will</w:t>
      </w:r>
      <w:proofErr w:type="gramEnd"/>
      <w:r w:rsidRPr="004D1E3D">
        <w:t xml:space="preserve"> fall within, and describe a smaller range than, the IUCN predicted distribution</w:t>
      </w:r>
      <w:commentRangeEnd w:id="14"/>
      <w:r w:rsidR="006E084E">
        <w:rPr>
          <w:rStyle w:val="CommentReference"/>
        </w:rPr>
        <w:commentReference w:id="14"/>
      </w:r>
      <w:r w:rsidRPr="004D1E3D">
        <w:t>. Where these expectations seem to fail, we explore methodological issues that can introduce errors.</w:t>
      </w:r>
    </w:p>
    <w:p w14:paraId="6EE82E25" w14:textId="77777777" w:rsidR="004C1D92" w:rsidRPr="004D1E3D" w:rsidRDefault="004D1E3D" w:rsidP="00CE57C9">
      <w:pPr>
        <w:pStyle w:val="BodyText"/>
      </w:pPr>
      <w:r w:rsidRPr="004D1E3D">
        <w:t xml:space="preserve">We identified "paired map" species using genus and species binomials as a matching key. We used the taxize package [17] in R [18] to standardize species names and synonyms; for species with separate subpopulation maps in IUCN, we combined all subpopulations to create a single </w:t>
      </w:r>
      <w:r w:rsidRPr="004D1E3D">
        <w:lastRenderedPageBreak/>
        <w:t>global population. For each of these paired map species, we determined species presence within each spatial cell for each dataset using the same criteria outlined above.</w:t>
      </w:r>
    </w:p>
    <w:p w14:paraId="5C3F308F" w14:textId="77777777" w:rsidR="004C1D92" w:rsidRPr="004D1E3D" w:rsidRDefault="004D1E3D" w:rsidP="00CE57C9">
      <w:pPr>
        <w:pStyle w:val="BodyText"/>
      </w:pPr>
      <w:r w:rsidRPr="004D1E3D">
        <w:t xml:space="preserve">Overlaying paired distribution maps for each species,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C234B7"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C234B7"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CE57C9">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represents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CE57C9">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w:t>
      </w:r>
      <w:r w:rsidRPr="004D1E3D">
        <w:lastRenderedPageBreak/>
        <w:t>the same methodology as shown in Fig S2, we created a 200 m bathymetry raster from a bathymetry spatial dataset (public domain; available from Natural Earth, www.naturalearthdata.com) and masked our IUCN coral rasters to identify mapped coral presence below 200 m. The resulting maps were again compared to the AquaMaps ranges to examine distribution alignment and area ratio.</w:t>
      </w:r>
    </w:p>
    <w:p w14:paraId="2363DB1D" w14:textId="77777777" w:rsidR="004C1D92" w:rsidRPr="004D1E3D" w:rsidRDefault="004D1E3D" w:rsidP="00CE57C9">
      <w:pPr>
        <w:pStyle w:val="BodyText"/>
      </w:pPr>
      <w:r w:rsidRPr="004D1E3D">
        <w:t>For AquaMaps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AquaMaps range maps for all Pacific and Indian Ocean species to a band between between 25° S and 20° N latitudes, then identified all species whose eastern range limit within this band coincided with 175° W longitude, the vertical boundary between two prominent FAO regions.</w:t>
      </w:r>
    </w:p>
    <w:p w14:paraId="48D9AB7F" w14:textId="77777777" w:rsidR="004C1D92" w:rsidRPr="004D1E3D" w:rsidRDefault="004D1E3D" w:rsidP="00CE57C9">
      <w:pPr>
        <w:pStyle w:val="Heading2"/>
      </w:pPr>
      <w:bookmarkStart w:id="15" w:name="methods-for-mpa-gap-analysis-case-study"/>
      <w:bookmarkEnd w:id="15"/>
      <w:r w:rsidRPr="004D1E3D">
        <w:t>Methods for MPA Gap Analysis case study</w:t>
      </w:r>
    </w:p>
    <w:p w14:paraId="6194F74F" w14:textId="77777777" w:rsidR="004C1D92" w:rsidRPr="004D1E3D" w:rsidRDefault="004D1E3D" w:rsidP="00CE57C9">
      <w:pPr>
        <w:pStyle w:val="FirstParagraph"/>
      </w:pPr>
      <w:r w:rsidRPr="004D1E3D">
        <w:t>To assess the effectiveness of MPAs in protecting biodiversity, Klein et al. [12] compared the coverage of the global MPA network presented by the World Database on Protected Areas (WDPA) [19] to the species ranges described in the 2014 AquaMaps dataset [1]. For the primary analysis, the researchers defined species presence as 50% or greater probability of occurrence.</w:t>
      </w:r>
    </w:p>
    <w:p w14:paraId="2AE0792D" w14:textId="77777777" w:rsidR="004C1D92" w:rsidRPr="004D1E3D" w:rsidRDefault="004D1E3D" w:rsidP="00CE57C9">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w:t>
      </w:r>
      <w:r w:rsidRPr="004D1E3D">
        <w:lastRenderedPageBreak/>
        <w:t>and then aggregated to AquaMaps native 0.5° cells, to calculate proportion of marine protected area within each cell. After verifying our method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CE57C9">
      <w:pPr>
        <w:pStyle w:val="BodyText"/>
      </w:pPr>
      <w:r w:rsidRPr="004D1E3D">
        <w:t xml:space="preserve">All processing was completed using R statistical software [18], and all code and intermediate data are available on GitHub at </w:t>
      </w:r>
      <w:hyperlink r:id="rId11">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16" w:name="results-and-discussion"/>
      <w:bookmarkEnd w:id="16"/>
      <w:r w:rsidRPr="004D1E3D">
        <w:t>Results and Discussion</w:t>
      </w:r>
    </w:p>
    <w:p w14:paraId="73922A33" w14:textId="77777777" w:rsidR="004C1D92" w:rsidRPr="004D1E3D" w:rsidRDefault="004D1E3D" w:rsidP="00CE57C9">
      <w:pPr>
        <w:pStyle w:val="FirstParagraph"/>
      </w:pPr>
      <w:r w:rsidRPr="004D1E3D">
        <w:t>In comparing the IUCN and AquaMaps datasets, it is again important to emphasize that the two differ in both methodology and intent. As area of occupancy is generally defined as a subset of a species' extent of occurrence, AquaMaps ranges (effectively area of occupancy) should generally fall within the bounds of IUCN ranges (effectively extent of occurrence), capturing a smaller total area. However, AquaMaps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17" w:name="taxonomic-and-geographic-coverage"/>
      <w:bookmarkEnd w:id="17"/>
      <w:r w:rsidRPr="004D1E3D">
        <w:t>Taxonomic and geographic coverage</w:t>
      </w:r>
    </w:p>
    <w:p w14:paraId="7A517AFD" w14:textId="4DE07A3C" w:rsidR="004C1D92" w:rsidRPr="004D1E3D" w:rsidRDefault="004D1E3D" w:rsidP="00CE57C9">
      <w:pPr>
        <w:pStyle w:val="FirstParagraph"/>
      </w:pPr>
      <w:r w:rsidRPr="004D1E3D">
        <w:t>The two datasets have notably different taxonomic (Fig 1A) and regional (Figs 1B, 1C) coverage. AquaMaps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w:t>
      </w:r>
      <w:r w:rsidRPr="004D1E3D">
        <w:lastRenderedPageBreak/>
        <w:t>many taxa completely unrepresented in one dataset or the other. While species numbers in both datasets peak in tropical latitudes near the equator, species counts for IUCN maps drop quickly beyond 30°N and 30°S, while AquaMaps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CE57C9">
      <w:pPr>
        <w:pStyle w:val="BlockText"/>
      </w:pPr>
      <w:r w:rsidRPr="004D1E3D">
        <w:rPr>
          <w:b/>
        </w:rPr>
        <w:t>Fig 1. Taxonomic and geographic coverage of AquaMaps and IUCN range data.</w:t>
      </w:r>
      <w:r w:rsidRPr="004D1E3D">
        <w:t xml:space="preserve"> (A) Number and proportion of species by taxa included in each dataset. </w:t>
      </w:r>
      <w:proofErr w:type="gramStart"/>
      <w:r w:rsidRPr="004D1E3D">
        <w:t>Overlapping species are dominated by bony fishes (</w:t>
      </w:r>
      <w:r w:rsidR="00D66E0D">
        <w:t>970</w:t>
      </w:r>
      <w:r w:rsidRPr="004D1E3D">
        <w:t xml:space="preserve"> species, primarily tropical taxa) and corals</w:t>
      </w:r>
      <w:proofErr w:type="gramEnd"/>
      <w:r w:rsidRPr="004D1E3D">
        <w:t xml:space="preserve"> (</w:t>
      </w:r>
      <w:r w:rsidR="00D66E0D">
        <w:t>388</w:t>
      </w:r>
      <w:r w:rsidRPr="004D1E3D">
        <w:t xml:space="preserve"> species). (B, C) Global marine species count per 0.5° cell according to (B) AquaMaps and (C) IUCN. The margin frequency plots show relative species count per cell at each latitude and longitude.</w:t>
      </w:r>
    </w:p>
    <w:p w14:paraId="3E7742FA" w14:textId="77777777" w:rsidR="004C1D92" w:rsidRPr="004D1E3D" w:rsidRDefault="004D1E3D" w:rsidP="00CE57C9">
      <w:pPr>
        <w:pStyle w:val="Heading2"/>
      </w:pPr>
      <w:bookmarkStart w:id="18" w:name="distribution-and-range-size-alignment"/>
      <w:bookmarkEnd w:id="18"/>
      <w:r w:rsidRPr="004D1E3D">
        <w:t>Distribution and range size alignment</w:t>
      </w:r>
    </w:p>
    <w:p w14:paraId="0051341C" w14:textId="3E1DA18C" w:rsidR="004C1D92" w:rsidRPr="004D1E3D" w:rsidRDefault="004D1E3D" w:rsidP="00CE57C9">
      <w:pPr>
        <w:pStyle w:val="FirstParagraph"/>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AquaMaps model tends to extrapolate species ranges into suitable areas beyond known occurrences more frequently than IUCN maps,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w:t>
      </w:r>
      <w:r w:rsidRPr="004D1E3D">
        <w:lastRenderedPageBreak/>
        <w:t>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CE57C9">
      <w:pPr>
        <w:pStyle w:val="BodyText"/>
      </w:pPr>
      <w:r w:rsidRPr="004D1E3D">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573C7206" w:rsidR="004C1D92" w:rsidRPr="004D1E3D" w:rsidRDefault="004D1E3D" w:rsidP="00CE57C9">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w:t>
      </w:r>
      <w:r w:rsidR="00D66E0D">
        <w:t>510; 22.5</w:t>
      </w:r>
      <w:r w:rsidRPr="004D1E3D">
        <w:t xml:space="preserve"> %). The upper left quadrant comprises species whose maps agree well in distribution, but disagree in area (n = </w:t>
      </w:r>
      <w:r w:rsidR="00D66E0D">
        <w:t>699; 30.8</w:t>
      </w:r>
      <w:r w:rsidRPr="004D1E3D">
        <w:t xml:space="preserve"> %). The lower right quadrant includes species for which the paired maps generally agree in range area, but disagree on where those ranges occur (n = </w:t>
      </w:r>
      <w:r w:rsidR="00D66E0D">
        <w:t>631</w:t>
      </w:r>
      <w:r w:rsidRPr="004D1E3D">
        <w:t>; 27.</w:t>
      </w:r>
      <w:r w:rsidR="00D66E0D">
        <w:t>8</w:t>
      </w:r>
      <w:r w:rsidRPr="004D1E3D">
        <w:t xml:space="preserve"> %).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xml:space="preserve"> %). (B) Alignment quadrant breakdown of species by taxonomic group.</w:t>
      </w:r>
    </w:p>
    <w:p w14:paraId="6EA87A40" w14:textId="22064F54" w:rsidR="004C1D92" w:rsidRPr="004D1E3D" w:rsidRDefault="004D1E3D" w:rsidP="00CE57C9">
      <w:pPr>
        <w:pStyle w:val="FirstParagraph"/>
      </w:pPr>
      <w:r w:rsidRPr="004D1E3D">
        <w:t xml:space="preserve">The upper right quadrant includes the species (n = </w:t>
      </w:r>
      <w:r w:rsidR="00D66E0D">
        <w:t>510</w:t>
      </w:r>
      <w:r w:rsidRPr="004D1E3D">
        <w:t>)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extent of occurrence and area of occupancy both span nearly the entire map.</w:t>
      </w:r>
    </w:p>
    <w:p w14:paraId="5066EED9" w14:textId="3F4235A7" w:rsidR="004C1D92" w:rsidRPr="004D1E3D" w:rsidRDefault="004D1E3D" w:rsidP="00CE57C9">
      <w:pPr>
        <w:pStyle w:val="BodyText"/>
      </w:pPr>
      <w:r w:rsidRPr="004D1E3D">
        <w:lastRenderedPageBreak/>
        <w:t xml:space="preserve">The area-mismatched ranges contained in the upper left quadrant (n = </w:t>
      </w:r>
      <w:r w:rsidR="00D66E0D">
        <w:t>699</w:t>
      </w:r>
      <w:r w:rsidRPr="004D1E3D">
        <w:t>) include many species whose spatial distribution is similar, but where one range is notably larger than the other. For 88</w:t>
      </w:r>
      <w:r w:rsidR="00D66E0D">
        <w:t>.3</w:t>
      </w:r>
      <w:r w:rsidRPr="004D1E3D">
        <w:t>% of the species in this quadrant, the IUCN range is larger than the AquaMaps range, as expected when comparing an extent of occurrence to an area of occupancy map. However, the low area ratio suggests a high rate of commission and/or omission errors by one or both datasets. Below we explore one underlying source of commission errors.</w:t>
      </w:r>
    </w:p>
    <w:p w14:paraId="17E5CF94" w14:textId="3DFB18FA" w:rsidR="004C1D92" w:rsidRPr="004D1E3D" w:rsidRDefault="004D1E3D" w:rsidP="00CE57C9">
      <w:pPr>
        <w:pStyle w:val="BodyText"/>
      </w:pPr>
      <w:r w:rsidRPr="004D1E3D">
        <w:t xml:space="preserve">Species found in the lower right quadrant (n = </w:t>
      </w:r>
      <w:r w:rsidR="00D66E0D">
        <w:t>631</w:t>
      </w:r>
      <w:r w:rsidRPr="004D1E3D">
        <w:t>) represent cases of "two wrongs make a right." For these species, IUCN and AquaMaps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 defying our expectations based on definitions of area of occupancy and extent of occurrence.</w:t>
      </w:r>
    </w:p>
    <w:p w14:paraId="665924F3" w14:textId="0E701ED7" w:rsidR="004C1D92" w:rsidRPr="004D1E3D" w:rsidRDefault="004D1E3D" w:rsidP="00CE57C9">
      <w:pPr>
        <w:pStyle w:val="BodyText"/>
      </w:pPr>
      <w:r w:rsidRPr="004D1E3D">
        <w:t xml:space="preserve">The lower left quadrant includes species (n = </w:t>
      </w:r>
      <w:r w:rsidR="00D66E0D">
        <w:t>431</w:t>
      </w:r>
      <w:r w:rsidRPr="004D1E3D">
        <w:t xml:space="preserve">) where alignment is poor in both dimensions. In this quadrant, the IUCN range is larger for only 24.6% of species; this again defies our expectations for extent of occurrence and area of occupancy range predictions. Data-poor species are more common in this quadrant; indeed, the median number of species occurrence records (averaging occurrences from the Ocean Biogeographic Information System (OBIS) [20] and the Global Biodiversity Information Facility (GBIF) [21]) for this quadrant is </w:t>
      </w:r>
      <w:r w:rsidR="00D66E0D">
        <w:t>23</w:t>
      </w:r>
      <w:r w:rsidRPr="004D1E3D">
        <w:t xml:space="preserve"> records, compared to a median of </w:t>
      </w:r>
      <w:r w:rsidR="00D66E0D">
        <w:t>96</w:t>
      </w:r>
      <w:r w:rsidRPr="004D1E3D">
        <w:t xml:space="preserve"> records for species across the other three quadrants. The AquaMaps dataset offers its own quality metric based on the number of unique 0.5° cells containing valid occurrences; for this quadrant, the median "occurcells" is 11 compared to a median of 40 across the other three quadrants. Care should be taken when using distribution and range maps based </w:t>
      </w:r>
      <w:r w:rsidRPr="004D1E3D">
        <w:lastRenderedPageBreak/>
        <w:t>upon fewer observations, as they clearly bear greater uncertainty; AquaMaps explicitly warns against using any of its maps generated with an "occurcells" count fewer than 10 [1].</w:t>
      </w:r>
    </w:p>
    <w:p w14:paraId="04EB635C" w14:textId="77777777" w:rsidR="004C1D92" w:rsidRPr="004D1E3D" w:rsidRDefault="004D1E3D" w:rsidP="00CE57C9">
      <w:pPr>
        <w:pStyle w:val="Heading2"/>
      </w:pPr>
      <w:bookmarkStart w:id="19" w:name="coral-depth-exploration"/>
      <w:bookmarkEnd w:id="19"/>
      <w:r w:rsidRPr="004D1E3D">
        <w:t>Coral depth exploration</w:t>
      </w:r>
    </w:p>
    <w:p w14:paraId="554F752C" w14:textId="46EA0B30" w:rsidR="004C1D92" w:rsidRPr="004D1E3D" w:rsidRDefault="004D1E3D" w:rsidP="00CE57C9">
      <w:pPr>
        <w:pStyle w:val="FirstParagraph"/>
      </w:pPr>
      <w:r w:rsidRPr="004D1E3D">
        <w:t xml:space="preserve">Because corals dominate the upper-left "distribution-aligned" quadrant of Fig 2A (n = </w:t>
      </w:r>
      <w:r w:rsidR="00D66E0D">
        <w:t>231; 33</w:t>
      </w:r>
      <w:r w:rsidRPr="004D1E3D">
        <w:t>% of all species in this quadrant), we explored implications of explicitly restricting IUCN ranges to depths based on species' life histories. This adjustment was not necessary for AquaMaps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ins w:id="20" w:author="Casey O'Hara" w:date="2016-12-21T08:53:00Z">
        <w:r w:rsidR="00DD395D">
          <w:t xml:space="preserve">  Additionally, </w:t>
        </w:r>
      </w:ins>
      <w:ins w:id="21" w:author="Casey O'Hara" w:date="2016-12-21T08:54:00Z">
        <w:r w:rsidR="00DD395D">
          <w:t xml:space="preserve">IUCN Red List mapping standards </w:t>
        </w:r>
      </w:ins>
      <w:ins w:id="22" w:author="Casey O'Hara" w:date="2016-12-21T08:57:00Z">
        <w:r w:rsidR="00DD395D">
          <w:t xml:space="preserve">formerly </w:t>
        </w:r>
      </w:ins>
      <w:ins w:id="23" w:author="Casey O'Hara" w:date="2016-12-21T08:54:00Z">
        <w:r w:rsidR="00DD395D">
          <w:t xml:space="preserve">required, and still </w:t>
        </w:r>
        <w:proofErr w:type="gramStart"/>
        <w:r w:rsidR="00DD395D">
          <w:t>allow</w:t>
        </w:r>
        <w:proofErr w:type="gramEnd"/>
        <w:r w:rsidR="00DD395D">
          <w:t>, a 50 km buffer around the coastline for coastal species</w:t>
        </w:r>
      </w:ins>
      <w:ins w:id="24" w:author="Casey O'Hara" w:date="2016-12-21T09:10:00Z">
        <w:r w:rsidR="00EB7542">
          <w:t xml:space="preserve"> [REF TRAINING MATERIALS]</w:t>
        </w:r>
      </w:ins>
      <w:ins w:id="25" w:author="Casey O'Hara" w:date="2016-12-21T08:54:00Z">
        <w:r w:rsidR="00DD395D">
          <w:t xml:space="preserve">; such a buffer directly conflicts with </w:t>
        </w:r>
      </w:ins>
      <w:ins w:id="26" w:author="Casey O'Hara" w:date="2016-12-21T08:59:00Z">
        <w:r w:rsidR="00DD395D">
          <w:t xml:space="preserve">habitat limitations </w:t>
        </w:r>
      </w:ins>
      <w:ins w:id="27" w:author="Casey O'Hara" w:date="2016-12-21T09:13:00Z">
        <w:r w:rsidR="00EB7542">
          <w:t>(</w:t>
        </w:r>
      </w:ins>
      <w:ins w:id="28" w:author="Casey O'Hara" w:date="2016-12-21T08:59:00Z">
        <w:r w:rsidR="00DD395D">
          <w:t>such as depth</w:t>
        </w:r>
      </w:ins>
      <w:ins w:id="29" w:author="Casey O'Hara" w:date="2016-12-21T09:13:00Z">
        <w:r w:rsidR="00EB7542">
          <w:t>)</w:t>
        </w:r>
      </w:ins>
      <w:ins w:id="30" w:author="Casey O'Hara" w:date="2016-12-21T09:09:00Z">
        <w:r w:rsidR="00EB7542">
          <w:t xml:space="preserve"> and distorts our understanding of species distribution.</w:t>
        </w:r>
      </w:ins>
    </w:p>
    <w:p w14:paraId="644EEE07" w14:textId="77777777" w:rsidR="004C1D92" w:rsidRPr="004D1E3D" w:rsidRDefault="004D1E3D" w:rsidP="00CE57C9">
      <w:pPr>
        <w:pStyle w:val="BodyText"/>
      </w:pPr>
      <w:commentRangeStart w:id="31"/>
      <w:r w:rsidRPr="004D1E3D">
        <w:t xml:space="preserve">Fig 3A shows aggregated ranges </w:t>
      </w:r>
      <w:commentRangeEnd w:id="31"/>
      <w:r w:rsidR="006E084E">
        <w:rPr>
          <w:rStyle w:val="CommentReference"/>
        </w:rPr>
        <w:commentReference w:id="31"/>
      </w:r>
      <w:r w:rsidRPr="004D1E3D">
        <w:t>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CE57C9">
      <w:pPr>
        <w:pStyle w:val="BlockText"/>
      </w:pPr>
      <w:r w:rsidRPr="004D1E3D">
        <w:rPr>
          <w:b/>
        </w:rPr>
        <w:lastRenderedPageBreak/>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of paired map coral species using original data from IUCN and AquaMaps (as in Fig 2B) and the same species with IUCN ranges clipped to 200 m depth.</w:t>
      </w:r>
    </w:p>
    <w:p w14:paraId="19E9828B" w14:textId="77777777" w:rsidR="004C1D92" w:rsidRPr="004D1E3D" w:rsidRDefault="004D1E3D" w:rsidP="00CE57C9">
      <w:pPr>
        <w:pStyle w:val="FirstParagraph"/>
      </w:pPr>
      <w:r w:rsidRPr="004D1E3D">
        <w:t>In constraining coral ranges to appropriate depths, we see a strong increase in the apparent alignment of species maps between IUCN and AquaMaps (Fig 3B). Membership in the "well-aligned" quadrant jumped from 22.4% to 76.2%, with a corresponding decrease in all other quadrants. By excluding the unsuitable areas from IUCN's extent of occurrence, we eliminate preventable commission errors and more closely approximate the area of occupancy described by AquaMaps. See Fig S4 to examine the shifts of individual species among the quadrants.</w:t>
      </w:r>
    </w:p>
    <w:p w14:paraId="2E41C4BF" w14:textId="7EEFB804" w:rsidR="004C1D92" w:rsidRPr="004D1E3D" w:rsidRDefault="004D1E3D" w:rsidP="00CE57C9">
      <w:pPr>
        <w:pStyle w:val="BodyText"/>
      </w:pPr>
      <w:r w:rsidRPr="004D1E3D">
        <w:t xml:space="preserve">The true distribution of each of these corals remains imperfectly known. Certainly some commission errors result from </w:t>
      </w:r>
      <w:ins w:id="32" w:author="Casey O'Hara" w:date="2016-12-21T11:12:00Z">
        <w:r w:rsidR="009C4999">
          <w:t xml:space="preserve">IUCN Red List </w:t>
        </w:r>
      </w:ins>
      <w:ins w:id="33" w:author="Casey O'Hara" w:date="2016-12-21T09:08:00Z">
        <w:r w:rsidR="00C22006">
          <w:t xml:space="preserve">mapping standards including </w:t>
        </w:r>
      </w:ins>
      <w:ins w:id="34" w:author="Casey O'Hara" w:date="2016-12-21T09:06:00Z">
        <w:r w:rsidR="00C22006">
          <w:t>coastline buffers</w:t>
        </w:r>
      </w:ins>
      <w:ins w:id="35" w:author="Casey O'Hara" w:date="2016-12-21T09:08:00Z">
        <w:r w:rsidR="00C22006">
          <w:t xml:space="preserve"> and “minimum convex polygons”</w:t>
        </w:r>
      </w:ins>
      <w:del w:id="36" w:author="Casey O'Hara" w:date="2016-12-21T09:08:00Z">
        <w:r w:rsidRPr="004D1E3D" w:rsidDel="00C22006">
          <w:delText>extent of occurrence boundaries including areas where species do not actually exist (as recognized by the definition of this method)</w:delText>
        </w:r>
      </w:del>
      <w:r w:rsidRPr="004D1E3D">
        <w:t xml:space="preserve">, and others may be due to experts taking a precautionary (i.e., 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ins w:id="37" w:author="Casey O'Hara" w:date="2016-12-21T09:09:00Z">
        <w:r w:rsidR="00C22006">
          <w:t xml:space="preserve">coastal and </w:t>
        </w:r>
      </w:ins>
      <w:r w:rsidRPr="004D1E3D">
        <w:t xml:space="preserve">reef-associated flora and fauna. </w:t>
      </w:r>
      <w:commentRangeStart w:id="38"/>
      <w:r w:rsidRPr="004D1E3D">
        <w:t>While species depth preferences are an easy and consistent means of constraining range predictions, other conditions such as salinity and temperature could be cautiously used to refine the results of expert opinions</w:t>
      </w:r>
      <w:commentRangeEnd w:id="38"/>
      <w:r w:rsidR="006E084E">
        <w:rPr>
          <w:rStyle w:val="CommentReference"/>
        </w:rPr>
        <w:commentReference w:id="38"/>
      </w:r>
      <w:ins w:id="39" w:author="Casey O'Hara" w:date="2016-12-20T14:01:00Z">
        <w:r w:rsidR="00A72977">
          <w:t xml:space="preserve">, much as </w:t>
        </w:r>
        <w:proofErr w:type="spellStart"/>
        <w:r w:rsidR="00A72977">
          <w:t>AquaMaps</w:t>
        </w:r>
        <w:proofErr w:type="spellEnd"/>
        <w:r w:rsidR="00A72977">
          <w:t xml:space="preserve"> models use such </w:t>
        </w:r>
      </w:ins>
      <w:ins w:id="40" w:author="Casey O'Hara" w:date="2016-12-20T14:09:00Z">
        <w:r w:rsidR="00665454">
          <w:t>conditions</w:t>
        </w:r>
      </w:ins>
      <w:ins w:id="41" w:author="Casey O'Hara" w:date="2016-12-20T14:01:00Z">
        <w:r w:rsidR="00A72977">
          <w:t xml:space="preserve"> to </w:t>
        </w:r>
      </w:ins>
      <w:ins w:id="42" w:author="Casey O'Hara" w:date="2016-12-20T14:04:00Z">
        <w:r w:rsidR="00665454">
          <w:t>predict</w:t>
        </w:r>
      </w:ins>
      <w:ins w:id="43" w:author="Casey O'Hara" w:date="2016-12-20T14:01:00Z">
        <w:r w:rsidR="00A72977">
          <w:t xml:space="preserve"> suitable habitat</w:t>
        </w:r>
      </w:ins>
      <w:r w:rsidRPr="004D1E3D">
        <w:t>.</w:t>
      </w:r>
    </w:p>
    <w:p w14:paraId="2C259A58" w14:textId="77777777" w:rsidR="004C1D92" w:rsidRPr="004D1E3D" w:rsidRDefault="004D1E3D" w:rsidP="00CE57C9">
      <w:pPr>
        <w:pStyle w:val="Heading2"/>
      </w:pPr>
      <w:bookmarkStart w:id="44" w:name="georegional-constraint-exploration"/>
      <w:bookmarkEnd w:id="44"/>
      <w:r w:rsidRPr="004D1E3D">
        <w:lastRenderedPageBreak/>
        <w:t>Georegional constraint exploration</w:t>
      </w:r>
    </w:p>
    <w:p w14:paraId="399EFC55" w14:textId="77777777" w:rsidR="004C1D92" w:rsidRPr="004D1E3D" w:rsidRDefault="004D1E3D" w:rsidP="00CE57C9">
      <w:pPr>
        <w:pStyle w:val="FirstParagraph"/>
      </w:pPr>
      <w:r w:rsidRPr="004D1E3D">
        <w:t>From the entirety of the AquaMaps dataset, we identified 3,208 Indo-Pacific species whose equatorial distributions (between 25° S and 20° N) encounter an eastern range limit at 175° W. A 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CE57C9">
      <w:pPr>
        <w:pStyle w:val="BlockText"/>
      </w:pPr>
      <w:r w:rsidRPr="004D1E3D">
        <w:rPr>
          <w:b/>
        </w:rPr>
        <w:t>Fig 4. Effect of FAO Major Fishing Area constraints on AquaMaps distributions.</w:t>
      </w:r>
      <w:r w:rsidRPr="004D1E3D">
        <w:t xml:space="preserve"> (A) AquaMaps species distribution of </w:t>
      </w:r>
      <w:r w:rsidRPr="004D1E3D">
        <w:rPr>
          <w:i/>
        </w:rPr>
        <w:t>Hoplichthys regani</w:t>
      </w:r>
      <w:r w:rsidRPr="004D1E3D">
        <w:t>, the ghost flathead, with known occurrence records. (B) Aggregated AquaMaps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CE57C9">
      <w:pPr>
        <w:pStyle w:val="FirstParagraph"/>
      </w:pPr>
      <w:r w:rsidRPr="004D1E3D">
        <w:t>FAO Major Fishing Area boundaries provide a readily available method to roughly constrain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376C8C84" w:rsidR="004C1D92" w:rsidRPr="004D1E3D" w:rsidRDefault="004D1E3D" w:rsidP="00CE57C9">
      <w:pPr>
        <w:pStyle w:val="BodyText"/>
      </w:pPr>
      <w:commentRangeStart w:id="45"/>
      <w:r w:rsidRPr="004D1E3D">
        <w:lastRenderedPageBreak/>
        <w:t xml:space="preserve">The ratio </w:t>
      </w:r>
      <w:commentRangeEnd w:id="45"/>
      <w:r w:rsidR="006E084E">
        <w:rPr>
          <w:rStyle w:val="CommentReference"/>
        </w:rPr>
        <w:commentReference w:id="45"/>
      </w:r>
      <w:r w:rsidRPr="004D1E3D">
        <w:t xml:space="preserve">of the total predicted range for a species to the number of "occurcells" used to generate the map provides a measure of the degree to which AquaMaps extrapolates </w:t>
      </w:r>
      <w:ins w:id="46" w:author="Casey O'Hara" w:date="2016-12-26T16:29:00Z">
        <w:r w:rsidR="00C234B7">
          <w:t xml:space="preserve">geographic </w:t>
        </w:r>
      </w:ins>
      <w:r w:rsidRPr="004D1E3D">
        <w:t>range area from limited data. For example, AquaMaps predicts a total range of 5.4 million km</w:t>
      </w:r>
      <w:r w:rsidRPr="004D1E3D">
        <w:rPr>
          <w:vertAlign w:val="superscript"/>
        </w:rPr>
        <w:t>2</w:t>
      </w:r>
      <w:r w:rsidRPr="004D1E3D">
        <w:t xml:space="preserve"> for both the round ray </w:t>
      </w:r>
      <w:r w:rsidRPr="004D1E3D">
        <w:rPr>
          <w:i/>
        </w:rPr>
        <w:t>Rajella fyllae</w:t>
      </w:r>
      <w:r w:rsidRPr="004D1E3D">
        <w:t xml:space="preserve"> and the brittle star </w:t>
      </w:r>
      <w:bookmarkStart w:id="47" w:name="_GoBack"/>
      <w:r w:rsidRPr="004D1E3D">
        <w:rPr>
          <w:i/>
        </w:rPr>
        <w:t>Ophiothrix plana</w:t>
      </w:r>
      <w:bookmarkEnd w:id="47"/>
      <w:r w:rsidRPr="004D1E3D">
        <w:t xml:space="preserve">; but the map for </w:t>
      </w:r>
      <w:r w:rsidRPr="004D1E3D">
        <w:rPr>
          <w:i/>
        </w:rPr>
        <w:t>R. fyllae</w:t>
      </w:r>
      <w:r w:rsidRPr="004D1E3D">
        <w:t xml:space="preserve"> is generated using 116 "occurcells" (for a </w:t>
      </w:r>
      <w:del w:id="48" w:author="Casey O'Hara" w:date="2016-12-26T16:31:00Z">
        <w:r w:rsidRPr="004D1E3D" w:rsidDel="00C234B7">
          <w:delText xml:space="preserve">data </w:delText>
        </w:r>
      </w:del>
      <w:ins w:id="49" w:author="Casey O'Hara" w:date="2016-12-26T16:31:00Z">
        <w:r w:rsidR="00C234B7">
          <w:t>“geometric space”</w:t>
        </w:r>
        <w:r w:rsidR="00C234B7" w:rsidRPr="004D1E3D">
          <w:t xml:space="preserve"> </w:t>
        </w:r>
      </w:ins>
      <w:r w:rsidRPr="004D1E3D">
        <w:t>extrapolation rate of 46,800 km</w:t>
      </w:r>
      <w:r w:rsidRPr="004D1E3D">
        <w:rPr>
          <w:vertAlign w:val="superscript"/>
        </w:rPr>
        <w:t>2</w:t>
      </w:r>
      <w:r w:rsidRPr="004D1E3D">
        <w:t xml:space="preserve"> per cell) while the map for </w:t>
      </w:r>
      <w:r w:rsidRPr="004D1E3D">
        <w:rPr>
          <w:i/>
        </w:rPr>
        <w:t>O. plana</w:t>
      </w:r>
      <w:r w:rsidRPr="004D1E3D">
        <w:t xml:space="preserve"> is generated using only four (for a</w:t>
      </w:r>
      <w:ins w:id="50" w:author="Casey O'Hara" w:date="2016-12-26T16:31:00Z">
        <w:r w:rsidR="00C234B7">
          <w:t xml:space="preserve"> </w:t>
        </w:r>
      </w:ins>
      <w:del w:id="51" w:author="Casey O'Hara" w:date="2016-12-26T16:31:00Z">
        <w:r w:rsidRPr="004D1E3D" w:rsidDel="00C234B7">
          <w:delText xml:space="preserve">n extrapolation </w:delText>
        </w:r>
      </w:del>
      <w:r w:rsidRPr="004D1E3D">
        <w:t>rate of 1,360,000 km</w:t>
      </w:r>
      <w:r w:rsidRPr="004D1E3D">
        <w:rPr>
          <w:vertAlign w:val="superscript"/>
        </w:rPr>
        <w:t>2</w:t>
      </w:r>
      <w:r w:rsidRPr="004D1E3D">
        <w:t xml:space="preserve"> per cell).</w:t>
      </w:r>
      <w:ins w:id="52" w:author="Casey O'Hara" w:date="2016-12-26T16:29:00Z">
        <w:r w:rsidR="00C234B7">
          <w:t xml:space="preserve">  Weighting the geographic area by environmental suitability (i.e.</w:t>
        </w:r>
      </w:ins>
      <w:ins w:id="53" w:author="Casey O'Hara" w:date="2016-12-26T16:38:00Z">
        <w:r w:rsidR="00BF7E2D">
          <w:t>,</w:t>
        </w:r>
      </w:ins>
      <w:ins w:id="54" w:author="Casey O'Hara" w:date="2016-12-26T16:29:00Z">
        <w:r w:rsidR="00C234B7">
          <w:t xml:space="preserve"> probability of occurrence), we can estimate the rate at which </w:t>
        </w:r>
        <w:proofErr w:type="spellStart"/>
        <w:r w:rsidR="00C234B7">
          <w:t>AquaMaps</w:t>
        </w:r>
        <w:proofErr w:type="spellEnd"/>
        <w:r w:rsidR="00C234B7">
          <w:t xml:space="preserve"> e</w:t>
        </w:r>
      </w:ins>
      <w:ins w:id="55" w:author="Casey O'Hara" w:date="2016-12-26T16:30:00Z">
        <w:r w:rsidR="00C234B7">
          <w:t>x</w:t>
        </w:r>
      </w:ins>
      <w:ins w:id="56" w:author="Casey O'Hara" w:date="2016-12-26T16:29:00Z">
        <w:r w:rsidR="00C234B7">
          <w:t xml:space="preserve">trapolates </w:t>
        </w:r>
      </w:ins>
      <w:ins w:id="57" w:author="Casey O'Hara" w:date="2016-12-26T16:30:00Z">
        <w:r w:rsidR="00C234B7">
          <w:t xml:space="preserve">into </w:t>
        </w:r>
      </w:ins>
      <w:ins w:id="58" w:author="Casey O'Hara" w:date="2016-12-26T16:31:00Z">
        <w:r w:rsidR="00C234B7">
          <w:t>“</w:t>
        </w:r>
      </w:ins>
      <w:ins w:id="59" w:author="Casey O'Hara" w:date="2016-12-26T16:30:00Z">
        <w:r w:rsidR="00C234B7">
          <w:t>environmental space</w:t>
        </w:r>
      </w:ins>
      <w:ins w:id="60" w:author="Casey O'Hara" w:date="2016-12-26T16:31:00Z">
        <w:r w:rsidR="00C234B7">
          <w:t xml:space="preserve">.”  By this measure, </w:t>
        </w:r>
        <w:r w:rsidR="00C234B7" w:rsidRPr="00C234B7">
          <w:rPr>
            <w:i/>
            <w:rPrChange w:id="61" w:author="Casey O'Hara" w:date="2016-12-26T16:35:00Z">
              <w:rPr/>
            </w:rPrChange>
          </w:rPr>
          <w:t xml:space="preserve">R. </w:t>
        </w:r>
        <w:proofErr w:type="spellStart"/>
        <w:r w:rsidR="00C234B7" w:rsidRPr="00C234B7">
          <w:rPr>
            <w:i/>
            <w:rPrChange w:id="62" w:author="Casey O'Hara" w:date="2016-12-26T16:35:00Z">
              <w:rPr/>
            </w:rPrChange>
          </w:rPr>
          <w:t>fyllae</w:t>
        </w:r>
      </w:ins>
      <w:ins w:id="63" w:author="Casey O'Hara" w:date="2016-12-26T16:33:00Z">
        <w:r w:rsidR="00C234B7">
          <w:t>’s</w:t>
        </w:r>
        <w:proofErr w:type="spellEnd"/>
        <w:r w:rsidR="00C234B7">
          <w:t xml:space="preserve"> “environmental space” extrapolation rate is 29,000 km</w:t>
        </w:r>
        <w:r w:rsidR="00C234B7" w:rsidRPr="00C234B7">
          <w:rPr>
            <w:vertAlign w:val="superscript"/>
            <w:rPrChange w:id="64" w:author="Casey O'Hara" w:date="2016-12-26T16:36:00Z">
              <w:rPr/>
            </w:rPrChange>
          </w:rPr>
          <w:t>2</w:t>
        </w:r>
        <w:r w:rsidR="00C234B7">
          <w:t xml:space="preserve"> of suitability-weighted area per </w:t>
        </w:r>
        <w:proofErr w:type="spellStart"/>
        <w:r w:rsidR="00C234B7">
          <w:t>occurcell</w:t>
        </w:r>
        <w:proofErr w:type="spellEnd"/>
        <w:r w:rsidR="00C234B7">
          <w:t>, compared to 763,000 km</w:t>
        </w:r>
        <w:r w:rsidR="00C234B7" w:rsidRPr="00C234B7">
          <w:rPr>
            <w:vertAlign w:val="superscript"/>
            <w:rPrChange w:id="65" w:author="Casey O'Hara" w:date="2016-12-26T16:36:00Z">
              <w:rPr/>
            </w:rPrChange>
          </w:rPr>
          <w:t>2</w:t>
        </w:r>
        <w:r w:rsidR="00C234B7">
          <w:t xml:space="preserve"> of suitability-weighted area per cell for </w:t>
        </w:r>
        <w:r w:rsidR="00C234B7" w:rsidRPr="00C234B7">
          <w:rPr>
            <w:i/>
            <w:rPrChange w:id="66" w:author="Casey O'Hara" w:date="2016-12-26T16:35:00Z">
              <w:rPr/>
            </w:rPrChange>
          </w:rPr>
          <w:t xml:space="preserve">O. </w:t>
        </w:r>
        <w:proofErr w:type="spellStart"/>
        <w:r w:rsidR="00C234B7" w:rsidRPr="00C234B7">
          <w:rPr>
            <w:i/>
            <w:rPrChange w:id="67" w:author="Casey O'Hara" w:date="2016-12-26T16:35:00Z">
              <w:rPr/>
            </w:rPrChange>
          </w:rPr>
          <w:t>plana</w:t>
        </w:r>
        <w:proofErr w:type="spellEnd"/>
        <w:r w:rsidR="00C234B7">
          <w:t>.</w:t>
        </w:r>
      </w:ins>
    </w:p>
    <w:p w14:paraId="1A360F48" w14:textId="77777777" w:rsidR="004C1D92" w:rsidRPr="004D1E3D" w:rsidRDefault="004D1E3D" w:rsidP="00CE57C9">
      <w:pPr>
        <w:pStyle w:val="BodyText"/>
      </w:pPr>
      <w:r w:rsidRPr="004D1E3D">
        <w:t>By this measure, the 3,208 species range maps included in Fig 4 tend to extrapolate farther based on limited data: a mean predicted range of 827,200 km</w:t>
      </w:r>
      <w:r w:rsidRPr="004D1E3D">
        <w:rPr>
          <w:vertAlign w:val="superscript"/>
        </w:rPr>
        <w:t>2</w:t>
      </w:r>
      <w:r w:rsidRPr="004D1E3D">
        <w:t xml:space="preserve"> per "occurcell" compared to a mean predicted range of 485,300 km</w:t>
      </w:r>
      <w:r w:rsidRPr="004D1E3D">
        <w:rPr>
          <w:vertAlign w:val="superscript"/>
        </w:rPr>
        <w:t>2</w:t>
      </w:r>
      <w:r w:rsidRPr="004D1E3D">
        <w:t xml:space="preserve"> per "occurcell" for the overall AquaMaps dataset. This suggests that the FAO boundaries may not be sufficient to adequately constrain computer-generated ranges. To reduce the incidence of commission errors due to aggressive extrapolation, it may be desirable to fine-tune the computer model output with additional filters, such as ecoregional constraints, e.g. Marine Ecoregions of the World [22],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68" w:name="case-study-mpa-gap-analysis"/>
      <w:bookmarkEnd w:id="68"/>
      <w:r w:rsidRPr="004D1E3D">
        <w:lastRenderedPageBreak/>
        <w:t>Case Study: MPA Gap Analysis</w:t>
      </w:r>
    </w:p>
    <w:p w14:paraId="1D0E278C" w14:textId="77777777" w:rsidR="004C1D92" w:rsidRPr="004D1E3D" w:rsidRDefault="004D1E3D" w:rsidP="00CE57C9">
      <w:pPr>
        <w:pStyle w:val="FirstParagraph"/>
      </w:pPr>
      <w:r w:rsidRPr="004D1E3D">
        <w:t>Klein et al. [12] compare the global distribution of species to the global distribution of marine protected areas to assess how well current MPAs overlap with species ranges and identify which species fall through gaps in protection. The study relied on the 2014 version of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14:paraId="430FE925" w14:textId="77777777" w:rsidR="004C1D92" w:rsidRPr="004D1E3D" w:rsidRDefault="004D1E3D" w:rsidP="00CE57C9">
      <w:pPr>
        <w:pStyle w:val="BodyText"/>
      </w:pPr>
      <w:r w:rsidRPr="004D1E3D">
        <w:t>We recalculated the amount of under-protected and gap species using all available IUCN species ranges, as well as the 2015 AquaMaps data at a 50% threshold to replicate the original methods and a 0% threshold to more closely approximate the extent of occurrence represented by IUCN data (Fig 5). Comparing the IUCN results to the AquaMaps 2015 results (at 0% threshold)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77777777" w:rsidR="004C1D92" w:rsidRPr="004D1E3D" w:rsidRDefault="004D1E3D" w:rsidP="00CE57C9">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w:t>
      </w:r>
      <w:r w:rsidRPr="004D1E3D">
        <w:lastRenderedPageBreak/>
        <w:t>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examines species MPA coverage using only the IUCN dataset.</w:t>
      </w:r>
    </w:p>
    <w:p w14:paraId="69EDF653" w14:textId="77777777" w:rsidR="004C1D92" w:rsidRPr="004D1E3D" w:rsidRDefault="004D1E3D" w:rsidP="00CE57C9">
      <w:pPr>
        <w:pStyle w:val="FirstParagraph"/>
      </w:pPr>
      <w:r w:rsidRPr="004D1E3D">
        <w:t>To achieve more comprehensive taxonomic coverage of species ranges it may be desirable to use these two datasets together. The Ocean Health Index (OHI) is one analysis that uses both IUCN and AquaMaps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AquaMaps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77777777" w:rsidR="004C1D92" w:rsidRPr="004D1E3D" w:rsidRDefault="004D1E3D" w:rsidP="00CE57C9">
      <w:pPr>
        <w:pStyle w:val="BodyText"/>
      </w:pPr>
      <w:r w:rsidRPr="004D1E3D">
        <w:t xml:space="preserve">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result in maps that more closely approximate areas of occupancy. Conversely, including all AquaMaps cells with a non-zero "probability of occurrence" (rather than using a probability threshold to determine presence, e.g. greater than 40% for the Ocean Health Index [4,5] or 50% for the MPA gap analysis [12]) would allow for the most generous </w:t>
      </w:r>
      <w:r w:rsidRPr="004D1E3D">
        <w:lastRenderedPageBreak/>
        <w:t>inclusion of species range, resulting in maps that more closely, though still imperfectly, approach the IUCN's extents of occurrence.</w:t>
      </w:r>
    </w:p>
    <w:p w14:paraId="1D07DAC5" w14:textId="77777777" w:rsidR="004C1D92" w:rsidRPr="004D1E3D" w:rsidRDefault="004D1E3D" w:rsidP="00CE57C9">
      <w:pPr>
        <w:pStyle w:val="Heading1"/>
      </w:pPr>
      <w:bookmarkStart w:id="69" w:name="conclusions"/>
      <w:bookmarkEnd w:id="69"/>
      <w:r w:rsidRPr="004D1E3D">
        <w:t>Conclusions</w:t>
      </w:r>
    </w:p>
    <w:p w14:paraId="516076E1" w14:textId="77777777" w:rsidR="004C1D92" w:rsidRPr="004D1E3D" w:rsidRDefault="004D1E3D" w:rsidP="00CE57C9">
      <w:pPr>
        <w:pStyle w:val="FirstParagraph"/>
      </w:pPr>
      <w:r w:rsidRPr="004D1E3D">
        <w:t>No dataset can ever claim to know the "truth" of the location and extent of marine biodiversity. AquaMaps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and fundamentally different marine species range datasets, we improve our ability to inform strategic and effective conservation policy that supports a resilient ocean ecosystem.</w:t>
      </w:r>
    </w:p>
    <w:p w14:paraId="7CBD823B" w14:textId="77777777" w:rsidR="004C1D92" w:rsidRPr="004D1E3D" w:rsidRDefault="00C234B7"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70" w:name="acknowledgments"/>
      <w:bookmarkEnd w:id="70"/>
      <w:r w:rsidRPr="004D1E3D">
        <w:t>Acknowledgments</w:t>
      </w:r>
    </w:p>
    <w:p w14:paraId="07DA6AEE" w14:textId="7613EC10" w:rsidR="004C1D92" w:rsidRPr="004D1E3D" w:rsidRDefault="004D1E3D" w:rsidP="00CE57C9">
      <w:pPr>
        <w:pStyle w:val="FirstParagraph"/>
      </w:pPr>
      <w:r w:rsidRPr="004D1E3D">
        <w:t xml:space="preserve">We are thankful to Melanie Frazier, Julia Stewart Lowndes, Halley Froelich, </w:t>
      </w:r>
      <w:r w:rsidR="004D337C">
        <w:t xml:space="preserve">and </w:t>
      </w:r>
      <w:r w:rsidRPr="004D1E3D">
        <w:t xml:space="preserve">Claire </w:t>
      </w:r>
      <w:proofErr w:type="spellStart"/>
      <w:r w:rsidRPr="004D1E3D">
        <w:t>Runge</w:t>
      </w:r>
      <w:proofErr w:type="spellEnd"/>
      <w:r w:rsidRPr="004D1E3D">
        <w:t xml:space="preserve"> for their insightful comments on this manuscript, and to the National Center for Ecological </w:t>
      </w:r>
      <w:r w:rsidRPr="004D1E3D">
        <w:lastRenderedPageBreak/>
        <w:t>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71" w:name="references"/>
      <w:bookmarkEnd w:id="71"/>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2">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3">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4">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5">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6">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7">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8">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9">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20">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1">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2">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3">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4">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5">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6">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7">
        <w:r w:rsidRPr="004D1E3D">
          <w:rPr>
            <w:rStyle w:val="Hyperlink"/>
          </w:rPr>
          <w:t>www.protectedplanet.net</w:t>
        </w:r>
      </w:hyperlink>
    </w:p>
    <w:p w14:paraId="1D619287" w14:textId="77777777" w:rsidR="004C1D92" w:rsidRPr="004D1E3D" w:rsidRDefault="004D1E3D" w:rsidP="00CE57C9">
      <w:pPr>
        <w:pStyle w:val="Bibliography"/>
      </w:pPr>
      <w:r w:rsidRPr="004D1E3D">
        <w:t xml:space="preserve">20. OBIS. Data from the Ocean Biogeographic Information System [Internet]. Intergovernmental Oceanographic Commission of UNESCO. 2016. Available: </w:t>
      </w:r>
      <w:hyperlink r:id="rId28">
        <w:r w:rsidRPr="004D1E3D">
          <w:rPr>
            <w:rStyle w:val="Hyperlink"/>
          </w:rPr>
          <w:t>http://www.iobis.org</w:t>
        </w:r>
      </w:hyperlink>
    </w:p>
    <w:p w14:paraId="433F1105" w14:textId="77777777" w:rsidR="004C1D92" w:rsidRPr="004D1E3D" w:rsidRDefault="004D1E3D" w:rsidP="00CE57C9">
      <w:pPr>
        <w:pStyle w:val="Bibliography"/>
      </w:pPr>
      <w:r w:rsidRPr="004D1E3D">
        <w:t xml:space="preserve">21. GBIF. Global Biodiversity Information Facility (GBIF) Memorandum of Understanding [Internet]. Global Biodiversity Information Facility. 2010. Available: </w:t>
      </w:r>
      <w:hyperlink r:id="rId29">
        <w:r w:rsidRPr="004D1E3D">
          <w:rPr>
            <w:rStyle w:val="Hyperlink"/>
          </w:rPr>
          <w:t>http://www.gbif.org/resource/80661</w:t>
        </w:r>
      </w:hyperlink>
    </w:p>
    <w:p w14:paraId="657CCDB2" w14:textId="77777777" w:rsidR="004C1D92" w:rsidRDefault="004D1E3D" w:rsidP="00CE57C9">
      <w:pPr>
        <w:pStyle w:val="Bibliography"/>
        <w:rPr>
          <w:rStyle w:val="Hyperlink"/>
        </w:rPr>
      </w:pPr>
      <w:r w:rsidRPr="004D1E3D">
        <w:t xml:space="preserve">22. Spalding MD, Fox HE, Allen GR, Davidson N, Ferdaña ZA, Finlayson MAX, et al. Marine ecoregions of the world: A bioregionalization of coastal and shelf areas. BioScience. 2007;57: 573–583. Available: </w:t>
      </w:r>
      <w:hyperlink r:id="rId30">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lastRenderedPageBreak/>
        <w:t>References for supplemental figures</w:t>
      </w:r>
    </w:p>
    <w:p w14:paraId="06531371" w14:textId="4734C852" w:rsidR="00D047CF" w:rsidRPr="00673D06" w:rsidRDefault="00E17FE7" w:rsidP="00D047CF">
      <w:pPr>
        <w:pStyle w:val="BodyText"/>
      </w:pPr>
      <w:r>
        <w:t xml:space="preserve">23.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(Albacore), with </w:t>
      </w:r>
      <w:proofErr w:type="spellStart"/>
      <w:r w:rsidR="00D047CF" w:rsidRPr="00673D06">
        <w:t>modelled</w:t>
      </w:r>
      <w:proofErr w:type="spellEnd"/>
      <w:r w:rsidR="00D047CF" w:rsidRPr="00673D06">
        <w:t xml:space="preserve"> year 2100 native range map based on IPCC A2 emissions scenario. Web. Accessed 11 Sep. 2016.</w:t>
      </w:r>
    </w:p>
    <w:p w14:paraId="3C1D888E" w14:textId="4B914737" w:rsidR="00D047CF" w:rsidRPr="00673D06" w:rsidRDefault="00E17FE7" w:rsidP="00D047CF">
      <w:pPr>
        <w:pStyle w:val="BodyText"/>
      </w:pPr>
      <w:r>
        <w:t xml:space="preserve">24. </w:t>
      </w:r>
      <w:r w:rsidR="00D047CF" w:rsidRPr="00673D06">
        <w:t xml:space="preserve">International Union for Conservation of Nature (IUCN) 2011.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540C7365" w14:textId="7B2D4ACF" w:rsidR="00D047CF" w:rsidRPr="00673D06" w:rsidRDefault="00E17FE7" w:rsidP="00D047CF">
      <w:pPr>
        <w:pStyle w:val="BodyText"/>
      </w:pPr>
      <w:r>
        <w:t xml:space="preserve">25.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7CB3D24A" w14:textId="23C22167" w:rsidR="00D047CF" w:rsidRPr="00673D06" w:rsidRDefault="00E17FE7" w:rsidP="00D047CF">
      <w:pPr>
        <w:pStyle w:val="FirstParagraph"/>
      </w:pPr>
      <w:r>
        <w:t xml:space="preserve">26.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1997509B" w14:textId="5EFF041A" w:rsidR="00D047CF" w:rsidRPr="00673D06" w:rsidRDefault="00E17FE7" w:rsidP="00D047CF">
      <w:pPr>
        <w:pStyle w:val="BodyText"/>
      </w:pPr>
      <w:r>
        <w:t xml:space="preserve">27.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(Atlantic white marlin), with </w:t>
      </w:r>
      <w:proofErr w:type="spellStart"/>
      <w:r w:rsidR="00D047CF" w:rsidRPr="00673D06">
        <w:t>modelled</w:t>
      </w:r>
      <w:proofErr w:type="spellEnd"/>
      <w:r w:rsidR="00D047CF" w:rsidRPr="00673D06">
        <w:t xml:space="preserve"> year 2100 native range map based on IPCC A2 emissions scenario. Web. Accessed 11 Sep. 2016.</w:t>
      </w:r>
    </w:p>
    <w:p w14:paraId="5CFBF730" w14:textId="24633B20" w:rsidR="00D047CF" w:rsidRPr="00673D06" w:rsidRDefault="00E17FE7" w:rsidP="00D047CF">
      <w:pPr>
        <w:pStyle w:val="BodyText"/>
      </w:pPr>
      <w:r>
        <w:t xml:space="preserve">28. </w:t>
      </w:r>
      <w:r w:rsidR="00D047CF" w:rsidRPr="00673D06">
        <w:t xml:space="preserve">International Union for Conservation of Nature (IUCN) 2011.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946E512" w14:textId="00208BC0" w:rsidR="00D047CF" w:rsidRPr="00673D06" w:rsidRDefault="00E17FE7" w:rsidP="00D047CF">
      <w:pPr>
        <w:pStyle w:val="BodyText"/>
      </w:pPr>
      <w:r>
        <w:t xml:space="preserve">29.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spellStart"/>
      <w:r w:rsidR="00D047CF" w:rsidRPr="00673D06">
        <w:t>Bluelined</w:t>
      </w:r>
      <w:proofErr w:type="spellEnd"/>
      <w:r w:rsidR="00D047CF" w:rsidRPr="00673D06">
        <w:t xml:space="preserve"> surgeonfish), with </w:t>
      </w:r>
      <w:proofErr w:type="spellStart"/>
      <w:r w:rsidR="00D047CF" w:rsidRPr="00673D06">
        <w:t>modelled</w:t>
      </w:r>
      <w:proofErr w:type="spellEnd"/>
      <w:r w:rsidR="00D047CF" w:rsidRPr="00673D06">
        <w:t xml:space="preserve"> year 2100 native range map based on IPCC A2 emissions scenario. Web. Accessed 11 Sep. 2016.</w:t>
      </w:r>
    </w:p>
    <w:p w14:paraId="3FCECE50" w14:textId="5FE91E3A" w:rsidR="00D047CF" w:rsidRPr="00673D06" w:rsidRDefault="00E17FE7" w:rsidP="00D047CF">
      <w:pPr>
        <w:pStyle w:val="BodyText"/>
      </w:pPr>
      <w:r>
        <w:t xml:space="preserve">30. </w:t>
      </w:r>
      <w:r w:rsidR="00D047CF" w:rsidRPr="00673D06">
        <w:t xml:space="preserve">International Union for Conservation of Nature (IUCN) 2012.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7BCDA6AE" w14:textId="69852A6B" w:rsidR="00D047CF" w:rsidRPr="00673D06" w:rsidRDefault="00E17FE7" w:rsidP="00D047CF">
      <w:pPr>
        <w:pStyle w:val="BodyText"/>
      </w:pPr>
      <w:r>
        <w:lastRenderedPageBreak/>
        <w:t xml:space="preserve">31.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1B805654" w14:textId="7F820236" w:rsidR="00D047CF" w:rsidRPr="00673D06" w:rsidRDefault="00E17FE7" w:rsidP="00D047CF">
      <w:pPr>
        <w:pStyle w:val="BodyText"/>
      </w:pPr>
      <w:r>
        <w:t xml:space="preserve">32.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E17FE7">
      <w:pPr>
        <w:pStyle w:val="BlockText"/>
      </w:pPr>
      <w:bookmarkStart w:id="72" w:name="references-for-supplemental-figures"/>
      <w:bookmarkEnd w:id="72"/>
      <w:r w:rsidRPr="00673D06">
        <w:rPr>
          <w:b/>
        </w:rPr>
        <w:t>S1</w:t>
      </w:r>
      <w:r w:rsidR="00076C23">
        <w:rPr>
          <w:b/>
        </w:rPr>
        <w:t xml:space="preserve"> Figure</w:t>
      </w:r>
      <w:r w:rsidRPr="00673D06">
        <w:rPr>
          <w:b/>
        </w:rPr>
        <w:t xml:space="preserve">. Examples of </w:t>
      </w:r>
      <w:proofErr w:type="spellStart"/>
      <w:r w:rsidRPr="00673D06">
        <w:rPr>
          <w:b/>
        </w:rPr>
        <w:t>AquaMaps</w:t>
      </w:r>
      <w:proofErr w:type="spellEnd"/>
      <w:r w:rsidRPr="00673D06">
        <w:rPr>
          <w:b/>
        </w:rPr>
        <w:t xml:space="preserve"> and IUCN raw species range data.</w:t>
      </w:r>
      <w:r w:rsidRPr="00673D06">
        <w:t xml:space="preserve"> (A, B) </w:t>
      </w:r>
      <w:proofErr w:type="spellStart"/>
      <w:r w:rsidRPr="00673D06">
        <w:t>AquaMaps</w:t>
      </w:r>
      <w:proofErr w:type="spellEnd"/>
      <w:r w:rsidRPr="00673D06">
        <w:t xml:space="preserve"> distribution of </w:t>
      </w:r>
      <w:proofErr w:type="spellStart"/>
      <w:r w:rsidRPr="00673D06">
        <w:rPr>
          <w:i/>
        </w:rPr>
        <w:t>Thunnus</w:t>
      </w:r>
      <w:proofErr w:type="spellEnd"/>
      <w:r w:rsidRPr="00673D06">
        <w:rPr>
          <w:i/>
        </w:rPr>
        <w:t xml:space="preserve"> </w:t>
      </w:r>
      <w:proofErr w:type="spellStart"/>
      <w:r w:rsidRPr="00673D06">
        <w:rPr>
          <w:i/>
        </w:rPr>
        <w:t>alalunga</w:t>
      </w:r>
      <w:proofErr w:type="spellEnd"/>
      <w:r>
        <w:t xml:space="preserve"> (Albacore Tuna) [23]</w:t>
      </w:r>
      <w:r w:rsidRPr="00673D06">
        <w:t xml:space="preserve"> showing (A) global range with varying probabilities of occurrence assigned to 0.5° grid cells and (B) presence within 0.5° grid cells. (C, D) IUCN distribution of </w:t>
      </w:r>
      <w:r w:rsidRPr="00673D06">
        <w:rPr>
          <w:i/>
        </w:rPr>
        <w:t xml:space="preserve">T. </w:t>
      </w:r>
      <w:proofErr w:type="spellStart"/>
      <w:r w:rsidRPr="00673D06">
        <w:rPr>
          <w:i/>
        </w:rPr>
        <w:t>alalunga</w:t>
      </w:r>
      <w:proofErr w:type="spellEnd"/>
      <w:r>
        <w:t xml:space="preserve"> [24]</w:t>
      </w:r>
      <w:r w:rsidRPr="00673D06">
        <w:t xml:space="preserve"> represented as (C) extent of occurrence polygons and (D) presence within 0.5° grid cells.</w:t>
      </w:r>
    </w:p>
    <w:p w14:paraId="47B3C6F2" w14:textId="065E8BE7" w:rsidR="00E17FE7" w:rsidRPr="00B66D42" w:rsidRDefault="00E17FE7" w:rsidP="00E17FE7">
      <w:pPr>
        <w:pStyle w:val="BlockText"/>
      </w:pPr>
      <w:r w:rsidRPr="00673D06">
        <w:rPr>
          <w:b/>
        </w:rPr>
        <w:t>S2</w:t>
      </w:r>
      <w:r w:rsidR="00076C23" w:rsidRPr="00076C23">
        <w:rPr>
          <w:b/>
        </w:rPr>
        <w:t xml:space="preserve"> </w:t>
      </w:r>
      <w:r w:rsidR="00076C23">
        <w:rPr>
          <w:b/>
        </w:rPr>
        <w:t>Figure</w:t>
      </w:r>
      <w:r w:rsidRPr="00673D06">
        <w:rPr>
          <w:b/>
        </w:rPr>
        <w:t xml:space="preserve">. </w:t>
      </w:r>
      <w:proofErr w:type="gramStart"/>
      <w:r w:rsidRPr="00673D06">
        <w:rPr>
          <w:b/>
        </w:rPr>
        <w:t xml:space="preserve">Rasterizing </w:t>
      </w:r>
      <w:proofErr w:type="spellStart"/>
      <w:r w:rsidRPr="00673D06">
        <w:rPr>
          <w:b/>
        </w:rPr>
        <w:t>shapefiles</w:t>
      </w:r>
      <w:proofErr w:type="spellEnd"/>
      <w:r w:rsidRPr="00673D06">
        <w:rPr>
          <w:b/>
        </w:rPr>
        <w:t xml:space="preserve"> provided by IUCN.</w:t>
      </w:r>
      <w:proofErr w:type="gramEnd"/>
      <w:r w:rsidRPr="00673D06">
        <w:t xml:space="preserve"> A portion of the </w:t>
      </w:r>
      <w:r w:rsidRPr="00673D06">
        <w:rPr>
          <w:i/>
        </w:rPr>
        <w:t xml:space="preserve">T. </w:t>
      </w:r>
      <w:proofErr w:type="spellStart"/>
      <w:r w:rsidRPr="00673D06">
        <w:rPr>
          <w:i/>
        </w:rPr>
        <w:t>alalunga</w:t>
      </w:r>
      <w:proofErr w:type="spellEnd"/>
      <w:r w:rsidRPr="00673D06">
        <w:t xml:space="preserve"> range map</w:t>
      </w:r>
      <w:r>
        <w:t xml:space="preserve"> [24]</w:t>
      </w:r>
      <w:r w:rsidRPr="00673D06">
        <w:t xml:space="preserve"> is used to exemplify the </w:t>
      </w:r>
      <w:proofErr w:type="spellStart"/>
      <w:r w:rsidRPr="00673D06">
        <w:t>rasterization</w:t>
      </w:r>
      <w:proofErr w:type="spellEnd"/>
      <w:r w:rsidRPr="00673D06">
        <w:t xml:space="preserve"> process. To enable direct comparison of IUCN species ranges to </w:t>
      </w:r>
      <w:proofErr w:type="spellStart"/>
      <w:r w:rsidRPr="00673D06">
        <w:t>AquaMaps</w:t>
      </w:r>
      <w:proofErr w:type="spellEnd"/>
      <w:r w:rsidRPr="00673D06">
        <w:t xml:space="preserve"> species ranges, the raw IUCN polygon (A) is overlaid with a 0.5° degree grid matching the </w:t>
      </w:r>
      <w:proofErr w:type="spellStart"/>
      <w:r w:rsidRPr="00673D06">
        <w:t>AquaMaps</w:t>
      </w:r>
      <w:proofErr w:type="spellEnd"/>
      <w:r w:rsidRPr="00673D06">
        <w:t xml:space="preserve"> grid (B). Each cell is assigned a value of "present" if the cell overlaps any portion of the polygon (C). </w:t>
      </w:r>
      <w:proofErr w:type="gramStart"/>
      <w:r w:rsidRPr="00673D06">
        <w:t>The resulting raster (D).</w:t>
      </w:r>
      <w:bookmarkStart w:id="73" w:name="representative-maps-from-each-quadrant"/>
      <w:bookmarkEnd w:id="73"/>
      <w:proofErr w:type="gramEnd"/>
    </w:p>
    <w:p w14:paraId="56E40B4D" w14:textId="757BF039" w:rsidR="00E17FE7" w:rsidRPr="00B66D42" w:rsidRDefault="00E17FE7" w:rsidP="00E17FE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episcopatus</w:t>
      </w:r>
      <w:proofErr w:type="spellEnd"/>
      <w:r w:rsidRPr="00673D06">
        <w:t>, the dignified cone snail</w:t>
      </w:r>
      <w:r>
        <w:t xml:space="preserve"> [25, 26]</w:t>
      </w:r>
      <w:r w:rsidRPr="00673D06">
        <w:t xml:space="preserve">. Distributions show excellent overlap in the western Pacific, though IUCN range extends well beyond the bounds of the </w:t>
      </w:r>
      <w:proofErr w:type="spellStart"/>
      <w:r w:rsidRPr="00673D06">
        <w:t>AquaMaps</w:t>
      </w:r>
      <w:proofErr w:type="spellEnd"/>
      <w:r w:rsidRPr="00673D06">
        <w:t xml:space="preserve"> range. (B) Well-</w:t>
      </w:r>
      <w:r>
        <w:t>aligned</w:t>
      </w:r>
      <w:r w:rsidRPr="00673D06">
        <w:t xml:space="preserve">: </w:t>
      </w:r>
      <w:proofErr w:type="spellStart"/>
      <w:r w:rsidRPr="00673D06">
        <w:rPr>
          <w:i/>
        </w:rPr>
        <w:t>Kajikia</w:t>
      </w:r>
      <w:proofErr w:type="spellEnd"/>
      <w:r w:rsidRPr="00673D06">
        <w:rPr>
          <w:i/>
        </w:rPr>
        <w:t xml:space="preserve"> </w:t>
      </w:r>
      <w:proofErr w:type="spellStart"/>
      <w:r w:rsidRPr="00673D06">
        <w:rPr>
          <w:i/>
        </w:rPr>
        <w:t>albida</w:t>
      </w:r>
      <w:proofErr w:type="spellEnd"/>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proofErr w:type="spellStart"/>
      <w:r w:rsidRPr="00673D06">
        <w:rPr>
          <w:i/>
        </w:rPr>
        <w:t>Acanthurus</w:t>
      </w:r>
      <w:proofErr w:type="spellEnd"/>
      <w:r w:rsidRPr="00673D06">
        <w:rPr>
          <w:i/>
        </w:rPr>
        <w:t xml:space="preserve"> </w:t>
      </w:r>
      <w:proofErr w:type="spellStart"/>
      <w:r w:rsidRPr="00673D06">
        <w:rPr>
          <w:i/>
        </w:rPr>
        <w:t>nigroris</w:t>
      </w:r>
      <w:proofErr w:type="spellEnd"/>
      <w:r w:rsidRPr="00673D06">
        <w:t>, the blue-lined surgeonfish</w:t>
      </w:r>
      <w:r>
        <w:t xml:space="preserve"> [29, 30]</w:t>
      </w:r>
      <w:r w:rsidRPr="00673D06">
        <w:t xml:space="preserve">. IUCN predicts species distribution only near the Hawaiian islands; </w:t>
      </w:r>
      <w:proofErr w:type="spellStart"/>
      <w:r w:rsidRPr="00673D06">
        <w:t>AquaMaps</w:t>
      </w:r>
      <w:proofErr w:type="spellEnd"/>
      <w:r w:rsidRPr="00673D06">
        <w:t xml:space="preserve"> predicts extensive distribution throughout the central and western Pacific Ocean. The datasets align in neither distribution nor range size. (D) Area-</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magnificus</w:t>
      </w:r>
      <w:proofErr w:type="spellEnd"/>
      <w:r w:rsidRPr="00673D06">
        <w:t>, the magnificent cone snail</w:t>
      </w:r>
      <w:r>
        <w:t xml:space="preserve"> [31, 32]</w:t>
      </w:r>
      <w:r w:rsidRPr="00673D06">
        <w:t>. Distributions overlap in the southern Pacific, but align poorly elsewhere. The range sizes are similar.</w:t>
      </w:r>
      <w:bookmarkStart w:id="74" w:name="shifts-in-coral-species-range-map-alignm"/>
      <w:bookmarkEnd w:id="74"/>
    </w:p>
    <w:p w14:paraId="05927D91" w14:textId="247E500B" w:rsidR="00E17FE7" w:rsidRPr="00673D06" w:rsidRDefault="00E17FE7" w:rsidP="00E17FE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 xml:space="preserve">with little if any loss in distribution alignment, since in general, only unsuitable habitat has been removed. Leftward shifts can be seen in species whose larger original range is represented in </w:t>
      </w:r>
      <w:proofErr w:type="spellStart"/>
      <w:r w:rsidRPr="00673D06">
        <w:t>AquaMaps</w:t>
      </w:r>
      <w:proofErr w:type="spellEnd"/>
      <w:r w:rsidRPr="00673D06">
        <w:t>;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ey O'Hara" w:date="2016-12-21T11:38:00Z" w:initials="CO">
    <w:p w14:paraId="77B7C940" w14:textId="77777777" w:rsidR="00BF7E2D" w:rsidRDefault="00BF7E2D" w:rsidP="006E084E">
      <w:pPr>
        <w:spacing w:after="120"/>
        <w:rPr>
          <w:rFonts w:ascii="Arial" w:eastAsia="Times New Roman" w:hAnsi="Arial"/>
          <w:color w:val="222222"/>
          <w:sz w:val="19"/>
          <w:szCs w:val="19"/>
        </w:rPr>
      </w:pPr>
      <w:r>
        <w:rPr>
          <w:rStyle w:val="CommentReference"/>
        </w:rPr>
        <w:annotationRef/>
      </w:r>
      <w:r w:rsidRPr="00497E2D">
        <w:rPr>
          <w:rFonts w:ascii="Arial" w:eastAsia="Times New Roman" w:hAnsi="Arial"/>
          <w:color w:val="222222"/>
          <w:sz w:val="19"/>
          <w:szCs w:val="19"/>
          <w:shd w:val="clear" w:color="auto" w:fill="FFFFFF"/>
        </w:rPr>
        <w:t>‘</w:t>
      </w:r>
      <w:proofErr w:type="gramStart"/>
      <w:r w:rsidRPr="00497E2D">
        <w:rPr>
          <w:rFonts w:ascii="Arial" w:eastAsia="Times New Roman" w:hAnsi="Arial"/>
          <w:color w:val="222222"/>
          <w:sz w:val="19"/>
          <w:szCs w:val="19"/>
          <w:shd w:val="clear" w:color="auto" w:fill="FFFFFF"/>
        </w:rPr>
        <w:t>demonstrate</w:t>
      </w:r>
      <w:proofErr w:type="gramEnd"/>
      <w:r w:rsidRPr="00497E2D">
        <w:rPr>
          <w:rFonts w:ascii="Arial" w:eastAsia="Times New Roman" w:hAnsi="Arial"/>
          <w:color w:val="222222"/>
          <w:sz w:val="19"/>
          <w:szCs w:val="19"/>
          <w:shd w:val="clear" w:color="auto" w:fill="FFFFFF"/>
        </w:rPr>
        <w:t xml:space="preserve"> that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methodology can produce odd discontinuities at the extremes of a’</w:t>
      </w:r>
    </w:p>
    <w:p w14:paraId="60B0994E" w14:textId="77777777" w:rsidR="00BF7E2D" w:rsidRDefault="00BF7E2D" w:rsidP="006E084E">
      <w:pPr>
        <w:spacing w:after="120"/>
        <w:rPr>
          <w:rFonts w:ascii="Arial" w:eastAsia="Times New Roman" w:hAnsi="Arial"/>
          <w:color w:val="222222"/>
          <w:sz w:val="19"/>
          <w:szCs w:val="19"/>
          <w:shd w:val="clear" w:color="auto" w:fill="FFFFFF"/>
        </w:rPr>
      </w:pPr>
      <w:r w:rsidRPr="00497E2D">
        <w:rPr>
          <w:rFonts w:ascii="Arial" w:eastAsia="Times New Roman" w:hAnsi="Arial"/>
          <w:color w:val="222222"/>
          <w:sz w:val="19"/>
          <w:szCs w:val="19"/>
          <w:shd w:val="clear" w:color="auto" w:fill="FFFFFF"/>
        </w:rPr>
        <w:t>Perhaps replace by ‘show’ and ‘default settings’ rather than ‘methodology’</w:t>
      </w:r>
    </w:p>
    <w:p w14:paraId="576BBC41" w14:textId="065E8166" w:rsidR="00BF7E2D" w:rsidRDefault="00BF7E2D" w:rsidP="006E084E">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Good point.  I used “computer-generated maps” rather than “default settings” as I think it still provides a good distinction between the expert-reviewed maps from the computer-generated maps, without getting into the weeds on how the models are parameterized, adjusted, etc.  A small proportion of the maps I used in my discontinuity analysis (25 out of 3577) were expert reviewed, displaying a very subtle version of these discontinuities.</w:t>
      </w:r>
    </w:p>
    <w:p w14:paraId="64754074" w14:textId="0136A126" w:rsidR="00BF7E2D" w:rsidRDefault="00BF7E2D">
      <w:pPr>
        <w:pStyle w:val="CommentText"/>
      </w:pPr>
    </w:p>
  </w:comment>
  <w:comment w:id="7" w:author="Casey O'Hara" w:date="2016-12-21T11:14:00Z" w:initials="CO">
    <w:p w14:paraId="0097E010" w14:textId="27EC66E4" w:rsidR="00BF7E2D" w:rsidRDefault="00BF7E2D">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add</w:t>
      </w:r>
      <w:proofErr w:type="gramEnd"/>
      <w:r w:rsidRPr="00497E2D">
        <w:rPr>
          <w:rFonts w:ascii="Arial" w:eastAsia="Times New Roman" w:hAnsi="Arial"/>
          <w:color w:val="222222"/>
          <w:sz w:val="19"/>
          <w:szCs w:val="19"/>
          <w:shd w:val="clear" w:color="auto" w:fill="FFFFFF"/>
        </w:rPr>
        <w:t xml:space="preserve"> ‘supplemented by expert knowledge’</w:t>
      </w:r>
    </w:p>
    <w:p w14:paraId="3D7B6CC3" w14:textId="46A710E2" w:rsidR="00BF7E2D" w:rsidRDefault="00BF7E2D">
      <w:pPr>
        <w:pStyle w:val="CommentText"/>
      </w:pPr>
      <w:r>
        <w:rPr>
          <w:rFonts w:ascii="Arial" w:eastAsia="Times New Roman" w:hAnsi="Arial"/>
          <w:color w:val="222222"/>
          <w:sz w:val="19"/>
          <w:szCs w:val="19"/>
          <w:shd w:val="clear" w:color="auto" w:fill="FFFFFF"/>
        </w:rPr>
        <w:t xml:space="preserve">RESPONSE: Because fewer than 6% of the total maps are expert-reviewed, this seems misleading unless further qualifications are included.  Later in the paper, the expert review is addressed in more detail.  Framing it here as relying “primarily” on model predictions I think hedges the statement adequately, so no one will be misled into thinking the maps are </w:t>
      </w:r>
      <w:r w:rsidRPr="008A27B9">
        <w:rPr>
          <w:rFonts w:ascii="Arial" w:eastAsia="Times New Roman" w:hAnsi="Arial"/>
          <w:b/>
          <w:bCs/>
          <w:color w:val="222222"/>
          <w:sz w:val="19"/>
          <w:szCs w:val="19"/>
          <w:shd w:val="clear" w:color="auto" w:fill="FFFFFF"/>
        </w:rPr>
        <w:t>only</w:t>
      </w:r>
      <w:r>
        <w:rPr>
          <w:rFonts w:ascii="Arial" w:eastAsia="Times New Roman" w:hAnsi="Arial"/>
          <w:color w:val="222222"/>
          <w:sz w:val="19"/>
          <w:szCs w:val="19"/>
          <w:shd w:val="clear" w:color="auto" w:fill="FFFFFF"/>
        </w:rPr>
        <w:t xml:space="preserve"> based on model predictions.</w:t>
      </w:r>
    </w:p>
  </w:comment>
  <w:comment w:id="8" w:author="Casey O'Hara" w:date="2016-12-20T13:34:00Z" w:initials="CO">
    <w:p w14:paraId="3D47E034" w14:textId="28307774" w:rsidR="00BF7E2D" w:rsidRDefault="00BF7E2D">
      <w:pPr>
        <w:pStyle w:val="CommentText"/>
      </w:pPr>
      <w:r>
        <w:rPr>
          <w:rStyle w:val="CommentReference"/>
        </w:rPr>
        <w:annotationRef/>
      </w:r>
      <w:r>
        <w:t>Is this still true?</w:t>
      </w:r>
    </w:p>
  </w:comment>
  <w:comment w:id="9" w:author="Casey O'Hara" w:date="2016-12-20T13:42:00Z" w:initials="CO">
    <w:p w14:paraId="548895E0" w14:textId="61B8D5AC" w:rsidR="00BF7E2D" w:rsidRDefault="00BF7E2D">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hundreds</w:t>
      </w:r>
      <w:proofErr w:type="gramEnd"/>
      <w:r w:rsidRPr="00497E2D">
        <w:rPr>
          <w:rFonts w:ascii="Arial" w:eastAsia="Times New Roman" w:hAnsi="Arial"/>
          <w:color w:val="222222"/>
          <w:sz w:val="19"/>
          <w:szCs w:val="19"/>
          <w:shd w:val="clear" w:color="auto" w:fill="FFFFFF"/>
        </w:rPr>
        <w:t xml:space="preserve"> of studies might be an exaggeration?</w:t>
      </w:r>
    </w:p>
    <w:p w14:paraId="2C233414" w14:textId="3A957A7B" w:rsidR="00BF7E2D" w:rsidRDefault="00BF7E2D">
      <w:pPr>
        <w:pStyle w:val="CommentText"/>
      </w:pPr>
      <w:r>
        <w:rPr>
          <w:rFonts w:ascii="Arial" w:eastAsia="Times New Roman" w:hAnsi="Arial"/>
          <w:color w:val="222222"/>
          <w:sz w:val="19"/>
          <w:szCs w:val="19"/>
          <w:shd w:val="clear" w:color="auto" w:fill="FFFFFF"/>
        </w:rPr>
        <w:t>RESPONSE: IUCN Red List publications collectively have publications in the thousands, though it is unclear how many of those citations refer directly to the spatial data.</w:t>
      </w:r>
    </w:p>
  </w:comment>
  <w:comment w:id="14" w:author="Casey O'Hara" w:date="2016-12-20T11:50:00Z" w:initials="CO">
    <w:p w14:paraId="53BFA216" w14:textId="22A686B7" w:rsidR="00BF7E2D" w:rsidRDefault="00BF7E2D">
      <w:pPr>
        <w:pStyle w:val="CommentText"/>
      </w:pPr>
      <w:r>
        <w:rPr>
          <w:rStyle w:val="CommentReference"/>
        </w:rPr>
        <w:annotationRef/>
      </w:r>
      <w:proofErr w:type="gramStart"/>
      <w:r w:rsidRPr="00497E2D">
        <w:rPr>
          <w:rFonts w:ascii="Arial" w:eastAsia="Times New Roman" w:hAnsi="Arial"/>
          <w:color w:val="222222"/>
          <w:sz w:val="19"/>
          <w:szCs w:val="19"/>
          <w:shd w:val="clear" w:color="auto" w:fill="FFFFFF"/>
        </w:rPr>
        <w:t>as</w:t>
      </w:r>
      <w:proofErr w:type="gramEnd"/>
      <w:r w:rsidRPr="00497E2D">
        <w:rPr>
          <w:rFonts w:ascii="Arial" w:eastAsia="Times New Roman" w:hAnsi="Arial"/>
          <w:color w:val="222222"/>
          <w:sz w:val="19"/>
          <w:szCs w:val="19"/>
          <w:shd w:val="clear" w:color="auto" w:fill="FFFFFF"/>
        </w:rPr>
        <w:t xml:space="preserve"> indicated above actually AQ maximum range extent, by definition, would generally correspond to Extent of occurrence. Based on validation analysis, area of occupancy would be better described using a probability threshold of 0.6</w:t>
      </w:r>
    </w:p>
  </w:comment>
  <w:comment w:id="31" w:author="Casey O'Hara" w:date="2016-12-21T09:17:00Z" w:initials="CO">
    <w:p w14:paraId="1BE07B4D" w14:textId="690B8FC8" w:rsidR="00BF7E2D" w:rsidRDefault="00BF7E2D">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actually</w:t>
      </w:r>
      <w:proofErr w:type="gramEnd"/>
      <w:r w:rsidRPr="00497E2D">
        <w:rPr>
          <w:rFonts w:ascii="Arial" w:eastAsia="Times New Roman" w:hAnsi="Arial"/>
          <w:color w:val="222222"/>
          <w:sz w:val="19"/>
          <w:szCs w:val="19"/>
          <w:shd w:val="clear" w:color="auto" w:fill="FFFFFF"/>
        </w:rPr>
        <w:t xml:space="preserve">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r>
        <w:rPr>
          <w:rFonts w:ascii="Arial" w:eastAsia="Times New Roman" w:hAnsi="Arial"/>
          <w:color w:val="222222"/>
          <w:sz w:val="19"/>
          <w:szCs w:val="19"/>
          <w:shd w:val="clear" w:color="auto" w:fill="FFFFFF"/>
        </w:rPr>
        <w:t>.</w:t>
      </w:r>
    </w:p>
    <w:p w14:paraId="0956FBEE" w14:textId="32931186" w:rsidR="00BF7E2D" w:rsidRDefault="00BF7E2D">
      <w:pPr>
        <w:pStyle w:val="CommentText"/>
      </w:pPr>
      <w:r>
        <w:rPr>
          <w:rFonts w:ascii="Arial" w:eastAsia="Times New Roman" w:hAnsi="Arial"/>
          <w:color w:val="222222"/>
          <w:sz w:val="19"/>
          <w:szCs w:val="19"/>
          <w:shd w:val="clear" w:color="auto" w:fill="FFFFFF"/>
        </w:rPr>
        <w:t>RESPONSE: The newer materials do not mention this in the main text, though they include a “more info” note that allows (but doesn’t require) this, stating “a buffer of this size is not essential because the Red List website’s map browser allows users to zoom close into the maps). Unfortunately, older maps, and some newer maps going forward (since it’s optional, many experts will likely continue to add the buffer), will continue to include this buffer.  I have added a note to the previous paragraph.</w:t>
      </w:r>
    </w:p>
  </w:comment>
  <w:comment w:id="38" w:author="Casey O'Hara" w:date="2016-12-20T16:05:00Z" w:initials="CO">
    <w:p w14:paraId="256140FC" w14:textId="628DBE8C" w:rsidR="00BF7E2D" w:rsidRDefault="00BF7E2D">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this</w:t>
      </w:r>
      <w:proofErr w:type="gramEnd"/>
      <w:r w:rsidRPr="00497E2D">
        <w:rPr>
          <w:rFonts w:ascii="Arial" w:eastAsia="Times New Roman" w:hAnsi="Arial"/>
          <w:color w:val="222222"/>
          <w:sz w:val="19"/>
          <w:szCs w:val="19"/>
          <w:shd w:val="clear" w:color="auto" w:fill="FFFFFF"/>
        </w:rPr>
        <w:t xml:space="preserve"> is what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already does!!!!</w:t>
      </w:r>
    </w:p>
    <w:p w14:paraId="75B3177E" w14:textId="510EA59F" w:rsidR="00BF7E2D" w:rsidRDefault="00BF7E2D">
      <w:pPr>
        <w:pStyle w:val="CommentText"/>
      </w:pPr>
      <w:r>
        <w:rPr>
          <w:rFonts w:ascii="Arial" w:eastAsia="Times New Roman" w:hAnsi="Arial"/>
          <w:color w:val="222222"/>
          <w:sz w:val="19"/>
          <w:szCs w:val="19"/>
          <w:shd w:val="clear" w:color="auto" w:fill="FFFFFF"/>
        </w:rPr>
        <w:t xml:space="preserve">RESPONSE: This paragraph is focusing on IUCN maps, and omitting a comparison to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was not meant to leave the impression that no one does this.  That said, a mention of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here reinforces the idea that the two data providers could benefit from each other.</w:t>
      </w:r>
    </w:p>
  </w:comment>
  <w:comment w:id="45" w:author="Casey O'Hara" w:date="2016-12-21T11:12:00Z" w:initials="CO">
    <w:p w14:paraId="5C694F1B" w14:textId="77777777" w:rsidR="00BF7E2D" w:rsidRDefault="00BF7E2D">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interesting</w:t>
      </w:r>
      <w:proofErr w:type="gramEnd"/>
      <w:r w:rsidRPr="00497E2D">
        <w:rPr>
          <w:rFonts w:ascii="Arial" w:eastAsia="Times New Roman" w:hAnsi="Arial"/>
          <w:color w:val="222222"/>
          <w:sz w:val="19"/>
          <w:szCs w:val="19"/>
          <w:shd w:val="clear" w:color="auto" w:fill="FFFFFF"/>
        </w:rPr>
        <w:t xml:space="preserve"> metric, however, extrapolation in environmental space maybe better metric</w:t>
      </w:r>
    </w:p>
    <w:p w14:paraId="19BFE3E5" w14:textId="6B976473" w:rsidR="00BF7E2D" w:rsidRDefault="00BF7E2D">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RESPONSE: Running the same analysis but measuring the “environmental space” of a cell as product of its geographic area and its suitability (probability of occurrence), I saw a very similar pattern to the </w:t>
      </w:r>
      <w:proofErr w:type="spellStart"/>
      <w:r>
        <w:rPr>
          <w:rFonts w:ascii="Arial" w:eastAsia="Times New Roman" w:hAnsi="Arial"/>
          <w:color w:val="222222"/>
          <w:sz w:val="19"/>
          <w:szCs w:val="19"/>
          <w:shd w:val="clear" w:color="auto" w:fill="FFFFFF"/>
        </w:rPr>
        <w:t>unweighted</w:t>
      </w:r>
      <w:proofErr w:type="spellEnd"/>
      <w:r>
        <w:rPr>
          <w:rFonts w:ascii="Arial" w:eastAsia="Times New Roman" w:hAnsi="Arial"/>
          <w:color w:val="222222"/>
          <w:sz w:val="19"/>
          <w:szCs w:val="19"/>
          <w:shd w:val="clear" w:color="auto" w:fill="FFFFFF"/>
        </w:rPr>
        <w:t xml:space="preserve"> results when examining the full species list (for these two sample species, 29,000 km^2 of suitability-weighted area per </w:t>
      </w:r>
      <w:proofErr w:type="spellStart"/>
      <w:r>
        <w:rPr>
          <w:rFonts w:ascii="Arial" w:eastAsia="Times New Roman" w:hAnsi="Arial"/>
          <w:color w:val="222222"/>
          <w:sz w:val="19"/>
          <w:szCs w:val="19"/>
          <w:shd w:val="clear" w:color="auto" w:fill="FFFFFF"/>
        </w:rPr>
        <w:t>occurcell</w:t>
      </w:r>
      <w:proofErr w:type="spellEnd"/>
      <w:r>
        <w:rPr>
          <w:rFonts w:ascii="Arial" w:eastAsia="Times New Roman" w:hAnsi="Arial"/>
          <w:color w:val="222222"/>
          <w:sz w:val="19"/>
          <w:szCs w:val="19"/>
          <w:shd w:val="clear" w:color="auto" w:fill="FFFFFF"/>
        </w:rPr>
        <w:t xml:space="preserve">, </w:t>
      </w:r>
      <w:proofErr w:type="spellStart"/>
      <w:r>
        <w:rPr>
          <w:rFonts w:ascii="Arial" w:eastAsia="Times New Roman" w:hAnsi="Arial"/>
          <w:color w:val="222222"/>
          <w:sz w:val="19"/>
          <w:szCs w:val="19"/>
          <w:shd w:val="clear" w:color="auto" w:fill="FFFFFF"/>
        </w:rPr>
        <w:t>vs</w:t>
      </w:r>
      <w:proofErr w:type="spellEnd"/>
      <w:r>
        <w:rPr>
          <w:rFonts w:ascii="Arial" w:eastAsia="Times New Roman" w:hAnsi="Arial"/>
          <w:color w:val="222222"/>
          <w:sz w:val="19"/>
          <w:szCs w:val="19"/>
          <w:shd w:val="clear" w:color="auto" w:fill="FFFFFF"/>
        </w:rPr>
        <w:t xml:space="preserve"> 763,000 km^2 of suitability-weighted area per </w:t>
      </w:r>
      <w:proofErr w:type="spellStart"/>
      <w:r>
        <w:rPr>
          <w:rFonts w:ascii="Arial" w:eastAsia="Times New Roman" w:hAnsi="Arial"/>
          <w:color w:val="222222"/>
          <w:sz w:val="19"/>
          <w:szCs w:val="19"/>
          <w:shd w:val="clear" w:color="auto" w:fill="FFFFFF"/>
        </w:rPr>
        <w:t>occurcell</w:t>
      </w:r>
      <w:proofErr w:type="spellEnd"/>
      <w:r>
        <w:rPr>
          <w:rFonts w:ascii="Arial" w:eastAsia="Times New Roman" w:hAnsi="Arial"/>
          <w:color w:val="222222"/>
          <w:sz w:val="19"/>
          <w:szCs w:val="19"/>
          <w:shd w:val="clear" w:color="auto" w:fill="FFFFFF"/>
        </w:rPr>
        <w:t xml:space="preserve">).  If the probability of occurrence included some aspect of uncertainty due to extrapolation from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xml:space="preserve">, then we’d probably see that the environmental space analysis would reduce the extrapolation rate for species with fewer </w:t>
      </w:r>
      <w:proofErr w:type="spellStart"/>
      <w:r>
        <w:rPr>
          <w:rFonts w:ascii="Arial" w:eastAsia="Times New Roman" w:hAnsi="Arial"/>
          <w:color w:val="222222"/>
          <w:sz w:val="19"/>
          <w:szCs w:val="19"/>
          <w:shd w:val="clear" w:color="auto" w:fill="FFFFFF"/>
        </w:rPr>
        <w:t>occurcells</w:t>
      </w:r>
      <w:proofErr w:type="spellEnd"/>
      <w:r>
        <w:rPr>
          <w:rFonts w:ascii="Arial" w:eastAsia="Times New Roman" w:hAnsi="Arial"/>
          <w:color w:val="222222"/>
          <w:sz w:val="19"/>
          <w:szCs w:val="19"/>
          <w:shd w:val="clear" w:color="auto" w:fill="FFFFFF"/>
        </w:rPr>
        <w:t>.  But this does not seem to be the case, so the environmental space analysis doesn’t seem to provide additional insights.</w:t>
      </w:r>
    </w:p>
    <w:p w14:paraId="19F7939E" w14:textId="26288C5E" w:rsidR="00BF7E2D" w:rsidRDefault="00BF7E2D">
      <w:pPr>
        <w:pStyle w:val="CommentText"/>
      </w:pPr>
      <w:r>
        <w:rPr>
          <w:rFonts w:ascii="Arial" w:eastAsia="Times New Roman" w:hAnsi="Arial"/>
          <w:color w:val="222222"/>
          <w:sz w:val="19"/>
          <w:szCs w:val="19"/>
          <w:shd w:val="clear" w:color="auto" w:fill="FFFFFF"/>
        </w:rPr>
        <w:t xml:space="preserve">Since the </w:t>
      </w:r>
      <w:proofErr w:type="spellStart"/>
      <w:r>
        <w:rPr>
          <w:rFonts w:ascii="Arial" w:eastAsia="Times New Roman" w:hAnsi="Arial"/>
          <w:color w:val="222222"/>
          <w:sz w:val="19"/>
          <w:szCs w:val="19"/>
          <w:shd w:val="clear" w:color="auto" w:fill="FFFFFF"/>
        </w:rPr>
        <w:t>unweighted</w:t>
      </w:r>
      <w:proofErr w:type="spellEnd"/>
      <w:r>
        <w:rPr>
          <w:rFonts w:ascii="Arial" w:eastAsia="Times New Roman" w:hAnsi="Arial"/>
          <w:color w:val="222222"/>
          <w:sz w:val="19"/>
          <w:szCs w:val="19"/>
          <w:shd w:val="clear" w:color="auto" w:fill="FFFFFF"/>
        </w:rPr>
        <w:t xml:space="preserve"> analysis gives the qualitatively same result, and I believe is easier to explain succinctly, I think it is acceptable leave it as 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BF7E2D" w:rsidRDefault="00BF7E2D" w:rsidP="00CE57C9">
      <w:r>
        <w:separator/>
      </w:r>
    </w:p>
  </w:endnote>
  <w:endnote w:type="continuationSeparator" w:id="0">
    <w:p w14:paraId="2C0C17FC" w14:textId="77777777" w:rsidR="00BF7E2D" w:rsidRDefault="00BF7E2D"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BF7E2D" w:rsidRDefault="00BF7E2D" w:rsidP="00CE57C9">
      <w:r>
        <w:separator/>
      </w:r>
    </w:p>
  </w:footnote>
  <w:footnote w:type="continuationSeparator" w:id="0">
    <w:p w14:paraId="07320A6A" w14:textId="77777777" w:rsidR="00BF7E2D" w:rsidRDefault="00BF7E2D"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6C23"/>
    <w:rsid w:val="00111C54"/>
    <w:rsid w:val="00146FDE"/>
    <w:rsid w:val="00261511"/>
    <w:rsid w:val="002800C2"/>
    <w:rsid w:val="002C369E"/>
    <w:rsid w:val="00372745"/>
    <w:rsid w:val="004617A7"/>
    <w:rsid w:val="004C1D92"/>
    <w:rsid w:val="004D1E3D"/>
    <w:rsid w:val="004D337C"/>
    <w:rsid w:val="004D4CA6"/>
    <w:rsid w:val="004E29B3"/>
    <w:rsid w:val="00590D07"/>
    <w:rsid w:val="005C5E7F"/>
    <w:rsid w:val="00620F12"/>
    <w:rsid w:val="0065569A"/>
    <w:rsid w:val="006653DC"/>
    <w:rsid w:val="00665454"/>
    <w:rsid w:val="006E084E"/>
    <w:rsid w:val="0073517E"/>
    <w:rsid w:val="00784D58"/>
    <w:rsid w:val="007B1747"/>
    <w:rsid w:val="008A27B9"/>
    <w:rsid w:val="008D6863"/>
    <w:rsid w:val="00901DAD"/>
    <w:rsid w:val="009C4999"/>
    <w:rsid w:val="00A72977"/>
    <w:rsid w:val="00B2727D"/>
    <w:rsid w:val="00B86B75"/>
    <w:rsid w:val="00BB7055"/>
    <w:rsid w:val="00BC48D5"/>
    <w:rsid w:val="00BF09DA"/>
    <w:rsid w:val="00BF7E2D"/>
    <w:rsid w:val="00C22006"/>
    <w:rsid w:val="00C234B7"/>
    <w:rsid w:val="00C24445"/>
    <w:rsid w:val="00C36279"/>
    <w:rsid w:val="00C50F30"/>
    <w:rsid w:val="00CE57C9"/>
    <w:rsid w:val="00D047CF"/>
    <w:rsid w:val="00D341A5"/>
    <w:rsid w:val="00D62B15"/>
    <w:rsid w:val="00D66E0D"/>
    <w:rsid w:val="00DD395D"/>
    <w:rsid w:val="00E17FE7"/>
    <w:rsid w:val="00E315A3"/>
    <w:rsid w:val="00E63DDD"/>
    <w:rsid w:val="00EB7542"/>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371/journal.pone.0019653" TargetMode="External"/><Relationship Id="rId21" Type="http://schemas.openxmlformats.org/officeDocument/2006/relationships/hyperlink" Target="https://doi.org/10.1038/nclimate2769" TargetMode="External"/><Relationship Id="rId22" Type="http://schemas.openxmlformats.org/officeDocument/2006/relationships/hyperlink" Target="https://doi.org/10.1038/srep17539" TargetMode="External"/><Relationship Id="rId23" Type="http://schemas.openxmlformats.org/officeDocument/2006/relationships/hyperlink" Target="http://www.vliz.be/imisdocs/publications/100462.pdf" TargetMode="External"/><Relationship Id="rId24" Type="http://schemas.openxmlformats.org/officeDocument/2006/relationships/hyperlink" Target="https://doi.org/10.1016/j.ecolmodel.2009.10.025" TargetMode="External"/><Relationship Id="rId25" Type="http://schemas.openxmlformats.org/officeDocument/2006/relationships/hyperlink" Target="http://f1000research.com/articles/2-191/v2" TargetMode="External"/><Relationship Id="rId26" Type="http://schemas.openxmlformats.org/officeDocument/2006/relationships/hyperlink" Target="https://www.R-project.org" TargetMode="External"/><Relationship Id="rId27" Type="http://schemas.openxmlformats.org/officeDocument/2006/relationships/hyperlink" Target="www.protectedplanet.net"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30" Type="http://schemas.openxmlformats.org/officeDocument/2006/relationships/hyperlink" Target="https://bioscience.oxfordjournals.org/content/57/7/573.ful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github.com/OHI-Science/IUCN-AquaMaps" TargetMode="External"/><Relationship Id="rId12" Type="http://schemas.openxmlformats.org/officeDocument/2006/relationships/hyperlink" Target="www.aquamaps.org" TargetMode="External"/><Relationship Id="rId13" Type="http://schemas.openxmlformats.org/officeDocument/2006/relationships/hyperlink" Target="http://www.iucnredlist.org" TargetMode="External"/><Relationship Id="rId14" Type="http://schemas.openxmlformats.org/officeDocument/2006/relationships/hyperlink" Target="https://doi.org/10.1111/j.1365-2664.2008.01596.x" TargetMode="External"/><Relationship Id="rId15" Type="http://schemas.openxmlformats.org/officeDocument/2006/relationships/hyperlink" Target="https://doi.org/10.1038/nature11397" TargetMode="External"/><Relationship Id="rId16" Type="http://schemas.openxmlformats.org/officeDocument/2006/relationships/hyperlink" Target="https://doi.org/10.1371/journal.pone.0117863" TargetMode="External"/><Relationship Id="rId17" Type="http://schemas.openxmlformats.org/officeDocument/2006/relationships/hyperlink" Target="https://doi.org/10.1371/journal.pone.0060284" TargetMode="External"/><Relationship Id="rId18" Type="http://schemas.openxmlformats.org/officeDocument/2006/relationships/hyperlink" Target="https://doi.org/10.1371/journal.pone.0011842" TargetMode="External"/><Relationship Id="rId19" Type="http://schemas.openxmlformats.org/officeDocument/2006/relationships/hyperlink" Target="https://doi.org/10.1126/science.124675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1C06C-1797-824E-8193-FBD5F8A2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Pages>
  <Words>6531</Words>
  <Characters>37227</Characters>
  <Application>Microsoft Macintosh Word</Application>
  <DocSecurity>0</DocSecurity>
  <Lines>310</Lines>
  <Paragraphs>87</Paragraphs>
  <ScaleCrop>false</ScaleCrop>
  <Company/>
  <LinksUpToDate>false</LinksUpToDate>
  <CharactersWithSpaces>43671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 O'Hara</cp:lastModifiedBy>
  <cp:revision>5</cp:revision>
  <dcterms:created xsi:type="dcterms:W3CDTF">2016-12-20T17:29:00Z</dcterms:created>
  <dcterms:modified xsi:type="dcterms:W3CDTF">2016-12-27T01:06:00Z</dcterms:modified>
</cp:coreProperties>
</file>