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4.png" ContentType="image/png"/>
  <Override PartName="/word/media/rId26.png" ContentType="image/png"/>
  <Override PartName="/word/media/rId22.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p>
    <w:p>
      <w:pPr>
        <w:pStyle w:val="Heading2"/>
      </w:pPr>
      <w:bookmarkStart w:id="21" w:name="s1-sample-maps-from-each-quadrant"/>
      <w:bookmarkEnd w:id="21"/>
      <w:r>
        <w:t xml:space="preserve">S1: sample maps from each quadrant</w:t>
      </w:r>
    </w:p>
    <w:p>
      <w:pPr>
        <w:pStyle w:val="FirstParagraph"/>
      </w:pPr>
      <w:r>
        <w:drawing>
          <wp:inline>
            <wp:extent cx="5334000" cy="2993787"/>
            <wp:effectExtent b="0" l="0" r="0" t="0"/>
            <wp:docPr descr="" id="1" name="Picture"/>
            <a:graphic>
              <a:graphicData uri="http://schemas.openxmlformats.org/drawingml/2006/picture">
                <pic:pic>
                  <pic:nvPicPr>
                    <pic:cNvPr descr="figures/si_four_maps.png" id="0" name="Picture"/>
                    <pic:cNvPicPr>
                      <a:picLocks noChangeArrowheads="1" noChangeAspect="1"/>
                    </pic:cNvPicPr>
                  </pic:nvPicPr>
                  <pic:blipFill>
                    <a:blip r:embed="rId22"/>
                    <a:stretch>
                      <a:fillRect/>
                    </a:stretch>
                  </pic:blipFill>
                  <pic:spPr bwMode="auto">
                    <a:xfrm>
                      <a:off x="0" y="0"/>
                      <a:ext cx="5334000" cy="2993787"/>
                    </a:xfrm>
                    <a:prstGeom prst="rect">
                      <a:avLst/>
                    </a:prstGeom>
                    <a:noFill/>
                    <a:ln w="9525">
                      <a:noFill/>
                      <a:headEnd/>
                      <a:tailEnd/>
                    </a:ln>
                  </pic:spPr>
                </pic:pic>
              </a:graphicData>
            </a:graphic>
          </wp:inline>
        </w:drawing>
      </w:r>
    </w:p>
    <w:p>
      <w:pPr>
        <w:pStyle w:val="BlockText"/>
      </w:pPr>
      <w:r>
        <w:rPr>
          <w:b/>
        </w:rPr>
        <w:t xml:space="preserve">Fig. S1.</w:t>
      </w:r>
      <w:r>
        <w:t xml:space="preserve"> </w:t>
      </w:r>
      <w:r>
        <w:t xml:space="preserve">Representative species maps to illustrate each quadrant from Fig. 2A. Note that A-D are arranged to match quadrants in Fig. 2A. (A: well-matched) Kajikia albida (B: distribution-matched) Conus episcopatus (C: area-matched) Conus magnificus (D: poorly-matched) Acanthurus nigroris</w:t>
      </w:r>
    </w:p>
    <w:p>
      <w:pPr>
        <w:pStyle w:val="Heading2"/>
      </w:pPr>
      <w:bookmarkStart w:id="23" w:name="s2-risk-by-quadrant"/>
      <w:bookmarkEnd w:id="23"/>
      <w:r>
        <w:t xml:space="preserve">S2: Risk by quadrant</w:t>
      </w:r>
    </w:p>
    <w:p>
      <w:pPr>
        <w:pStyle w:val="FirstParagraph"/>
      </w:pPr>
    </w:p>
    <w:p>
      <w:pPr>
        <w:pStyle w:val="BodyText"/>
      </w:pPr>
      <w:r>
        <w:drawing>
          <wp:inline>
            <wp:extent cx="5334000" cy="1338771"/>
            <wp:effectExtent b="0" l="0" r="0" t="0"/>
            <wp:docPr descr="" id="1" name="Picture"/>
            <a:graphic>
              <a:graphicData uri="http://schemas.openxmlformats.org/drawingml/2006/picture">
                <pic:pic>
                  <pic:nvPicPr>
                    <pic:cNvPr descr="figures/si_barchart_spp_risk_quads.png" id="0" name="Picture"/>
                    <pic:cNvPicPr>
                      <a:picLocks noChangeArrowheads="1" noChangeAspect="1"/>
                    </pic:cNvPicPr>
                  </pic:nvPicPr>
                  <pic:blipFill>
                    <a:blip r:embed="rId24"/>
                    <a:stretch>
                      <a:fillRect/>
                    </a:stretch>
                  </pic:blipFill>
                  <pic:spPr bwMode="auto">
                    <a:xfrm>
                      <a:off x="0" y="0"/>
                      <a:ext cx="5334000" cy="1338771"/>
                    </a:xfrm>
                    <a:prstGeom prst="rect">
                      <a:avLst/>
                    </a:prstGeom>
                    <a:noFill/>
                    <a:ln w="9525">
                      <a:noFill/>
                      <a:headEnd/>
                      <a:tailEnd/>
                    </a:ln>
                  </pic:spPr>
                </pic:pic>
              </a:graphicData>
            </a:graphic>
          </wp:inline>
        </w:drawing>
      </w:r>
    </w:p>
    <w:p>
      <w:pPr>
        <w:pStyle w:val="BlockText"/>
      </w:pPr>
      <w:r>
        <w:rPr>
          <w:b/>
        </w:rPr>
        <w:t xml:space="preserve">Fig. S2.</w:t>
      </w:r>
      <w:r>
        <w:t xml:space="preserve"> </w:t>
      </w:r>
      <w:r>
        <w:t xml:space="preserve">Breaking down the quadrants by IUCN extinction risk categories (Fig. S2), we found little support for our hypothesis that maps for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pPr>
        <w:pStyle w:val="Heading3"/>
      </w:pPr>
      <w:bookmarkStart w:id="25" w:name="s3-coral-depth-map"/>
      <w:bookmarkEnd w:id="25"/>
      <w:r>
        <w:t xml:space="preserve">S3: Coral depth map</w:t>
      </w:r>
    </w:p>
    <w:p>
      <w:pPr>
        <w:pStyle w:val="FirstParagraph"/>
      </w:pPr>
    </w:p>
    <w:p>
      <w:pPr>
        <w:pStyle w:val="BodyText"/>
      </w:pPr>
      <w:r>
        <w:drawing>
          <wp:inline>
            <wp:extent cx="4102100" cy="2667000"/>
            <wp:effectExtent b="0" l="0" r="0" t="0"/>
            <wp:docPr descr="" id="1" name="Picture"/>
            <a:graphic>
              <a:graphicData uri="http://schemas.openxmlformats.org/drawingml/2006/picture">
                <pic:pic>
                  <pic:nvPicPr>
                    <pic:cNvPr descr="figures/si_coralmap.png" id="0" name="Picture"/>
                    <pic:cNvPicPr>
                      <a:picLocks noChangeArrowheads="1" noChangeAspect="1"/>
                    </pic:cNvPicPr>
                  </pic:nvPicPr>
                  <pic:blipFill>
                    <a:blip r:embed="rId26"/>
                    <a:stretch>
                      <a:fillRect/>
                    </a:stretch>
                  </pic:blipFill>
                  <pic:spPr bwMode="auto">
                    <a:xfrm>
                      <a:off x="0" y="0"/>
                      <a:ext cx="4102100" cy="2667000"/>
                    </a:xfrm>
                    <a:prstGeom prst="rect">
                      <a:avLst/>
                    </a:prstGeom>
                    <a:noFill/>
                    <a:ln w="9525">
                      <a:noFill/>
                      <a:headEnd/>
                      <a:tailEnd/>
                    </a:ln>
                  </pic:spPr>
                </pic:pic>
              </a:graphicData>
            </a:graphic>
          </wp:inline>
        </w:drawing>
      </w:r>
    </w:p>
    <w:p>
      <w:pPr>
        <w:pStyle w:val="BlockText"/>
      </w:pPr>
      <w:r>
        <w:rPr>
          <w:b/>
        </w:rPr>
        <w:t xml:space="preserve">Fig. S3.</w:t>
      </w:r>
      <w:r>
        <w:t xml:space="preserve"> </w:t>
      </w:r>
      <w:r>
        <w:t xml:space="preserve">IUCN-defined range of</w:t>
      </w:r>
      <w:r>
        <w:t xml:space="preserve"> </w:t>
      </w:r>
      <w:r>
        <w:rPr>
          <w:i/>
        </w:rPr>
        <w:t xml:space="preserve">Oculina varicosa</w:t>
      </w:r>
      <w:r>
        <w:t xml:space="preserve">, a typical photosynthetic coral, plotted against a 200 m bathymetry contour. According to IUCN,</w:t>
      </w:r>
      <w:r>
        <w:t xml:space="preserve"> </w:t>
      </w:r>
      <w:r>
        <w:rPr>
          <w:i/>
        </w:rPr>
        <w:t xml:space="preserve">O. varicosa</w:t>
      </w:r>
      <w:r>
        <w:t xml:space="preserve"> </w:t>
      </w:r>
      <w:r>
        <w:t xml:space="preserve">can be found to depths of 152 m. In waters shallower than 30 m,</w:t>
      </w:r>
      <w:r>
        <w:t xml:space="preserve"> </w:t>
      </w:r>
      <w:r>
        <w:rPr>
          <w:i/>
        </w:rPr>
        <w:t xml:space="preserve">O. varicosa</w:t>
      </w:r>
      <w:r>
        <w:t xml:space="preserve"> </w:t>
      </w:r>
      <w:r>
        <w:t xml:space="preserve">is zooxanthellate, while an azooxanthellate form can be found in deeper waters.</w:t>
      </w:r>
    </w:p>
    <w:p>
      <w:pPr>
        <w:pStyle w:val="Heading3"/>
      </w:pPr>
      <w:bookmarkStart w:id="27" w:name="s4-aquamaps-threshold-examination"/>
      <w:bookmarkEnd w:id="27"/>
      <w:r>
        <w:t xml:space="preserve">S4: AquaMaps threshold examination</w:t>
      </w:r>
    </w:p>
    <w:p>
      <w:pPr>
        <w:pStyle w:val="FirstParagraph"/>
      </w:pPr>
    </w:p>
    <w:p>
      <w:pPr>
        <w:pStyle w:val="BodyText"/>
      </w:pPr>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A higher threshold constrains an analysis to cells with near certainty of occurrence, while a low threshold captures larger areas of increasingly marginal suitability.</w:t>
      </w:r>
    </w:p>
    <w:p>
      <w:pPr>
        <w:pStyle w:val="BodyText"/>
      </w:pPr>
      <w:r>
        <w:t xml:space="preserve">For our comparisons of global distribution of represented biodiversity and spatial alignment between datasets, we considered "present" to be any cell with a non-zero probability of occurrence, to best approximate the "limits of distribution" as indicated by IUCN maps. To examine the effect of different presence threshold selections on the represented range of a species, we varied the threshold from 0% to 100% and calculated the average species range relative to a zero threshold.</w:t>
      </w:r>
    </w:p>
    <w:p>
      <w:pPr>
        <w:numPr>
          <w:numId w:val="1001"/>
          <w:ilvl w:val="0"/>
        </w:numPr>
      </w:pPr>
      <w:r>
        <w:drawing>
          <wp:inline>
            <wp:extent cx="4114800" cy="2159000"/>
            <wp:effectExtent b="0" l="0" r="0" t="0"/>
            <wp:docPr descr="" id="1" name="Picture"/>
            <a:graphic>
              <a:graphicData uri="http://schemas.openxmlformats.org/drawingml/2006/picture">
                <pic:pic>
                  <pic:nvPicPr>
                    <pic:cNvPr descr="figures/si_am_threshold.png" id="0" name="Picture"/>
                    <pic:cNvPicPr>
                      <a:picLocks noChangeArrowheads="1" noChangeAspect="1"/>
                    </pic:cNvPicPr>
                  </pic:nvPicPr>
                  <pic:blipFill>
                    <a:blip r:embed="rId28"/>
                    <a:stretch>
                      <a:fillRect/>
                    </a:stretch>
                  </pic:blipFill>
                  <pic:spPr bwMode="auto">
                    <a:xfrm>
                      <a:off x="0" y="0"/>
                      <a:ext cx="4114800" cy="2159000"/>
                    </a:xfrm>
                    <a:prstGeom prst="rect">
                      <a:avLst/>
                    </a:prstGeom>
                    <a:noFill/>
                    <a:ln w="9525">
                      <a:noFill/>
                      <a:headEnd/>
                      <a:tailEnd/>
                    </a:ln>
                  </pic:spPr>
                </pic:pic>
              </a:graphicData>
            </a:graphic>
          </wp:inline>
        </w:drawing>
      </w:r>
    </w:p>
    <w:p>
      <w:pPr>
        <w:numPr>
          <w:numId w:val="1001"/>
          <w:ilvl w:val="0"/>
        </w:numPr>
      </w:pPr>
      <w:r>
        <w:drawing>
          <wp:inline>
            <wp:extent cx="4114800" cy="2159000"/>
            <wp:effectExtent b="0" l="0" r="0" t="0"/>
            <wp:docPr descr="" id="1" name="Picture"/>
            <a:graphic>
              <a:graphicData uri="http://schemas.openxmlformats.org/drawingml/2006/picture">
                <pic:pic>
                  <pic:nvPicPr>
                    <pic:cNvPr descr="figures/si_ribbon_am_threshold.png" id="0" name="Picture"/>
                    <pic:cNvPicPr>
                      <a:picLocks noChangeArrowheads="1" noChangeAspect="1"/>
                    </pic:cNvPicPr>
                  </pic:nvPicPr>
                  <pic:blipFill>
                    <a:blip r:embed="rId29"/>
                    <a:stretch>
                      <a:fillRect/>
                    </a:stretch>
                  </pic:blipFill>
                  <pic:spPr bwMode="auto">
                    <a:xfrm>
                      <a:off x="0" y="0"/>
                      <a:ext cx="4114800" cy="2159000"/>
                    </a:xfrm>
                    <a:prstGeom prst="rect">
                      <a:avLst/>
                    </a:prstGeom>
                    <a:noFill/>
                    <a:ln w="9525">
                      <a:noFill/>
                      <a:headEnd/>
                      <a:tailEnd/>
                    </a:ln>
                  </pic:spPr>
                </pic:pic>
              </a:graphicData>
            </a:graphic>
          </wp:inline>
        </w:drawing>
      </w:r>
    </w:p>
    <w:p>
      <w:pPr>
        <w:pStyle w:val="BlockText"/>
      </w:pPr>
      <w:r>
        <w:rPr>
          <w:b/>
        </w:rPr>
        <w:t xml:space="preserve">Fig. S4.</w:t>
      </w:r>
      <w:r>
        <w:t xml:space="preserve"> </w:t>
      </w:r>
      <w:r>
        <w:t xml:space="preserve">AquaMaps distribution map extent remaining after applying a presence threshold. (A) A 40% threshold applied to all species in the AquaMaps dataset shows a mean loss of 28% of total range,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23c26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811">
    <w:nsid w:val="4cc38f59"/>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
</cp:coreProperties>
</file>