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0AFB1" w14:textId="77777777" w:rsidR="00B45039" w:rsidRPr="00F244D2" w:rsidRDefault="00497E2D" w:rsidP="00F244D2">
      <w:pPr>
        <w:spacing w:after="120"/>
        <w:rPr>
          <w:rFonts w:ascii="Times" w:eastAsia="Times New Roman" w:hAnsi="Times" w:cs="Times New Roman"/>
          <w:b/>
          <w:sz w:val="20"/>
          <w:szCs w:val="20"/>
        </w:rPr>
      </w:pPr>
      <w:r w:rsidRPr="00F244D2">
        <w:rPr>
          <w:rFonts w:ascii="Arial" w:eastAsia="Times New Roman" w:hAnsi="Arial" w:cs="Times New Roman"/>
          <w:b/>
          <w:color w:val="222222"/>
          <w:sz w:val="19"/>
          <w:szCs w:val="19"/>
          <w:shd w:val="clear" w:color="auto" w:fill="FFFFFF"/>
        </w:rPr>
        <w:t>Reviewers' comments:</w:t>
      </w:r>
    </w:p>
    <w:p w14:paraId="7EA10C63"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Reviewer's Responses to Questions</w:t>
      </w:r>
    </w:p>
    <w:p w14:paraId="0365322C"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b/>
          <w:bCs/>
          <w:color w:val="000000"/>
          <w:sz w:val="19"/>
          <w:szCs w:val="19"/>
          <w:shd w:val="clear" w:color="auto" w:fill="FFFFFF"/>
        </w:rPr>
        <w:t>Comments to the Author</w:t>
      </w:r>
    </w:p>
    <w:p w14:paraId="5C426D5E"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1. Is the manuscript technically sound, and do the data support the conclusions?</w:t>
      </w:r>
    </w:p>
    <w:p w14:paraId="7B6A8F81"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42103855"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 #1: Partly</w:t>
      </w:r>
    </w:p>
    <w:p w14:paraId="034DE116" w14:textId="77777777" w:rsidR="00497E2D" w:rsidRPr="00B45039" w:rsidRDefault="00AE2C4B" w:rsidP="00F244D2">
      <w:pPr>
        <w:spacing w:after="120"/>
        <w:rPr>
          <w:rFonts w:ascii="Times" w:eastAsia="Times New Roman" w:hAnsi="Times" w:cs="Times New Roman"/>
          <w:sz w:val="20"/>
          <w:szCs w:val="20"/>
        </w:rPr>
      </w:pPr>
      <w:r>
        <w:pict w14:anchorId="43B7CB2A">
          <v:rect id="_x0000_i1025" style="width:0;height:1.5pt" o:hralign="center" o:hrstd="t" o:hrnoshade="t" o:hr="t" fillcolor="#222" stroked="f"/>
        </w:pict>
      </w:r>
    </w:p>
    <w:p w14:paraId="5DC0B20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2. Has the statistical analysis been performed appropriately and rigorously? </w:t>
      </w:r>
    </w:p>
    <w:p w14:paraId="447B8B3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5299B74B" w14:textId="77777777" w:rsidR="00497E2D" w:rsidRPr="00497E2D" w:rsidRDefault="00AE2C4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7CF9CFF0">
          <v:rect id="_x0000_i1026" style="width:0;height:1.5pt" o:hralign="center" o:hrstd="t" o:hrnoshade="t" o:hr="t" fillcolor="#222" stroked="f"/>
        </w:pict>
      </w:r>
    </w:p>
    <w:p w14:paraId="6E19960E"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3. Have the authors made all data underlying the findings in their manuscript fully available?</w:t>
      </w:r>
    </w:p>
    <w:p w14:paraId="669E80C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The </w:t>
      </w:r>
      <w:r w:rsidRPr="00497E2D">
        <w:rPr>
          <w:rFonts w:ascii="Arial" w:eastAsia="Times New Roman" w:hAnsi="Arial" w:cs="Times New Roman"/>
          <w:color w:val="000000"/>
          <w:sz w:val="19"/>
          <w:szCs w:val="19"/>
          <w:shd w:val="clear" w:color="auto" w:fill="FFFFFF"/>
        </w:rPr>
        <w:fldChar w:fldCharType="begin"/>
      </w:r>
      <w:r w:rsidRPr="00497E2D">
        <w:rPr>
          <w:rFonts w:ascii="Arial" w:eastAsia="Times New Roman" w:hAnsi="Arial" w:cs="Times New Roman"/>
          <w:color w:val="000000"/>
          <w:sz w:val="19"/>
          <w:szCs w:val="19"/>
          <w:shd w:val="clear" w:color="auto" w:fill="FFFFFF"/>
        </w:rPr>
        <w:instrText xml:space="preserve"> HYPERLINK "http://www.plosone.org/static/policies.action" \l "sharing" \t "_blank" </w:instrText>
      </w:r>
      <w:r w:rsidRPr="00497E2D">
        <w:rPr>
          <w:rFonts w:ascii="Arial" w:eastAsia="Times New Roman" w:hAnsi="Arial" w:cs="Times New Roman"/>
          <w:color w:val="000000"/>
          <w:sz w:val="19"/>
          <w:szCs w:val="19"/>
          <w:shd w:val="clear" w:color="auto" w:fill="FFFFFF"/>
        </w:rPr>
        <w:fldChar w:fldCharType="separate"/>
      </w:r>
      <w:r w:rsidRPr="00497E2D">
        <w:rPr>
          <w:rFonts w:ascii="Arial" w:eastAsia="Times New Roman" w:hAnsi="Arial" w:cs="Times New Roman"/>
          <w:color w:val="1155CC"/>
          <w:sz w:val="19"/>
          <w:szCs w:val="19"/>
          <w:u w:val="single"/>
          <w:shd w:val="clear" w:color="auto" w:fill="FFFFFF"/>
        </w:rPr>
        <w:t>PLOS Data policy</w:t>
      </w:r>
      <w:r w:rsidRPr="00497E2D">
        <w:rPr>
          <w:rFonts w:ascii="Arial" w:eastAsia="Times New Roman" w:hAnsi="Arial" w:cs="Times New Roman"/>
          <w:color w:val="000000"/>
          <w:sz w:val="19"/>
          <w:szCs w:val="19"/>
          <w:shd w:val="clear" w:color="auto" w:fill="FFFFFF"/>
        </w:rPr>
        <w:fldChar w:fldCharType="end"/>
      </w:r>
      <w:r w:rsidRPr="00497E2D">
        <w:rPr>
          <w:rFonts w:ascii="Arial" w:eastAsia="Times New Roman" w:hAnsi="Arial" w:cs="Times New Roman"/>
          <w:color w:val="000000"/>
          <w:sz w:val="19"/>
          <w:szCs w:val="19"/>
          <w:shd w:val="clear" w:color="auto" w:fill="FFFFFF"/>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14:paraId="69C06A6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15BFC0A6" w14:textId="77777777" w:rsidR="00497E2D" w:rsidRPr="00497E2D" w:rsidRDefault="00AE2C4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16AB278C">
          <v:rect id="_x0000_i1027" style="width:0;height:1.5pt" o:hralign="center" o:hrstd="t" o:hrnoshade="t" o:hr="t" fillcolor="#222" stroked="f"/>
        </w:pict>
      </w:r>
    </w:p>
    <w:p w14:paraId="784E6D1A"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 xml:space="preserve">4. Is the manuscript presented in an intelligible fashion and written in </w:t>
      </w:r>
      <w:proofErr w:type="gramStart"/>
      <w:r w:rsidRPr="00497E2D">
        <w:rPr>
          <w:rFonts w:ascii="Arial" w:eastAsia="Times New Roman" w:hAnsi="Arial" w:cs="Times New Roman"/>
          <w:color w:val="000000"/>
          <w:sz w:val="19"/>
          <w:szCs w:val="19"/>
          <w:shd w:val="clear" w:color="auto" w:fill="FFFFFF"/>
        </w:rPr>
        <w:t>standard</w:t>
      </w:r>
      <w:proofErr w:type="gramEnd"/>
      <w:r w:rsidRPr="00497E2D">
        <w:rPr>
          <w:rFonts w:ascii="Arial" w:eastAsia="Times New Roman" w:hAnsi="Arial" w:cs="Times New Roman"/>
          <w:color w:val="000000"/>
          <w:sz w:val="19"/>
          <w:szCs w:val="19"/>
          <w:shd w:val="clear" w:color="auto" w:fill="FFFFFF"/>
        </w:rPr>
        <w:t xml:space="preserve"> English?</w:t>
      </w:r>
    </w:p>
    <w:p w14:paraId="73BC859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PLOS ONE does not copyedit accepted manuscripts, so the language in submitted articles must be clear, correct, and unambiguous. Any typographical or grammatical errors should be corrected at revision, so please note any specific errors here.</w:t>
      </w:r>
    </w:p>
    <w:p w14:paraId="225ECBF4"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29C3031E" w14:textId="77777777" w:rsidR="00497E2D" w:rsidRPr="00497E2D" w:rsidRDefault="00AE2C4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3F18D4FD">
          <v:rect id="_x0000_i1028" style="width:0;height:1.5pt" o:hralign="center" o:hrstd="t" o:hrnoshade="t" o:hr="t" fillcolor="#222" stroked="f"/>
        </w:pict>
      </w:r>
    </w:p>
    <w:p w14:paraId="395B6792"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5. Review Comments to the Author</w:t>
      </w:r>
    </w:p>
    <w:p w14:paraId="02A1256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7B25BB2F"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Reviewer #1: This study represents a really interesting and thorough comparison of marine species distributions from two different source,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range maps and – as part of the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team of developers – I consider the developed analytical assessments are very useful for providing diagnostic metrics and indices and the obtained results are very useful from our perspective. However, I have some concerns about the definition or underlying assumptions that the authors have made with respect to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predictions, that I think would be important to clarify throughout the paper.</w:t>
      </w:r>
    </w:p>
    <w:p w14:paraId="718AEC31"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First of all,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predictions do not actually necessarily represent the area of occupancy of a given species. Instead, if used in a manner as done in this study (namely simply converting each cell with a predicted probability &gt; 0 into a presence cell) the </w:t>
      </w:r>
      <w:commentRangeStart w:id="0"/>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approach also delineates extent of occurrence from occurrence record with boundaries based environmental borders rather than a polygon drawn by an expert </w:t>
      </w:r>
      <w:commentRangeEnd w:id="0"/>
      <w:r w:rsidR="00D74B34">
        <w:rPr>
          <w:rStyle w:val="CommentReference"/>
        </w:rPr>
        <w:commentReference w:id="0"/>
      </w:r>
      <w:r w:rsidRPr="00497E2D">
        <w:rPr>
          <w:rFonts w:ascii="Arial" w:eastAsia="Times New Roman" w:hAnsi="Arial" w:cs="Times New Roman"/>
          <w:color w:val="222222"/>
          <w:sz w:val="19"/>
          <w:szCs w:val="19"/>
          <w:shd w:val="clear" w:color="auto" w:fill="FFFFFF"/>
        </w:rPr>
        <w:t>(that may or may not also take environmental factors into account). Based on validation analyses to date (</w:t>
      </w:r>
      <w:proofErr w:type="spellStart"/>
      <w:r w:rsidRPr="00497E2D">
        <w:rPr>
          <w:rFonts w:ascii="Arial" w:eastAsia="Times New Roman" w:hAnsi="Arial" w:cs="Times New Roman"/>
          <w:color w:val="222222"/>
          <w:sz w:val="19"/>
          <w:szCs w:val="19"/>
          <w:shd w:val="clear" w:color="auto" w:fill="FFFFFF"/>
        </w:rPr>
        <w:t>Kaschner</w:t>
      </w:r>
      <w:proofErr w:type="spellEnd"/>
      <w:r w:rsidRPr="00497E2D">
        <w:rPr>
          <w:rFonts w:ascii="Arial" w:eastAsia="Times New Roman" w:hAnsi="Arial" w:cs="Times New Roman"/>
          <w:color w:val="222222"/>
          <w:sz w:val="19"/>
          <w:szCs w:val="19"/>
          <w:shd w:val="clear" w:color="auto" w:fill="FFFFFF"/>
        </w:rPr>
        <w:t xml:space="preserve"> et al, 2006, Ready et al, 2010, </w:t>
      </w:r>
      <w:proofErr w:type="spellStart"/>
      <w:r w:rsidRPr="00497E2D">
        <w:rPr>
          <w:rFonts w:ascii="Arial" w:eastAsia="Times New Roman" w:hAnsi="Arial" w:cs="Times New Roman"/>
          <w:color w:val="222222"/>
          <w:sz w:val="19"/>
          <w:szCs w:val="19"/>
          <w:shd w:val="clear" w:color="auto" w:fill="FFFFFF"/>
        </w:rPr>
        <w:t>Kaschner</w:t>
      </w:r>
      <w:proofErr w:type="spellEnd"/>
      <w:r w:rsidRPr="00497E2D">
        <w:rPr>
          <w:rFonts w:ascii="Arial" w:eastAsia="Times New Roman" w:hAnsi="Arial" w:cs="Times New Roman"/>
          <w:color w:val="222222"/>
          <w:sz w:val="19"/>
          <w:szCs w:val="19"/>
          <w:shd w:val="clear" w:color="auto" w:fill="FFFFFF"/>
        </w:rPr>
        <w:t xml:space="preserve"> et al, 2011), area of occupancy is probably better represented for most species using a probability threshold &gt;0.6. As a </w:t>
      </w:r>
      <w:r w:rsidRPr="00497E2D">
        <w:rPr>
          <w:rFonts w:ascii="Arial" w:eastAsia="Times New Roman" w:hAnsi="Arial" w:cs="Times New Roman"/>
          <w:color w:val="222222"/>
          <w:sz w:val="19"/>
          <w:szCs w:val="19"/>
          <w:shd w:val="clear" w:color="auto" w:fill="FFFFFF"/>
        </w:rPr>
        <w:lastRenderedPageBreak/>
        <w:t xml:space="preserve">consequence of this, I think, one of the assumptions made by the authors, namely that they would expect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ranges to be smaller than IUCN ranges </w:t>
      </w:r>
      <w:commentRangeStart w:id="1"/>
      <w:r w:rsidRPr="00497E2D">
        <w:rPr>
          <w:rFonts w:ascii="Arial" w:eastAsia="Times New Roman" w:hAnsi="Arial" w:cs="Times New Roman"/>
          <w:color w:val="222222"/>
          <w:sz w:val="19"/>
          <w:szCs w:val="19"/>
          <w:shd w:val="clear" w:color="auto" w:fill="FFFFFF"/>
        </w:rPr>
        <w:t>leads to somewhat misleading conclusions to be drawn from the findings of this study</w:t>
      </w:r>
      <w:commentRangeEnd w:id="1"/>
      <w:r w:rsidR="00D74B34">
        <w:rPr>
          <w:rStyle w:val="CommentReference"/>
        </w:rPr>
        <w:commentReference w:id="1"/>
      </w:r>
      <w:r w:rsidRPr="00497E2D">
        <w:rPr>
          <w:rFonts w:ascii="Arial" w:eastAsia="Times New Roman" w:hAnsi="Arial" w:cs="Times New Roman"/>
          <w:color w:val="222222"/>
          <w:sz w:val="19"/>
          <w:szCs w:val="19"/>
          <w:shd w:val="clear" w:color="auto" w:fill="FFFFFF"/>
        </w:rPr>
        <w:t>.</w:t>
      </w:r>
    </w:p>
    <w:p w14:paraId="6B2092BA" w14:textId="105242A0" w:rsidR="00AE2C4B" w:rsidRDefault="00AE2C4B" w:rsidP="00A3243A">
      <w:pPr>
        <w:pStyle w:val="Response"/>
      </w:pPr>
      <w:r>
        <w:t xml:space="preserve">RESPONSE: Thank you for the clarification.  I have adjusted the </w:t>
      </w:r>
      <w:r w:rsidR="003D6412">
        <w:t>manuscript</w:t>
      </w:r>
      <w:r>
        <w:t xml:space="preserve"> to address this concern.  </w:t>
      </w:r>
      <w:proofErr w:type="gramStart"/>
      <w:r>
        <w:t xml:space="preserve">My original assumption of </w:t>
      </w:r>
      <w:proofErr w:type="spellStart"/>
      <w:r>
        <w:t>AquaMaps</w:t>
      </w:r>
      <w:proofErr w:type="spellEnd"/>
      <w:r>
        <w:t xml:space="preserve"> as AOO and IUCN data as EOO simply provided a heuristic to help identify potential introductions of omission and/or commission errors; if the map pairs did not meet the original stated expectations</w:t>
      </w:r>
      <w:proofErr w:type="gramEnd"/>
      <w:r>
        <w:t xml:space="preserve">, </w:t>
      </w:r>
      <w:proofErr w:type="gramStart"/>
      <w:r>
        <w:t>I probed further</w:t>
      </w:r>
      <w:proofErr w:type="gramEnd"/>
      <w:r>
        <w:t xml:space="preserve">.  However, assuming both datasets actually present alternative approaches to an EOO provides </w:t>
      </w:r>
      <w:r w:rsidR="003D6412">
        <w:t xml:space="preserve">a different, but </w:t>
      </w:r>
      <w:r>
        <w:t>just as useful</w:t>
      </w:r>
      <w:r w:rsidR="003D6412">
        <w:t>,</w:t>
      </w:r>
      <w:r>
        <w:t xml:space="preserve"> a heuristic to identify possible omission/commission errors.</w:t>
      </w:r>
    </w:p>
    <w:p w14:paraId="72D350CA" w14:textId="77777777" w:rsidR="00C753C5" w:rsidRDefault="00AE2C4B" w:rsidP="00A3243A">
      <w:pPr>
        <w:pStyle w:val="Response"/>
      </w:pPr>
      <w:r>
        <w:t xml:space="preserve">I have adjusted the manuscript throughout to </w:t>
      </w:r>
      <w:r w:rsidR="003D6412">
        <w:t xml:space="preserve">conform to the assumption of both IUCN and </w:t>
      </w:r>
      <w:proofErr w:type="spellStart"/>
      <w:r w:rsidR="003D6412">
        <w:t>AquaMaps</w:t>
      </w:r>
      <w:proofErr w:type="spellEnd"/>
      <w:r w:rsidR="003D6412">
        <w:t xml:space="preserve"> (at max extent) to be extent of occurrence.  I believe this reframing improves the accuracy and does not impede the clarity.</w:t>
      </w:r>
      <w:r w:rsidR="00FB73DC">
        <w:t xml:space="preserve">  </w:t>
      </w:r>
    </w:p>
    <w:p w14:paraId="5DC2DE36" w14:textId="14B773F8" w:rsidR="00FB73DC" w:rsidRDefault="00FB73DC" w:rsidP="00A3243A">
      <w:pPr>
        <w:pStyle w:val="Response"/>
      </w:pPr>
      <w:r>
        <w:t xml:space="preserve">For </w:t>
      </w:r>
      <w:r w:rsidR="001B1940">
        <w:t>relevant</w:t>
      </w:r>
      <w:r>
        <w:t xml:space="preserve"> </w:t>
      </w:r>
      <w:r w:rsidR="001B1940">
        <w:t>changes</w:t>
      </w:r>
      <w:r>
        <w:t>, see:</w:t>
      </w:r>
      <w:r w:rsidR="00C753C5">
        <w:t xml:space="preserve"> </w:t>
      </w:r>
      <w:r>
        <w:t xml:space="preserve">Lines </w:t>
      </w:r>
      <w:r w:rsidR="005C00D2">
        <w:t>59-71; 124-126; 192-195; 260-261; 267; 271-272; 315-316; 430-431; 435.</w:t>
      </w:r>
    </w:p>
    <w:p w14:paraId="3851A964" w14:textId="74C7CABD" w:rsidR="003D6412" w:rsidRPr="00A3243A" w:rsidRDefault="003D6412" w:rsidP="00A3243A">
      <w:pPr>
        <w:pStyle w:val="Response"/>
      </w:pPr>
      <w:r w:rsidRPr="00A3243A">
        <w:t>Since the manuscript no longer hinges upon a</w:t>
      </w:r>
      <w:r w:rsidR="00A118CF">
        <w:t>n assumption of AquaMaps as an Area of O</w:t>
      </w:r>
      <w:r w:rsidR="0081599A">
        <w:t>ccupancy</w:t>
      </w:r>
      <w:r w:rsidRPr="00A3243A">
        <w:t xml:space="preserve">, I felt it might be more confusing to describe the 0.6 threshold in the </w:t>
      </w:r>
      <w:proofErr w:type="spellStart"/>
      <w:r w:rsidRPr="00A3243A">
        <w:t>Kaschner</w:t>
      </w:r>
      <w:proofErr w:type="spellEnd"/>
      <w:r w:rsidRPr="00A3243A">
        <w:t xml:space="preserve"> et al 2011 validation study, so I elected to not make specific reference </w:t>
      </w:r>
      <w:r w:rsidR="00A3243A">
        <w:t>to this threshold</w:t>
      </w:r>
      <w:r w:rsidR="00A118CF">
        <w:t xml:space="preserve"> (or to Area of </w:t>
      </w:r>
      <w:r w:rsidR="0081599A">
        <w:t xml:space="preserve">Occupancy </w:t>
      </w:r>
      <w:r w:rsidR="00A118CF">
        <w:t>in general)</w:t>
      </w:r>
      <w:r w:rsidR="00A3243A">
        <w:t xml:space="preserve"> </w:t>
      </w:r>
      <w:r w:rsidRPr="00A3243A">
        <w:t>in the paper.</w:t>
      </w:r>
    </w:p>
    <w:p w14:paraId="1A7CFA96" w14:textId="77777777" w:rsidR="00066886"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Secondly, I think it would be </w:t>
      </w:r>
      <w:commentRangeStart w:id="2"/>
      <w:r w:rsidRPr="00497E2D">
        <w:rPr>
          <w:rFonts w:ascii="Arial" w:eastAsia="Times New Roman" w:hAnsi="Arial" w:cs="Times New Roman"/>
          <w:color w:val="222222"/>
          <w:sz w:val="19"/>
          <w:szCs w:val="19"/>
          <w:shd w:val="clear" w:color="auto" w:fill="FFFFFF"/>
        </w:rPr>
        <w:t xml:space="preserve">very important to distinguish between limitation of the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approach/methodology itself (of which there are, of course, also plenty) and a limitation of input parameter settings. </w:t>
      </w:r>
      <w:commentRangeEnd w:id="2"/>
      <w:r w:rsidR="00D74B34">
        <w:rPr>
          <w:rStyle w:val="CommentReference"/>
        </w:rPr>
        <w:commentReference w:id="2"/>
      </w:r>
      <w:r w:rsidRPr="00497E2D">
        <w:rPr>
          <w:rFonts w:ascii="Arial" w:eastAsia="Times New Roman" w:hAnsi="Arial" w:cs="Times New Roman"/>
          <w:color w:val="222222"/>
          <w:sz w:val="19"/>
          <w:szCs w:val="19"/>
          <w:shd w:val="clear" w:color="auto" w:fill="FFFFFF"/>
        </w:rPr>
        <w:t xml:space="preserve">Like other models,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is only as good as its input data – and this is in many cases more than suboptimal. Some general assumptions made for the default maps, like the FAO boundary settings, lead to </w:t>
      </w:r>
      <w:proofErr w:type="spellStart"/>
      <w:r w:rsidRPr="00497E2D">
        <w:rPr>
          <w:rFonts w:ascii="Arial" w:eastAsia="Times New Roman" w:hAnsi="Arial" w:cs="Times New Roman"/>
          <w:color w:val="222222"/>
          <w:sz w:val="19"/>
          <w:szCs w:val="19"/>
          <w:shd w:val="clear" w:color="auto" w:fill="FFFFFF"/>
        </w:rPr>
        <w:t>artefacts</w:t>
      </w:r>
      <w:proofErr w:type="spellEnd"/>
      <w:r w:rsidRPr="00497E2D">
        <w:rPr>
          <w:rFonts w:ascii="Arial" w:eastAsia="Times New Roman" w:hAnsi="Arial" w:cs="Times New Roman"/>
          <w:color w:val="222222"/>
          <w:sz w:val="19"/>
          <w:szCs w:val="19"/>
          <w:shd w:val="clear" w:color="auto" w:fill="FFFFFF"/>
        </w:rPr>
        <w:t xml:space="preserve"> as shown in this paper and it’s very useful for this to be highlighted and definitely represents a short-coming of our current data set. However, the analyses conducted in this study do not actually allow an assessment of the overall methodology – which strongly emphasizes the importance of expert-review of input parameter settings to deal with the short-comings of all input data (including the external lists of FAO area occurrences for different species that are used in part to define the so-called bounding boxes for each species). </w:t>
      </w:r>
      <w:commentRangeStart w:id="3"/>
      <w:r w:rsidRPr="00497E2D">
        <w:rPr>
          <w:rFonts w:ascii="Arial" w:eastAsia="Times New Roman" w:hAnsi="Arial" w:cs="Times New Roman"/>
          <w:color w:val="222222"/>
          <w:sz w:val="19"/>
          <w:szCs w:val="19"/>
          <w:shd w:val="clear" w:color="auto" w:fill="FFFFFF"/>
        </w:rPr>
        <w:t xml:space="preserve">So, to truly assess the match between expert-derived IUCN range maps and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it would have been informative e.g. to also compare the subset of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expert-reviewed maps with IUCN ranges</w:t>
      </w:r>
      <w:commentRangeEnd w:id="3"/>
      <w:r w:rsidR="00D74B34">
        <w:rPr>
          <w:rStyle w:val="CommentReference"/>
        </w:rPr>
        <w:commentReference w:id="3"/>
      </w:r>
      <w:r w:rsidRPr="00497E2D">
        <w:rPr>
          <w:rFonts w:ascii="Arial" w:eastAsia="Times New Roman" w:hAnsi="Arial" w:cs="Times New Roman"/>
          <w:color w:val="222222"/>
          <w:sz w:val="19"/>
          <w:szCs w:val="19"/>
          <w:shd w:val="clear" w:color="auto" w:fill="FFFFFF"/>
        </w:rPr>
        <w:t xml:space="preserve">. </w:t>
      </w:r>
    </w:p>
    <w:p w14:paraId="673BC1CB" w14:textId="77777777" w:rsidR="00AC7A66" w:rsidRDefault="00066886" w:rsidP="00A3243A">
      <w:pPr>
        <w:pStyle w:val="Response"/>
      </w:pPr>
      <w:r>
        <w:t xml:space="preserve">RESPONSE: Thank you for pointing this out.  I have tried to clarify the differences in the manuscript, especially at points you mention in the line-by-line comments below.  </w:t>
      </w:r>
      <w:r w:rsidR="00A07454">
        <w:t>My original intent was not try</w:t>
      </w:r>
      <w:r w:rsidR="00A3243A">
        <w:t xml:space="preserve"> to assess the approach/methodology of either </w:t>
      </w:r>
      <w:proofErr w:type="spellStart"/>
      <w:r w:rsidR="00A3243A">
        <w:t>AquaMaps</w:t>
      </w:r>
      <w:proofErr w:type="spellEnd"/>
      <w:r w:rsidR="00A3243A">
        <w:t xml:space="preserve"> or IUCN range maps, but simply to compare the outputs against each other</w:t>
      </w:r>
      <w:r w:rsidR="00A07454">
        <w:t>, examining the methodology only when it seemed that errors had been introduced</w:t>
      </w:r>
      <w:r w:rsidR="00A3243A">
        <w:t xml:space="preserve">.  </w:t>
      </w:r>
    </w:p>
    <w:p w14:paraId="4AE5CA63" w14:textId="51DC4D36" w:rsidR="00066886" w:rsidRDefault="00A07454" w:rsidP="00AC7A66">
      <w:pPr>
        <w:pStyle w:val="Response"/>
      </w:pPr>
      <w:r>
        <w:t xml:space="preserve">In these revisions, based upon your suggestions, I </w:t>
      </w:r>
      <w:r w:rsidR="00A3243A">
        <w:t>wanted to emphasize the benefits of expert review</w:t>
      </w:r>
      <w:r w:rsidR="00AC7A66">
        <w:t xml:space="preserve">.  To this end, </w:t>
      </w:r>
      <w:r w:rsidR="00A3243A">
        <w:t>I have added a new plot to the supplemental information that redraws Figure 2 (the quadrant plot and the taxonomic breakdown by quadrant) focusing specifically on expert-reviewed maps, and noted that species with expert-reviewed maps show much better agreement.</w:t>
      </w:r>
    </w:p>
    <w:p w14:paraId="1C21D2A8" w14:textId="1F4392C3" w:rsidR="00A07454" w:rsidRDefault="00A07454" w:rsidP="00A3243A">
      <w:pPr>
        <w:pStyle w:val="Response"/>
      </w:pPr>
      <w:r>
        <w:t xml:space="preserve">In general, however, I want to keep it clear in the manuscript that expert review, </w:t>
      </w:r>
      <w:r w:rsidR="00AC7A66">
        <w:t>though it is the ideal</w:t>
      </w:r>
      <w:r>
        <w:t>, is not the norm.</w:t>
      </w:r>
      <w:r w:rsidR="00AC7A66">
        <w:t xml:space="preserve"> </w:t>
      </w:r>
      <w:r>
        <w:t xml:space="preserve"> I want to be careful not to overstate </w:t>
      </w:r>
      <w:r w:rsidR="00AC7A66">
        <w:t>the importance of expert review to the actual dataset, as only 6% of the species maps appear to have been reviewed.</w:t>
      </w:r>
    </w:p>
    <w:p w14:paraId="6F61EBBC" w14:textId="5824A3A5" w:rsidR="001B1940" w:rsidRDefault="001B1940" w:rsidP="00A3243A">
      <w:pPr>
        <w:pStyle w:val="Response"/>
      </w:pPr>
      <w:r>
        <w:t>For relevant changes, see: Lines 28; 109; 283-287</w:t>
      </w:r>
      <w:proofErr w:type="gramStart"/>
      <w:r>
        <w:t>;</w:t>
      </w:r>
      <w:proofErr w:type="gramEnd"/>
      <w:r>
        <w:t xml:space="preserve"> </w:t>
      </w:r>
      <w:r w:rsidR="0085602D">
        <w:t>447-455.</w:t>
      </w:r>
    </w:p>
    <w:p w14:paraId="7993F6C7" w14:textId="47A61E50"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The coral example shown in this study is a very good demonstration how the incorporation of known environmental preferences (here with respect to depth) in IUCN range maps actually results in a much closer alignment of both data sets. One of the conclusions drawn from this comparison by the authors is that IUCN range maps could be further improved by incorporating information about temperature and salinity boundaries – which is essentially what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already attempts to do.</w:t>
      </w:r>
    </w:p>
    <w:p w14:paraId="7E621302" w14:textId="5C22FB66" w:rsidR="00AC7A66" w:rsidRDefault="00AC7A66" w:rsidP="00AC7A66">
      <w:pPr>
        <w:pStyle w:val="Response"/>
      </w:pPr>
      <w:r>
        <w:t xml:space="preserve">RESPONSE:  As mentioned above, in general I focused more on comparing the outputs of the two datasets, and where systematic misalignments were apparent, then examined how the methods/approaches may lead to such misalignments.  In this case, I was focused only on the IUCN maps and suggesting means of addressing the </w:t>
      </w:r>
      <w:proofErr w:type="spellStart"/>
      <w:r>
        <w:t>overprediction</w:t>
      </w:r>
      <w:proofErr w:type="spellEnd"/>
      <w:r>
        <w:t xml:space="preserve"> for species.  To address your point, and to help support the idea of improved collaboration, I added specific mention of the approach </w:t>
      </w:r>
      <w:proofErr w:type="spellStart"/>
      <w:r>
        <w:t>AquaMaps</w:t>
      </w:r>
      <w:proofErr w:type="spellEnd"/>
      <w:r>
        <w:t xml:space="preserve"> takes to explicitly include environmental conditions.</w:t>
      </w:r>
      <w:r w:rsidR="001B1940">
        <w:t xml:space="preserve"> See line 335.</w:t>
      </w:r>
    </w:p>
    <w:p w14:paraId="3C6F2E8C" w14:textId="77777777" w:rsidR="00B45039" w:rsidRDefault="00497E2D" w:rsidP="00B45039">
      <w:pPr>
        <w:spacing w:after="120"/>
        <w:rPr>
          <w:rFonts w:ascii="Arial" w:eastAsia="Times New Roman" w:hAnsi="Arial" w:cs="Times New Roman"/>
          <w:color w:val="222222"/>
          <w:sz w:val="19"/>
          <w:szCs w:val="19"/>
          <w:shd w:val="clear" w:color="auto" w:fill="FFFFFF"/>
        </w:rPr>
      </w:pP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range maps are essentially aiming to achieve the same thing, namely to somehow delineate species ranges (and in the case of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 also gradients of relative occurrence) derived from similar sources of information – occurrence records combined with expert </w:t>
      </w:r>
      <w:proofErr w:type="gramStart"/>
      <w:r w:rsidRPr="00497E2D">
        <w:rPr>
          <w:rFonts w:ascii="Arial" w:eastAsia="Times New Roman" w:hAnsi="Arial" w:cs="Times New Roman"/>
          <w:color w:val="222222"/>
          <w:sz w:val="19"/>
          <w:szCs w:val="19"/>
          <w:shd w:val="clear" w:color="auto" w:fill="FFFFFF"/>
        </w:rPr>
        <w:t>knowledge</w:t>
      </w:r>
      <w:proofErr w:type="gramEnd"/>
      <w:r w:rsidRPr="00497E2D">
        <w:rPr>
          <w:rFonts w:ascii="Arial" w:eastAsia="Times New Roman" w:hAnsi="Arial" w:cs="Times New Roman"/>
          <w:color w:val="222222"/>
          <w:sz w:val="19"/>
          <w:szCs w:val="19"/>
          <w:shd w:val="clear" w:color="auto" w:fill="FFFFFF"/>
        </w:rPr>
        <w:t xml:space="preserve">. While the focus of IUCN maps lies on the incorporation of expert knowledge in geographic space (with some – but not clearly defined </w:t>
      </w:r>
      <w:r w:rsidR="00D74B34">
        <w:rPr>
          <w:rFonts w:ascii="Arial" w:eastAsia="Times New Roman" w:hAnsi="Arial" w:cs="Times New Roman"/>
          <w:color w:val="222222"/>
          <w:sz w:val="19"/>
          <w:szCs w:val="19"/>
          <w:shd w:val="clear" w:color="auto" w:fill="FFFFFF"/>
        </w:rPr>
        <w:t>–</w:t>
      </w:r>
      <w:r w:rsidRPr="00497E2D">
        <w:rPr>
          <w:rFonts w:ascii="Arial" w:eastAsia="Times New Roman" w:hAnsi="Arial" w:cs="Times New Roman"/>
          <w:color w:val="222222"/>
          <w:sz w:val="19"/>
          <w:szCs w:val="19"/>
          <w:shd w:val="clear" w:color="auto" w:fill="FFFFFF"/>
        </w:rPr>
        <w:t xml:space="preserve"> consideration</w:t>
      </w:r>
      <w:r w:rsidR="00D74B34">
        <w:rPr>
          <w:rFonts w:ascii="Arial" w:eastAsia="Times New Roman" w:hAnsi="Arial" w:cs="Times New Roman"/>
          <w:color w:val="222222"/>
          <w:sz w:val="19"/>
          <w:szCs w:val="19"/>
          <w:shd w:val="clear" w:color="auto" w:fill="FFFFFF"/>
        </w:rPr>
        <w:t xml:space="preserve"> </w:t>
      </w:r>
      <w:r w:rsidRPr="00497E2D">
        <w:rPr>
          <w:rFonts w:ascii="Arial" w:eastAsia="Times New Roman" w:hAnsi="Arial" w:cs="Times New Roman"/>
          <w:color w:val="222222"/>
          <w:sz w:val="19"/>
          <w:szCs w:val="19"/>
          <w:shd w:val="clear" w:color="auto" w:fill="FFFFFF"/>
        </w:rPr>
        <w:t xml:space="preserve">of habitat usage),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invites the incorporation of expert knowledge in environmental space. Obviously, as stated by the authors, neither approach represents the true distribution of a species, however, I think that this analysis would be a great opportunity to actually encourage closer collaboration between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species experts to a.) </w:t>
      </w:r>
      <w:proofErr w:type="gramStart"/>
      <w:r w:rsidRPr="00497E2D">
        <w:rPr>
          <w:rFonts w:ascii="Arial" w:eastAsia="Times New Roman" w:hAnsi="Arial" w:cs="Times New Roman"/>
          <w:color w:val="222222"/>
          <w:sz w:val="19"/>
          <w:szCs w:val="19"/>
          <w:shd w:val="clear" w:color="auto" w:fill="FFFFFF"/>
        </w:rPr>
        <w:t>increase</w:t>
      </w:r>
      <w:proofErr w:type="gramEnd"/>
      <w:r w:rsidRPr="00497E2D">
        <w:rPr>
          <w:rFonts w:ascii="Arial" w:eastAsia="Times New Roman" w:hAnsi="Arial" w:cs="Times New Roman"/>
          <w:color w:val="222222"/>
          <w:sz w:val="19"/>
          <w:szCs w:val="19"/>
          <w:shd w:val="clear" w:color="auto" w:fill="FFFFFF"/>
        </w:rPr>
        <w:t xml:space="preserve"> the number of expert-reviewed maps and b.) </w:t>
      </w:r>
      <w:proofErr w:type="gramStart"/>
      <w:r w:rsidRPr="00497E2D">
        <w:rPr>
          <w:rFonts w:ascii="Arial" w:eastAsia="Times New Roman" w:hAnsi="Arial" w:cs="Times New Roman"/>
          <w:color w:val="222222"/>
          <w:sz w:val="19"/>
          <w:szCs w:val="19"/>
          <w:shd w:val="clear" w:color="auto" w:fill="FFFFFF"/>
        </w:rPr>
        <w:t>to</w:t>
      </w:r>
      <w:proofErr w:type="gramEnd"/>
      <w:r w:rsidRPr="00497E2D">
        <w:rPr>
          <w:rFonts w:ascii="Arial" w:eastAsia="Times New Roman" w:hAnsi="Arial" w:cs="Times New Roman"/>
          <w:color w:val="222222"/>
          <w:sz w:val="19"/>
          <w:szCs w:val="19"/>
          <w:shd w:val="clear" w:color="auto" w:fill="FFFFFF"/>
        </w:rPr>
        <w:t xml:space="preserve"> move towards a more transparent and reproducible approach for describing species maximum ranges based on expert input.</w:t>
      </w:r>
    </w:p>
    <w:p w14:paraId="57F1BE38" w14:textId="49C18A42" w:rsidR="00AC7A66" w:rsidRDefault="00AC7A66" w:rsidP="00AC7A66">
      <w:pPr>
        <w:pStyle w:val="Response"/>
      </w:pPr>
      <w:r>
        <w:t xml:space="preserve">RESPONSE:  Based upon this comment, I have included more details to show the benefits of expert review to improve the quality of both datasets.  I have also included a note within the conclusion expressly recommending increased collaboration and expert review. </w:t>
      </w:r>
    </w:p>
    <w:p w14:paraId="57830587" w14:textId="09CC4B83" w:rsidR="0085602D" w:rsidRDefault="0085602D" w:rsidP="0085602D">
      <w:pPr>
        <w:pStyle w:val="Response"/>
      </w:pPr>
      <w:r>
        <w:t>For relevant changes, see: Lines 28; 109; 283-287</w:t>
      </w:r>
      <w:proofErr w:type="gramStart"/>
      <w:r>
        <w:t>;</w:t>
      </w:r>
      <w:proofErr w:type="gramEnd"/>
      <w:r>
        <w:t xml:space="preserve"> 447-455.</w:t>
      </w:r>
    </w:p>
    <w:p w14:paraId="10598D40"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While the latter point is not something that the authors necessarily need to address (this would be more a wish list from our perspective), I think the first point about the confusion of Area of Occupancy and Extent of Occurrence may lead to some misleading conclusions to be drawn from this analysis that I think should be addressed before publication.</w:t>
      </w:r>
    </w:p>
    <w:p w14:paraId="7D799064" w14:textId="2FB9BC35" w:rsidR="0085602D" w:rsidRDefault="00AC7A66" w:rsidP="0081599A">
      <w:pPr>
        <w:pStyle w:val="Response"/>
      </w:pPr>
      <w:r>
        <w:t xml:space="preserve">RESPONSE:  I </w:t>
      </w:r>
      <w:r w:rsidR="00FB73DC">
        <w:t>believe</w:t>
      </w:r>
      <w:r>
        <w:t xml:space="preserve"> my revisions have </w:t>
      </w:r>
      <w:r w:rsidR="00FB73DC">
        <w:t>removed the confusion between AOO and EOO (by reframing as two alternative EOOs) and avoided any misleading conclusions.</w:t>
      </w:r>
    </w:p>
    <w:p w14:paraId="676FAAB2"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More specific comments are included below</w:t>
      </w:r>
    </w:p>
    <w:p w14:paraId="41F46FF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28 ‘demonstrate that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methodology can produce odd discontinuities at the extremes of a’</w:t>
      </w:r>
    </w:p>
    <w:p w14:paraId="59792A61"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Perhaps replace by ‘show’ and ‘default settings’ rather than ‘methodology’</w:t>
      </w:r>
    </w:p>
    <w:p w14:paraId="3BA5482F" w14:textId="6A663390" w:rsidR="0085602D" w:rsidRDefault="0085602D" w:rsidP="0085602D">
      <w:pPr>
        <w:pStyle w:val="Response"/>
      </w:pPr>
      <w:r>
        <w:t xml:space="preserve">RESPONSE:  I clarified, using the term “computer-generated maps” to replace “methodology”; the phrase “default settings” would perhaps be unclear without a deeper explanation of the entire </w:t>
      </w:r>
      <w:proofErr w:type="spellStart"/>
      <w:r>
        <w:t>AquaMaps</w:t>
      </w:r>
      <w:proofErr w:type="spellEnd"/>
      <w:r>
        <w:t xml:space="preserve"> methodology, especially within the abstract.  While a few of the expert-reviewed maps also show up in the </w:t>
      </w:r>
      <w:proofErr w:type="gramStart"/>
      <w:r>
        <w:t>artificially-bounded</w:t>
      </w:r>
      <w:proofErr w:type="gramEnd"/>
      <w:r>
        <w:t xml:space="preserve"> map set, they are a small minority (less than 1 percent) and subtle in the clipping.</w:t>
      </w:r>
      <w:r w:rsidR="0081599A">
        <w:t xml:space="preserve">  </w:t>
      </w:r>
      <w:proofErr w:type="gramStart"/>
      <w:r w:rsidR="0081599A">
        <w:t>Still at line 28.</w:t>
      </w:r>
      <w:proofErr w:type="gramEnd"/>
    </w:p>
    <w:p w14:paraId="185BB38B"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53 – add ‘supplemented by expert knowledge’</w:t>
      </w:r>
    </w:p>
    <w:p w14:paraId="049627A4" w14:textId="3147A8E9" w:rsidR="0085602D" w:rsidRDefault="0085602D" w:rsidP="0085602D">
      <w:pPr>
        <w:pStyle w:val="Response"/>
      </w:pPr>
      <w:r>
        <w:t xml:space="preserve">RESPONSE: Because fewer than 6% of the total maps are expert-reviewed, this seems misleading unless further qualifications are included.  Later in the paper, I address the expert review process in more detail.  Framing it here as relying “primarily” on model predictions I think hedges the statement adequately, so I don’t believe anyone will be misled into thinking the maps are </w:t>
      </w:r>
      <w:r w:rsidRPr="008A27B9">
        <w:rPr>
          <w:b/>
          <w:bCs/>
        </w:rPr>
        <w:t>only</w:t>
      </w:r>
      <w:r>
        <w:t xml:space="preserve"> based on model predictions.  I left this line as-is.</w:t>
      </w:r>
    </w:p>
    <w:p w14:paraId="110388FB"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67- hundreds of studies might be an exaggeration?</w:t>
      </w:r>
    </w:p>
    <w:p w14:paraId="717119F9" w14:textId="5E80C095" w:rsidR="0085602D" w:rsidRPr="0085602D" w:rsidRDefault="0085602D" w:rsidP="0085602D">
      <w:pPr>
        <w:pStyle w:val="Response"/>
        <w:rPr>
          <w:rFonts w:asciiTheme="minorHAnsi" w:eastAsiaTheme="minorEastAsia" w:hAnsiTheme="minorHAnsi" w:cstheme="minorBidi"/>
          <w:color w:val="auto"/>
          <w:sz w:val="24"/>
          <w:szCs w:val="24"/>
          <w:shd w:val="clear" w:color="auto" w:fill="auto"/>
        </w:rPr>
      </w:pPr>
      <w:r>
        <w:t>RESPONSE: True.  IUCN Red List publications collectively have publications in the thousands, though it is unclear how many of those citations refer directly to the spatial data.  I changed “hundreds of” to “many” to avoid hyperbole.</w:t>
      </w:r>
      <w:r w:rsidR="0081599A">
        <w:t xml:space="preserve">  See line 72.</w:t>
      </w:r>
    </w:p>
    <w:p w14:paraId="4FAAC279"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114 – as indicated above actually AQ maximum range extent, by definition, would generally correspond to Extent of occurrence. Based on validation analysis, area of occupancy would be better described using a probability threshold of 0.6</w:t>
      </w:r>
    </w:p>
    <w:p w14:paraId="3D3557C1" w14:textId="542C00FB" w:rsidR="0085602D" w:rsidRDefault="0085602D" w:rsidP="0081599A">
      <w:pPr>
        <w:pStyle w:val="Response"/>
      </w:pPr>
      <w:r>
        <w:t xml:space="preserve">RESPONSE: True.  I adjusted the assumptions about </w:t>
      </w:r>
      <w:proofErr w:type="spellStart"/>
      <w:r>
        <w:t>AquaMaps</w:t>
      </w:r>
      <w:proofErr w:type="spellEnd"/>
      <w:r>
        <w:t xml:space="preserve"> to reflect this difference and removed references to Area of Occupancy.</w:t>
      </w:r>
      <w:r w:rsidR="0081599A">
        <w:t xml:space="preserve">  These changes occur throughout.  See lines 124-126 for this particular change.</w:t>
      </w:r>
    </w:p>
    <w:p w14:paraId="64F38C1F"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260 – actually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p>
    <w:p w14:paraId="7E1E5F01" w14:textId="77777777" w:rsidR="0081599A" w:rsidRDefault="0081599A" w:rsidP="0081599A">
      <w:pPr>
        <w:pStyle w:val="Response"/>
      </w:pPr>
      <w:r>
        <w:t xml:space="preserve">RESPONSE:  Thank you for pushing me on this.  I had tried to find in the training materials some reason for my observations, but was unable.  But based on your comment, I searched further and found that older materials (not those linked from the IUCN page) did make such a reference.  The newer materials do not mention this in the main text, though they include a footnote that allows (but doesn’t require) this, stating “a buffer of this size is not essential because the Red List website’s map browser allows users to zoom close into the maps). Unfortunately, older maps, and some newer maps going forward (since it’s optional, many experts will likely continue to add the buffer), will continue to include this buffer.  </w:t>
      </w:r>
    </w:p>
    <w:p w14:paraId="372E8124" w14:textId="61A2A754" w:rsidR="0081599A" w:rsidRDefault="0081599A" w:rsidP="0081599A">
      <w:pPr>
        <w:pStyle w:val="Response"/>
      </w:pPr>
      <w:r>
        <w:t xml:space="preserve">I have added some of these details to explain the issue and make the reader more aware of the potential problem.  See lines 297-300, as well as 319-320 and 325. </w:t>
      </w:r>
    </w:p>
    <w:p w14:paraId="6E537E3D"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285 – this is what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already does!!!!</w:t>
      </w:r>
    </w:p>
    <w:p w14:paraId="37FA2399" w14:textId="31448407" w:rsidR="0081599A" w:rsidRDefault="0081599A" w:rsidP="0081599A">
      <w:pPr>
        <w:pStyle w:val="Response"/>
      </w:pPr>
      <w:r>
        <w:t xml:space="preserve">RESPONSE: As mentioned above, my focus in this paragraph was on IUCN data, not </w:t>
      </w:r>
      <w:proofErr w:type="spellStart"/>
      <w:r>
        <w:t>AquaMaps</w:t>
      </w:r>
      <w:proofErr w:type="spellEnd"/>
      <w:r>
        <w:t xml:space="preserve">; but I have added a mention </w:t>
      </w:r>
      <w:r w:rsidR="00775AB9">
        <w:t xml:space="preserve">of </w:t>
      </w:r>
      <w:proofErr w:type="spellStart"/>
      <w:r w:rsidR="00775AB9">
        <w:t>AquaMaps</w:t>
      </w:r>
      <w:proofErr w:type="spellEnd"/>
      <w:r w:rsidR="00775AB9">
        <w:t xml:space="preserve"> here to show that this would be a straightforward improvement to IUCN</w:t>
      </w:r>
      <w:r>
        <w:t>.</w:t>
      </w:r>
    </w:p>
    <w:p w14:paraId="141EE977"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310 – interesting metric, however, extrapolation in environmental space maybe better metric</w:t>
      </w:r>
    </w:p>
    <w:p w14:paraId="558CA4E3" w14:textId="77777777" w:rsidR="00EA468B" w:rsidRDefault="00EA468B" w:rsidP="00EA468B">
      <w:pPr>
        <w:pStyle w:val="Response"/>
      </w:pPr>
      <w:r>
        <w:t xml:space="preserve">RESPONSE: I ran the same analysis but measuring the “environmental space” of a cell as product of its geographic area and its suitability (probability of occurrence), and saw largely similar patterns (R^2 = 95%). </w:t>
      </w:r>
    </w:p>
    <w:p w14:paraId="0F9E82F1" w14:textId="5186CE4E" w:rsidR="00EA468B" w:rsidRDefault="00EA468B" w:rsidP="00EA468B">
      <w:pPr>
        <w:pStyle w:val="Response"/>
      </w:pPr>
      <w:r>
        <w:t xml:space="preserve">Note: If the probability of occurrence included some way to down-weight extrapolation from fewer </w:t>
      </w:r>
      <w:proofErr w:type="spellStart"/>
      <w:r>
        <w:t>occurcells</w:t>
      </w:r>
      <w:proofErr w:type="spellEnd"/>
      <w:r>
        <w:t xml:space="preserve"> (e.g. inverse distance weighting), then we may see a difference between the environmental space and geographic space extrapolation rates for species with fewer </w:t>
      </w:r>
      <w:proofErr w:type="spellStart"/>
      <w:r>
        <w:t>occurcells</w:t>
      </w:r>
      <w:proofErr w:type="spellEnd"/>
      <w:r>
        <w:t xml:space="preserve">.  But this does not seem to be the case, so the environmental space analysis doesn’t seem to provide additional insights.  </w:t>
      </w:r>
    </w:p>
    <w:p w14:paraId="4F120F4C" w14:textId="77777777" w:rsidR="00EA468B" w:rsidRDefault="00EA468B" w:rsidP="00EA468B">
      <w:pPr>
        <w:pStyle w:val="Response"/>
      </w:pPr>
      <w:r>
        <w:t>However, I assume that readers may want to see that both ideas were considered, so I include both here.</w:t>
      </w:r>
    </w:p>
    <w:p w14:paraId="02E1B5D9" w14:textId="77777777" w:rsidR="00EA468B" w:rsidRPr="00DE428F" w:rsidRDefault="00EA468B" w:rsidP="00EA468B">
      <w:pPr>
        <w:pStyle w:val="CommentText"/>
        <w:rPr>
          <w:rFonts w:ascii="Arial" w:eastAsia="Times New Roman" w:hAnsi="Arial"/>
          <w:color w:val="222222"/>
          <w:sz w:val="19"/>
          <w:szCs w:val="19"/>
          <w:shd w:val="clear" w:color="auto" w:fill="FFFFFF"/>
        </w:rPr>
      </w:pPr>
    </w:p>
    <w:p w14:paraId="00EF4517" w14:textId="1F5D337A"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Case study MPA gap analysis – this is not really surprising, if you’re looking at the proportion of distribution </w:t>
      </w:r>
      <w:proofErr w:type="spellStart"/>
      <w:r w:rsidRPr="00497E2D">
        <w:rPr>
          <w:rFonts w:ascii="Arial" w:eastAsia="Times New Roman" w:hAnsi="Arial" w:cs="Times New Roman"/>
          <w:color w:val="222222"/>
          <w:sz w:val="19"/>
          <w:szCs w:val="19"/>
          <w:shd w:val="clear" w:color="auto" w:fill="FFFFFF"/>
        </w:rPr>
        <w:t>protectedthe</w:t>
      </w:r>
      <w:proofErr w:type="spellEnd"/>
      <w:r w:rsidRPr="00497E2D">
        <w:rPr>
          <w:rFonts w:ascii="Arial" w:eastAsia="Times New Roman" w:hAnsi="Arial" w:cs="Times New Roman"/>
          <w:color w:val="222222"/>
          <w:sz w:val="19"/>
          <w:szCs w:val="19"/>
          <w:shd w:val="clear" w:color="auto" w:fill="FFFFFF"/>
        </w:rPr>
        <w:t xml:space="preserve"> larger the base area (i.e. IUCN range extent or AQ = 0%) the smaller the proportional are protected.</w:t>
      </w:r>
    </w:p>
    <w:p w14:paraId="65E9AE93" w14:textId="77777777" w:rsidR="00A4555D" w:rsidRDefault="00A4555D" w:rsidP="00A4555D">
      <w:pPr>
        <w:pStyle w:val="Response"/>
      </w:pPr>
      <w:r>
        <w:t xml:space="preserve">RESPONSE:  This would be true when the increased range outside protected areas (due to relaxing the threshold) is proportionally larger than the increased range inside protected areas, which may not always be the case.  It appears that only slight differences are evident when adjusting the threshold from 50% to 0% (scenario 2 vs. scenario 3).  </w:t>
      </w:r>
    </w:p>
    <w:p w14:paraId="7FE27967" w14:textId="42D45CD0" w:rsidR="00A4555D" w:rsidRDefault="00A4555D" w:rsidP="00A4555D">
      <w:pPr>
        <w:pStyle w:val="Response"/>
      </w:pPr>
      <w:r>
        <w:t xml:space="preserve">But the real comparison to note is the </w:t>
      </w:r>
      <w:proofErr w:type="spellStart"/>
      <w:r>
        <w:t>AquaMaps</w:t>
      </w:r>
      <w:proofErr w:type="spellEnd"/>
      <w:r>
        <w:t xml:space="preserve"> (at 0%) </w:t>
      </w:r>
      <w:proofErr w:type="spellStart"/>
      <w:r>
        <w:t>vs</w:t>
      </w:r>
      <w:proofErr w:type="spellEnd"/>
      <w:r>
        <w:t xml:space="preserve"> IUCN.  The comment makes it clear that this point needs to be made more explicitly in the text.  I have added an additional explanation about why that comparison is interesting and important.  See lines 389-390 and 411-415.</w:t>
      </w:r>
    </w:p>
    <w:p w14:paraId="763A2213" w14:textId="67BF8B3E" w:rsidR="00B45039" w:rsidRDefault="00497E2D" w:rsidP="00B45039">
      <w:pPr>
        <w:spacing w:after="120"/>
        <w:rPr>
          <w:rFonts w:ascii="Arial" w:eastAsia="Times New Roman" w:hAnsi="Arial" w:cs="Times New Roman"/>
          <w:color w:val="222222"/>
          <w:sz w:val="19"/>
          <w:szCs w:val="19"/>
          <w:shd w:val="clear" w:color="auto" w:fill="FFFFFF"/>
        </w:rPr>
      </w:pPr>
      <w:commentRangeStart w:id="4"/>
      <w:r w:rsidRPr="00497E2D">
        <w:rPr>
          <w:rFonts w:ascii="Arial" w:eastAsia="Times New Roman" w:hAnsi="Arial" w:cs="Times New Roman"/>
          <w:color w:val="222222"/>
          <w:sz w:val="19"/>
          <w:szCs w:val="19"/>
          <w:shd w:val="clear" w:color="auto" w:fill="FFFFFF"/>
        </w:rPr>
        <w:t xml:space="preserve">Fig 1 A – am not sure where you would be getting the number of 166 marine mammals. AQ does not yet cover all </w:t>
      </w:r>
      <w:proofErr w:type="spellStart"/>
      <w:r w:rsidRPr="00497E2D">
        <w:rPr>
          <w:rFonts w:ascii="Arial" w:eastAsia="Times New Roman" w:hAnsi="Arial" w:cs="Times New Roman"/>
          <w:color w:val="222222"/>
          <w:sz w:val="19"/>
          <w:szCs w:val="19"/>
          <w:shd w:val="clear" w:color="auto" w:fill="FFFFFF"/>
        </w:rPr>
        <w:t>recognised</w:t>
      </w:r>
      <w:proofErr w:type="spellEnd"/>
      <w:r w:rsidRPr="00497E2D">
        <w:rPr>
          <w:rFonts w:ascii="Arial" w:eastAsia="Times New Roman" w:hAnsi="Arial" w:cs="Times New Roman"/>
          <w:color w:val="222222"/>
          <w:sz w:val="19"/>
          <w:szCs w:val="19"/>
          <w:shd w:val="clear" w:color="auto" w:fill="FFFFFF"/>
        </w:rPr>
        <w:t xml:space="preserve"> marine mammals, partially because many of the new species are actually newly split subspecies that were formerly defined as one species (e.g. Sousa </w:t>
      </w:r>
      <w:proofErr w:type="spellStart"/>
      <w:r w:rsidRPr="00497E2D">
        <w:rPr>
          <w:rFonts w:ascii="Arial" w:eastAsia="Times New Roman" w:hAnsi="Arial" w:cs="Times New Roman"/>
          <w:color w:val="222222"/>
          <w:sz w:val="19"/>
          <w:szCs w:val="19"/>
          <w:shd w:val="clear" w:color="auto" w:fill="FFFFFF"/>
        </w:rPr>
        <w:t>chinensis</w:t>
      </w:r>
      <w:proofErr w:type="spellEnd"/>
      <w:r w:rsidRPr="00497E2D">
        <w:rPr>
          <w:rFonts w:ascii="Arial" w:eastAsia="Times New Roman" w:hAnsi="Arial" w:cs="Times New Roman"/>
          <w:color w:val="222222"/>
          <w:sz w:val="19"/>
          <w:szCs w:val="19"/>
          <w:shd w:val="clear" w:color="auto" w:fill="FFFFFF"/>
        </w:rPr>
        <w:t xml:space="preserve"> and S. </w:t>
      </w:r>
      <w:proofErr w:type="spellStart"/>
      <w:r w:rsidRPr="00497E2D">
        <w:rPr>
          <w:rFonts w:ascii="Arial" w:eastAsia="Times New Roman" w:hAnsi="Arial" w:cs="Times New Roman"/>
          <w:color w:val="222222"/>
          <w:sz w:val="19"/>
          <w:szCs w:val="19"/>
          <w:shd w:val="clear" w:color="auto" w:fill="FFFFFF"/>
        </w:rPr>
        <w:t>plumbea</w:t>
      </w:r>
      <w:proofErr w:type="spellEnd"/>
      <w:r w:rsidRPr="00497E2D">
        <w:rPr>
          <w:rFonts w:ascii="Arial" w:eastAsia="Times New Roman" w:hAnsi="Arial" w:cs="Times New Roman"/>
          <w:color w:val="222222"/>
          <w:sz w:val="19"/>
          <w:szCs w:val="19"/>
          <w:shd w:val="clear" w:color="auto" w:fill="FFFFFF"/>
        </w:rPr>
        <w:t xml:space="preserve">). However, even the most up-to-date source of marine mammal taxonomy – The Society for Marine </w:t>
      </w:r>
      <w:proofErr w:type="spellStart"/>
      <w:r w:rsidRPr="00497E2D">
        <w:rPr>
          <w:rFonts w:ascii="Arial" w:eastAsia="Times New Roman" w:hAnsi="Arial" w:cs="Times New Roman"/>
          <w:color w:val="222222"/>
          <w:sz w:val="19"/>
          <w:szCs w:val="19"/>
          <w:shd w:val="clear" w:color="auto" w:fill="FFFFFF"/>
        </w:rPr>
        <w:t>Mammalogy’s</w:t>
      </w:r>
      <w:proofErr w:type="spellEnd"/>
      <w:r w:rsidRPr="00497E2D">
        <w:rPr>
          <w:rFonts w:ascii="Arial" w:eastAsia="Times New Roman" w:hAnsi="Arial" w:cs="Times New Roman"/>
          <w:color w:val="222222"/>
          <w:sz w:val="19"/>
          <w:szCs w:val="19"/>
          <w:shd w:val="clear" w:color="auto" w:fill="FFFFFF"/>
        </w:rPr>
        <w:t xml:space="preserve"> ad hoc Committee on Taxonomy, only lists 126 marine mammal species and 5 to 6 of those (depending on your definition) are considered to be freshwater only species</w:t>
      </w:r>
      <w:commentRangeEnd w:id="4"/>
      <w:r w:rsidR="0031407B">
        <w:rPr>
          <w:rStyle w:val="CommentReference"/>
        </w:rPr>
        <w:commentReference w:id="4"/>
      </w:r>
      <w:r w:rsidR="00A4555D">
        <w:rPr>
          <w:rFonts w:ascii="Arial" w:eastAsia="Times New Roman" w:hAnsi="Arial" w:cs="Times New Roman"/>
          <w:color w:val="222222"/>
          <w:sz w:val="19"/>
          <w:szCs w:val="19"/>
          <w:shd w:val="clear" w:color="auto" w:fill="FFFFFF"/>
        </w:rPr>
        <w:t>.</w:t>
      </w:r>
    </w:p>
    <w:p w14:paraId="07D91B58" w14:textId="7BE0CAF0" w:rsidR="00CB425C" w:rsidRDefault="00A4555D" w:rsidP="00CB425C">
      <w:pPr>
        <w:pStyle w:val="Response"/>
      </w:pPr>
      <w:r>
        <w:t xml:space="preserve">RESPONSE:  Thank you for catching this.  Upon further review, I found that my matching </w:t>
      </w:r>
      <w:r w:rsidR="00CB425C">
        <w:t xml:space="preserve">algorithm </w:t>
      </w:r>
      <w:r w:rsidR="000614A6">
        <w:t>(</w:t>
      </w:r>
      <w:r w:rsidR="00CB425C">
        <w:t>for this plot</w:t>
      </w:r>
      <w:r w:rsidR="000614A6">
        <w:t xml:space="preserve"> specifically)</w:t>
      </w:r>
      <w:r w:rsidR="00CB425C">
        <w:t xml:space="preserve"> was counting multiple synonyms and thus </w:t>
      </w:r>
      <w:proofErr w:type="spellStart"/>
      <w:r w:rsidR="00CB425C">
        <w:t>overcounting</w:t>
      </w:r>
      <w:proofErr w:type="spellEnd"/>
      <w:r w:rsidR="00CB425C">
        <w:t xml:space="preserve">.  Using marine mammals as a check, I identified the problem and fixed it in the code, and then reran the plot.  This same issue affected taxa </w:t>
      </w:r>
      <w:r w:rsidR="000614A6">
        <w:t>across the whole plot</w:t>
      </w:r>
      <w:r w:rsidR="00CB425C">
        <w:t>, some more than others.  However, the quantitative improvement does not substantially affect the qualitative conclusions</w:t>
      </w:r>
      <w:r w:rsidR="000614A6">
        <w:t>…</w:t>
      </w:r>
    </w:p>
    <w:p w14:paraId="67F9730C" w14:textId="79D651E5" w:rsidR="00A4555D" w:rsidRDefault="00CB425C" w:rsidP="00CB425C">
      <w:pPr>
        <w:pStyle w:val="Response"/>
      </w:pPr>
      <w:r>
        <w:t xml:space="preserve">I checked to make sure the other plots did not suffer the same issue. </w:t>
      </w:r>
      <w:r w:rsidR="000614A6">
        <w:t xml:space="preserve"> </w:t>
      </w:r>
      <w:bookmarkStart w:id="5" w:name="_GoBack"/>
      <w:bookmarkEnd w:id="5"/>
    </w:p>
    <w:p w14:paraId="2F3A1EE0" w14:textId="77777777" w:rsidR="00B45039" w:rsidRDefault="00497E2D" w:rsidP="00B45039">
      <w:pPr>
        <w:spacing w:after="120"/>
        <w:rPr>
          <w:rFonts w:ascii="Arial" w:eastAsia="Times New Roman" w:hAnsi="Arial" w:cs="Times New Roman"/>
          <w:color w:val="222222"/>
          <w:sz w:val="19"/>
          <w:szCs w:val="19"/>
          <w:shd w:val="clear" w:color="auto" w:fill="FFFFFF"/>
        </w:rPr>
      </w:pPr>
      <w:commentRangeStart w:id="6"/>
      <w:r w:rsidRPr="00497E2D">
        <w:rPr>
          <w:rFonts w:ascii="Arial" w:eastAsia="Times New Roman" w:hAnsi="Arial" w:cs="Times New Roman"/>
          <w:color w:val="222222"/>
          <w:sz w:val="19"/>
          <w:szCs w:val="19"/>
          <w:shd w:val="clear" w:color="auto" w:fill="FFFFFF"/>
        </w:rPr>
        <w:t>Fig 2 B – which terrestrial mammals are you including here – to my knowledge AQ doesn’t include any terrestrial mammals (unless you’re counting the sea otters as terrestrial?)</w:t>
      </w:r>
      <w:commentRangeEnd w:id="6"/>
      <w:r w:rsidR="0031407B">
        <w:rPr>
          <w:rStyle w:val="CommentReference"/>
        </w:rPr>
        <w:commentReference w:id="6"/>
      </w:r>
    </w:p>
    <w:p w14:paraId="64A4D9AD" w14:textId="72B1C2B3" w:rsidR="00CB425C" w:rsidRDefault="00CB425C" w:rsidP="00CB425C">
      <w:pPr>
        <w:pStyle w:val="Response"/>
      </w:pPr>
      <w:r>
        <w:t xml:space="preserve">RESPONSE:  These taxonomic groupings were based on the IUCN’s </w:t>
      </w:r>
      <w:proofErr w:type="spellStart"/>
      <w:r>
        <w:t>shapefile</w:t>
      </w:r>
      <w:proofErr w:type="spellEnd"/>
      <w:r>
        <w:t xml:space="preserve"> classifications.  Our methodology for identifying marine species involved looking at the “habitat” listings for each species (from their individual species info web pages) and selecting any species with “marine” habitat, so some species (e.g. two species of sea otters) appear in the “terrestrial mammal” </w:t>
      </w:r>
      <w:proofErr w:type="spellStart"/>
      <w:r>
        <w:t>shapefile</w:t>
      </w:r>
      <w:proofErr w:type="spellEnd"/>
      <w:r>
        <w:t xml:space="preserve"> but have both terrestrial and marine in their list of appropriate habitats.</w:t>
      </w:r>
    </w:p>
    <w:p w14:paraId="63BF5303" w14:textId="77777777" w:rsidR="00497E2D" w:rsidRPr="00497E2D" w:rsidRDefault="00AE2C4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36AFD16A">
          <v:rect id="_x0000_i1029" style="width:0;height:1.5pt" o:hralign="center" o:hrstd="t" o:hrnoshade="t" o:hr="t" fillcolor="#222" stroked="f"/>
        </w:pict>
      </w:r>
    </w:p>
    <w:p w14:paraId="3DE0798D"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6. If you would like your identity to be revealed to the authors, please include your name here (optional).</w:t>
      </w:r>
    </w:p>
    <w:p w14:paraId="67A3D96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Your name and review will not be published with the manuscript. </w:t>
      </w:r>
    </w:p>
    <w:p w14:paraId="13D94E8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Reviewer #1: Kristin </w:t>
      </w:r>
      <w:proofErr w:type="spellStart"/>
      <w:r w:rsidRPr="00497E2D">
        <w:rPr>
          <w:rFonts w:ascii="Arial" w:eastAsia="Times New Roman" w:hAnsi="Arial" w:cs="Times New Roman"/>
          <w:color w:val="222222"/>
          <w:sz w:val="19"/>
          <w:szCs w:val="19"/>
          <w:shd w:val="clear" w:color="auto" w:fill="FFFFFF"/>
        </w:rPr>
        <w:t>Kaschner</w:t>
      </w:r>
      <w:proofErr w:type="spellEnd"/>
    </w:p>
    <w:p w14:paraId="12A6EE76"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 to be viewed.]</w:t>
      </w:r>
    </w:p>
    <w:p w14:paraId="2916CEA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Need assistance with your figure files?</w:t>
      </w:r>
    </w:p>
    <w:p w14:paraId="6B03AA52" w14:textId="77777777"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While revising your submission, we encourage you to use PACE (the Preflight* Analysis and Conversion Engine,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"http://pace.apexcovantage.com/"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http://pace.apexcovantage.com/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 digital diagnostic and conversion tool for figure files. PACE helps users ensure that their figures meet PLOS requirements and that the quality of published figures will be as high as possible. To use PACE, you must first register as a user. Then, login and navigate to the UPLOAD tab, where you will find detailed instructions on how to use the tool. If you encounter any issues or have any questions when using PACE, please email us at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"mailto:figures@plos.org"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figures@plos.org</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w:t>
      </w:r>
    </w:p>
    <w:p w14:paraId="06AA0613" w14:textId="77777777" w:rsidR="00080337" w:rsidRDefault="00080337" w:rsidP="00B45039">
      <w:pPr>
        <w:spacing w:after="120"/>
      </w:pPr>
    </w:p>
    <w:sectPr w:rsidR="00080337" w:rsidSect="000803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ey O'Hara" w:date="2016-12-20T11:55:00Z" w:initials="CO">
    <w:p w14:paraId="1201B1BE" w14:textId="77777777" w:rsidR="00A4555D" w:rsidRDefault="00A4555D">
      <w:pPr>
        <w:pStyle w:val="CommentText"/>
      </w:pPr>
      <w:r>
        <w:rPr>
          <w:rStyle w:val="CommentReference"/>
        </w:rPr>
        <w:annotationRef/>
      </w:r>
      <w:r>
        <w:t xml:space="preserve">OK, adjust </w:t>
      </w:r>
      <w:proofErr w:type="spellStart"/>
      <w:r>
        <w:t>writeup</w:t>
      </w:r>
      <w:proofErr w:type="spellEnd"/>
      <w:r>
        <w:t xml:space="preserve"> – clarify that AM (at max extent) approaches an extent of occurrence bounded by environmental borders; IUCN is extent of occurrence bounded by convex hull polygon.  Based on this, IUCN is likely to include additional area due to the convex hull standard method that would be excluded from AM based on environmental unsuitability.</w:t>
      </w:r>
    </w:p>
  </w:comment>
  <w:comment w:id="1" w:author="Casey O'Hara" w:date="2016-12-20T11:52:00Z" w:initials="CO">
    <w:p w14:paraId="660C7E84" w14:textId="77777777" w:rsidR="00A4555D" w:rsidRDefault="00A4555D">
      <w:pPr>
        <w:pStyle w:val="CommentText"/>
      </w:pPr>
      <w:r>
        <w:rPr>
          <w:rStyle w:val="CommentReference"/>
        </w:rPr>
        <w:annotationRef/>
      </w:r>
      <w:r>
        <w:t>Are conclusions tied to this assumption? Check this.</w:t>
      </w:r>
    </w:p>
  </w:comment>
  <w:comment w:id="2" w:author="Casey O'Hara" w:date="2016-12-20T11:57:00Z" w:initials="CO">
    <w:p w14:paraId="085E8C83" w14:textId="77777777" w:rsidR="00A4555D" w:rsidRDefault="00A4555D">
      <w:pPr>
        <w:pStyle w:val="CommentText"/>
      </w:pPr>
      <w:r>
        <w:rPr>
          <w:rStyle w:val="CommentReference"/>
        </w:rPr>
        <w:annotationRef/>
      </w:r>
      <w:r>
        <w:t xml:space="preserve">True.  Terminology?  </w:t>
      </w:r>
      <w:proofErr w:type="spellStart"/>
      <w:r>
        <w:t>AquaMaps</w:t>
      </w:r>
      <w:proofErr w:type="spellEnd"/>
      <w:r>
        <w:t xml:space="preserve"> modeling approach </w:t>
      </w:r>
      <w:proofErr w:type="spellStart"/>
      <w:r>
        <w:t>vs</w:t>
      </w:r>
      <w:proofErr w:type="spellEnd"/>
      <w:r>
        <w:t xml:space="preserve"> parameter setting approach</w:t>
      </w:r>
    </w:p>
  </w:comment>
  <w:comment w:id="3" w:author="Casey O'Hara" w:date="2016-12-30T11:59:00Z" w:initials="CO">
    <w:p w14:paraId="2E41290D" w14:textId="55970697" w:rsidR="00A4555D" w:rsidRDefault="00A4555D">
      <w:pPr>
        <w:pStyle w:val="CommentText"/>
      </w:pPr>
      <w:r>
        <w:rPr>
          <w:rStyle w:val="CommentReference"/>
        </w:rPr>
        <w:annotationRef/>
      </w:r>
      <w:r>
        <w:t>Done.  Additional scatter plot and bar chart (in SI) with reference from main text.</w:t>
      </w:r>
    </w:p>
  </w:comment>
  <w:comment w:id="4" w:author="Casey" w:date="2016-12-27T19:04:00Z" w:initials="C">
    <w:p w14:paraId="217E5DEC" w14:textId="77777777" w:rsidR="00A4555D" w:rsidRDefault="00A4555D">
      <w:pPr>
        <w:pStyle w:val="CommentText"/>
      </w:pPr>
      <w:r>
        <w:rPr>
          <w:rStyle w:val="CommentReference"/>
        </w:rPr>
        <w:annotationRef/>
      </w:r>
      <w:r>
        <w:t xml:space="preserve">Updated analysis to improve the species matching.  Some confusion on synonyms between IUCN and </w:t>
      </w:r>
      <w:proofErr w:type="spellStart"/>
      <w:r>
        <w:t>AquaMaps</w:t>
      </w:r>
      <w:proofErr w:type="spellEnd"/>
      <w:r>
        <w:t>.  Updated the algorithm based on a close inspection of mammals; the improved algorithm also affected other taxonomic groups as well.  Nothing to affect the qualitative conclusions.</w:t>
      </w:r>
    </w:p>
  </w:comment>
  <w:comment w:id="6" w:author="Casey" w:date="2016-12-27T19:02:00Z" w:initials="C">
    <w:p w14:paraId="07E5F33D" w14:textId="77777777" w:rsidR="00A4555D" w:rsidRDefault="00A4555D">
      <w:pPr>
        <w:pStyle w:val="CommentText"/>
      </w:pPr>
      <w:r>
        <w:rPr>
          <w:rStyle w:val="CommentReference"/>
        </w:rPr>
        <w:annotationRef/>
      </w:r>
      <w:r>
        <w:t>Sea otters are included in IUCN’s terrestrial mammal dataset, upon which these taxonomic groups are based.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D248D"/>
    <w:multiLevelType w:val="multilevel"/>
    <w:tmpl w:val="D80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2D"/>
    <w:rsid w:val="000614A6"/>
    <w:rsid w:val="00066886"/>
    <w:rsid w:val="00080337"/>
    <w:rsid w:val="001B1940"/>
    <w:rsid w:val="0031407B"/>
    <w:rsid w:val="003D6412"/>
    <w:rsid w:val="00497E2D"/>
    <w:rsid w:val="005A7001"/>
    <w:rsid w:val="005C00D2"/>
    <w:rsid w:val="00775AB9"/>
    <w:rsid w:val="0081599A"/>
    <w:rsid w:val="0085602D"/>
    <w:rsid w:val="00A07454"/>
    <w:rsid w:val="00A118CF"/>
    <w:rsid w:val="00A3243A"/>
    <w:rsid w:val="00A4555D"/>
    <w:rsid w:val="00AC7A66"/>
    <w:rsid w:val="00AE2C4B"/>
    <w:rsid w:val="00B45039"/>
    <w:rsid w:val="00C753C5"/>
    <w:rsid w:val="00CB425C"/>
    <w:rsid w:val="00CF69DB"/>
    <w:rsid w:val="00D74B34"/>
    <w:rsid w:val="00EA468B"/>
    <w:rsid w:val="00F244D2"/>
    <w:rsid w:val="00F53290"/>
    <w:rsid w:val="00FB7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0375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nhideWhenUsed/>
    <w:rsid w:val="00D74B34"/>
  </w:style>
  <w:style w:type="character" w:customStyle="1" w:styleId="CommentTextChar">
    <w:name w:val="Comment Text Char"/>
    <w:basedOn w:val="DefaultParagraphFont"/>
    <w:link w:val="CommentText"/>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 w:type="paragraph" w:customStyle="1" w:styleId="Response">
    <w:name w:val="Response"/>
    <w:basedOn w:val="Normal"/>
    <w:qFormat/>
    <w:rsid w:val="00A3243A"/>
    <w:pPr>
      <w:spacing w:after="240" w:line="276" w:lineRule="auto"/>
      <w:ind w:left="360"/>
    </w:pPr>
    <w:rPr>
      <w:rFonts w:ascii="Arial" w:eastAsia="Times New Roman" w:hAnsi="Arial" w:cs="Times New Roman"/>
      <w:color w:val="222222"/>
      <w:sz w:val="19"/>
      <w:szCs w:val="19"/>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nhideWhenUsed/>
    <w:rsid w:val="00D74B34"/>
  </w:style>
  <w:style w:type="character" w:customStyle="1" w:styleId="CommentTextChar">
    <w:name w:val="Comment Text Char"/>
    <w:basedOn w:val="DefaultParagraphFont"/>
    <w:link w:val="CommentText"/>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 w:type="paragraph" w:customStyle="1" w:styleId="Response">
    <w:name w:val="Response"/>
    <w:basedOn w:val="Normal"/>
    <w:qFormat/>
    <w:rsid w:val="00A3243A"/>
    <w:pPr>
      <w:spacing w:after="240" w:line="276" w:lineRule="auto"/>
      <w:ind w:left="360"/>
    </w:pPr>
    <w:rPr>
      <w:rFonts w:ascii="Arial" w:eastAsia="Times New Roman" w:hAnsi="Arial" w:cs="Times New Roman"/>
      <w:color w:val="222222"/>
      <w:sz w:val="19"/>
      <w:szCs w:val="1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07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2675</Words>
  <Characters>15254</Characters>
  <Application>Microsoft Macintosh Word</Application>
  <DocSecurity>0</DocSecurity>
  <Lines>127</Lines>
  <Paragraphs>35</Paragraphs>
  <ScaleCrop>false</ScaleCrop>
  <Company>NCEAS</Company>
  <LinksUpToDate>false</LinksUpToDate>
  <CharactersWithSpaces>17894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O'Hara</dc:creator>
  <cp:keywords/>
  <dc:description/>
  <cp:lastModifiedBy>Casey</cp:lastModifiedBy>
  <cp:revision>9</cp:revision>
  <cp:lastPrinted>2016-12-16T18:22:00Z</cp:lastPrinted>
  <dcterms:created xsi:type="dcterms:W3CDTF">2016-12-31T01:45:00Z</dcterms:created>
  <dcterms:modified xsi:type="dcterms:W3CDTF">2016-12-31T04:38:00Z</dcterms:modified>
</cp:coreProperties>
</file>