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m:t>
              </m:r>
              <m:r>
                <w:rPr>
                  <w:rFonts w:ascii="Cambria Math" w:hAnsi="Cambria Math" w:cs="Times New Roman"/>
                  <w:sz w:val="24"/>
                  <w:szCs w:val="24"/>
                </w:rPr>
                <m:t>+sentiment +</m:t>
              </m:r>
              <m:r>
                <w:rPr>
                  <w:rFonts w:ascii="Cambria Math" w:hAnsi="Cambria Math" w:cs="Times New Roman"/>
                  <w:sz w:val="24"/>
                  <w:szCs w:val="24"/>
                </w:rPr>
                <m:t>environment</m:t>
              </m:r>
            </m:num>
            <m:den>
              <m:r>
                <w:rPr>
                  <w:rFonts w:ascii="Cambria Math" w:hAnsi="Cambria Math" w:cs="Times New Roman"/>
                  <w:sz w:val="24"/>
                  <w:szCs w:val="24"/>
                </w:rPr>
                <m:t>3</m:t>
              </m:r>
            </m:den>
          </m:f>
        </m:oMath>
      </m:oMathPara>
    </w:p>
    <w:p w:rsidR="00DC59A0" w:rsidRDefault="0094084C" w:rsidP="0086554A">
      <w:pPr>
        <w:rPr>
          <w:i/>
        </w:rPr>
      </w:pPr>
      <w:proofErr w:type="gramStart"/>
      <w:r>
        <w:rPr>
          <w:i/>
        </w:rPr>
        <w:t>economic</w:t>
      </w:r>
      <w:proofErr w:type="gramEnd"/>
      <w:r>
        <w:rPr>
          <w:i/>
        </w:rPr>
        <w:t xml:space="preserve"> = (visitor GDP * visitor days per county)*r</w:t>
      </w:r>
    </w:p>
    <w:p w:rsidR="0094084C" w:rsidRDefault="0094084C" w:rsidP="0086554A">
      <w:pPr>
        <w:rPr>
          <w:i/>
        </w:rPr>
      </w:pPr>
      <w:r>
        <w:rPr>
          <w:i/>
        </w:rPr>
        <w:t>r = annual growth rate in visitor generated GDP</w:t>
      </w:r>
    </w:p>
    <w:p w:rsidR="0094084C" w:rsidRDefault="0094084C" w:rsidP="0086554A">
      <w:pPr>
        <w:rPr>
          <w:i/>
        </w:rPr>
      </w:pPr>
      <w:proofErr w:type="gramStart"/>
      <w:r>
        <w:rPr>
          <w:i/>
        </w:rPr>
        <w:t>r</w:t>
      </w:r>
      <w:proofErr w:type="gramEnd"/>
      <w:r>
        <w:rPr>
          <w:i/>
        </w:rPr>
        <w:t xml:space="preserve"> ≥2.5% = 1</w:t>
      </w:r>
    </w:p>
    <w:p w:rsidR="0094084C" w:rsidRDefault="0094084C" w:rsidP="0086554A">
      <w:pPr>
        <w:rPr>
          <w:i/>
        </w:rPr>
      </w:pPr>
      <w:r>
        <w:rPr>
          <w:i/>
        </w:rPr>
        <w:t>r≤1.5 and r</w:t>
      </w:r>
      <w:r>
        <w:rPr>
          <w:i/>
        </w:rPr>
        <w:t xml:space="preserve"> ≥</w:t>
      </w:r>
      <w:r>
        <w:rPr>
          <w:i/>
        </w:rPr>
        <w:t xml:space="preserve"> = -5.0% =0.5</w:t>
      </w:r>
    </w:p>
    <w:p w:rsidR="0094084C" w:rsidRDefault="0094084C" w:rsidP="0086554A">
      <w:pPr>
        <w:rPr>
          <w:i/>
        </w:rPr>
      </w:pPr>
      <w:r>
        <w:rPr>
          <w:i/>
        </w:rPr>
        <w:t>r&lt;5.0% and r&gt;25% =0.25</w:t>
      </w:r>
    </w:p>
    <w:p w:rsidR="0094084C" w:rsidRPr="0094084C" w:rsidRDefault="0094084C" w:rsidP="0086554A">
      <w:pPr>
        <w:rPr>
          <w:i/>
        </w:rPr>
      </w:pPr>
    </w:p>
    <w:p w:rsidR="00DC59A0" w:rsidRPr="00405F07" w:rsidRDefault="00DC59A0" w:rsidP="0086554A">
      <w:pPr>
        <w:rPr>
          <w:i/>
        </w:rPr>
      </w:pPr>
      <w:r>
        <w:t xml:space="preserve">The mean of </w:t>
      </w:r>
      <w:r w:rsidRPr="00DC59A0">
        <w:rPr>
          <w:i/>
        </w:rPr>
        <w:t xml:space="preserve">sentiment </w:t>
      </w:r>
      <w:r>
        <w:t>(</w:t>
      </w:r>
      <w:r>
        <w:t>visitor estimated GDP</w:t>
      </w:r>
      <w:r>
        <w:t>)</w:t>
      </w:r>
      <w:r>
        <w:t xml:space="preserve">, </w:t>
      </w:r>
      <w:r w:rsidRPr="00DC59A0">
        <w:rPr>
          <w:i/>
        </w:rPr>
        <w:t>sentiment</w:t>
      </w:r>
      <w:r w:rsidRPr="00DC59A0">
        <w:rPr>
          <w:i/>
        </w:rPr>
        <w:t xml:space="preserve"> </w:t>
      </w:r>
      <w:r>
        <w:t xml:space="preserve">(preservation of social and cultural values), and </w:t>
      </w:r>
      <w:r w:rsidRPr="00DC59A0">
        <w:rPr>
          <w:i/>
        </w:rPr>
        <w:t>environment</w:t>
      </w:r>
      <w:r>
        <w:t xml:space="preserve"> (protection of key habitats)</w:t>
      </w:r>
      <w:r>
        <w:t xml:space="preserve">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xml:space="preserve">. </w:t>
      </w:r>
      <w:r w:rsidR="0094084C">
        <w:t xml:space="preserve"> </w:t>
      </w:r>
      <w:r w:rsidR="0086554A">
        <w:t>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lastRenderedPageBreak/>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proofErr w:type="gramStart"/>
      <w:r w:rsidR="00604528">
        <w:t>NOAA</w:t>
      </w:r>
      <w:proofErr w:type="gramEnd"/>
      <w:r w:rsidR="00604528">
        <w:t xml:space="preserve">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0F065B">
      <w:r>
        <w:t>RESULTS</w:t>
      </w:r>
    </w:p>
    <w:p w:rsidR="00163CC0" w:rsidRDefault="00B62D8D">
      <w:r>
        <w:t>Scores</w:t>
      </w:r>
      <w:r w:rsidR="00D0428C">
        <w:t xml:space="preserve"> ranged from 59 to 65</w:t>
      </w:r>
      <w:r>
        <w:t xml:space="preserve"> by region. Scores a</w:t>
      </w:r>
      <w:r w:rsidR="00D0428C">
        <w:t xml:space="preserve">re low considering that </w:t>
      </w:r>
      <w:proofErr w:type="spellStart"/>
      <w:r w:rsidR="00D0428C">
        <w:t>Hawaiʻi’s</w:t>
      </w:r>
      <w:proofErr w:type="spellEnd"/>
      <w:r w:rsidR="00D0428C">
        <w:t xml:space="preserve"> economy’</w:t>
      </w:r>
      <w:r>
        <w:t xml:space="preserve">s main contributor is the tourism industry. The low scores reflect the need to balance the economic gains with </w:t>
      </w:r>
      <w:r w:rsidR="00D0428C">
        <w:t xml:space="preserve">the preservation of </w:t>
      </w:r>
      <w:proofErr w:type="spellStart"/>
      <w:r w:rsidR="00D0428C">
        <w:t>Hawaiʻi’</w:t>
      </w:r>
      <w:r>
        <w:t>s</w:t>
      </w:r>
      <w:proofErr w:type="spellEnd"/>
      <w:r>
        <w:t xml:space="preserve"> unique cultural and natural environment. </w:t>
      </w:r>
      <w:r w:rsidR="00163CC0">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p w:rsidR="00163CC0" w:rsidRDefault="00163CC0"/>
    <w:p w:rsidR="000F5DD3" w:rsidRDefault="000F5DD3">
      <w:pPr>
        <w:rPr>
          <w:b/>
        </w:rPr>
      </w:pPr>
      <w:r>
        <w:rPr>
          <w:b/>
        </w:rPr>
        <w:t>Livelihoods &amp; Economies</w:t>
      </w:r>
    </w:p>
    <w:p w:rsidR="000F5DD3" w:rsidRPr="00837473" w:rsidRDefault="00837473">
      <w:r>
        <w:t xml:space="preserve">Data from ENOW on Employment (jobs), Wages, and Revenue by ocean sector. </w:t>
      </w:r>
      <w:r w:rsidR="00BD02A7">
        <w:t>Self-employed and state employe</w:t>
      </w:r>
      <w:r>
        <w:t xml:space="preserve">d data sets were aggregated and summarized by county. However, when </w:t>
      </w:r>
      <w:bookmarkStart w:id="0" w:name="_GoBack"/>
      <w:bookmarkEnd w:id="0"/>
      <w:r>
        <w:t xml:space="preserve">aggregated to county some of the information was undisclosed therefore this data represents a conservative estimate of Livelihoods and Revenue. </w:t>
      </w:r>
    </w:p>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Pr>
          <w:rFonts w:ascii="Times New Roman" w:hAnsi="Times New Roman" w:cs="Times New Roman"/>
          <w:sz w:val="24"/>
          <w:szCs w:val="24"/>
        </w:rPr>
        <w:t>āina</w:t>
      </w:r>
      <w:proofErr w:type="spellEnd"/>
      <w:r>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Pr>
          <w:rFonts w:ascii="Times New Roman" w:hAnsi="Times New Roman" w:cs="Times New Roman"/>
          <w:sz w:val="24"/>
          <w:szCs w:val="24"/>
        </w:rPr>
        <w:t>ahupuaa</w:t>
      </w:r>
      <w:proofErr w:type="spellEnd"/>
      <w:r>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cultural practices and education of local environmental stewardship and culture is necessary for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lastRenderedPageBreak/>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369EE"/>
    <w:rsid w:val="00056C77"/>
    <w:rsid w:val="0006104C"/>
    <w:rsid w:val="00081219"/>
    <w:rsid w:val="000A7E4C"/>
    <w:rsid w:val="000F065B"/>
    <w:rsid w:val="000F14CD"/>
    <w:rsid w:val="000F5DD3"/>
    <w:rsid w:val="001027B9"/>
    <w:rsid w:val="0012701F"/>
    <w:rsid w:val="00154E00"/>
    <w:rsid w:val="00163CC0"/>
    <w:rsid w:val="00177163"/>
    <w:rsid w:val="0021575A"/>
    <w:rsid w:val="00275FEA"/>
    <w:rsid w:val="002811DB"/>
    <w:rsid w:val="00293958"/>
    <w:rsid w:val="002A7246"/>
    <w:rsid w:val="00351F97"/>
    <w:rsid w:val="003A561C"/>
    <w:rsid w:val="00403555"/>
    <w:rsid w:val="00405F07"/>
    <w:rsid w:val="00417BCD"/>
    <w:rsid w:val="00541329"/>
    <w:rsid w:val="00544E29"/>
    <w:rsid w:val="00561E41"/>
    <w:rsid w:val="005B5FDD"/>
    <w:rsid w:val="00604528"/>
    <w:rsid w:val="00661A0E"/>
    <w:rsid w:val="00687350"/>
    <w:rsid w:val="006946E9"/>
    <w:rsid w:val="00787CA8"/>
    <w:rsid w:val="00837473"/>
    <w:rsid w:val="0086554A"/>
    <w:rsid w:val="00870D69"/>
    <w:rsid w:val="00881577"/>
    <w:rsid w:val="00890E98"/>
    <w:rsid w:val="008D5901"/>
    <w:rsid w:val="0094084C"/>
    <w:rsid w:val="00977160"/>
    <w:rsid w:val="00977CB3"/>
    <w:rsid w:val="00A4683B"/>
    <w:rsid w:val="00AB4171"/>
    <w:rsid w:val="00AD2B0F"/>
    <w:rsid w:val="00AE5473"/>
    <w:rsid w:val="00B10750"/>
    <w:rsid w:val="00B511AF"/>
    <w:rsid w:val="00B62D8D"/>
    <w:rsid w:val="00B71757"/>
    <w:rsid w:val="00B92455"/>
    <w:rsid w:val="00BD02A7"/>
    <w:rsid w:val="00CB4775"/>
    <w:rsid w:val="00CB74DF"/>
    <w:rsid w:val="00CC1051"/>
    <w:rsid w:val="00CE2994"/>
    <w:rsid w:val="00CF761A"/>
    <w:rsid w:val="00D0428C"/>
    <w:rsid w:val="00D217B0"/>
    <w:rsid w:val="00D853BD"/>
    <w:rsid w:val="00D97895"/>
    <w:rsid w:val="00DC59A0"/>
    <w:rsid w:val="00DC630A"/>
    <w:rsid w:val="00E00666"/>
    <w:rsid w:val="00E30D3A"/>
    <w:rsid w:val="00EC465D"/>
    <w:rsid w:val="00ED6AC0"/>
    <w:rsid w:val="00F750A9"/>
    <w:rsid w:val="00F80449"/>
    <w:rsid w:val="00FE6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2655</TotalTime>
  <Pages>7</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54</cp:revision>
  <dcterms:created xsi:type="dcterms:W3CDTF">2017-04-25T21:37:00Z</dcterms:created>
  <dcterms:modified xsi:type="dcterms:W3CDTF">2017-04-28T16:32:00Z</dcterms:modified>
</cp:coreProperties>
</file>