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5"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w:t>
      </w:r>
      <w:bookmarkStart w:id="0" w:name="_GoBack"/>
      <w:bookmarkEnd w:id="0"/>
      <w:r w:rsidR="00B92455">
        <w:rPr>
          <w:rFonts w:eastAsiaTheme="minorEastAsia"/>
        </w:rPr>
        <w:t xml:space="preserve">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17BCD" w:rsidRDefault="00417BCD">
      <w:proofErr w:type="gramStart"/>
      <w:r>
        <w:t xml:space="preserve">Data from </w:t>
      </w:r>
      <w:proofErr w:type="spellStart"/>
      <w:r>
        <w:t>dbedt</w:t>
      </w:r>
      <w:proofErr w:type="spellEnd"/>
      <w:r>
        <w:t>.</w:t>
      </w:r>
      <w:proofErr w:type="gramEnd"/>
      <w:r>
        <w:t xml:space="preserve"> Used </w:t>
      </w:r>
    </w:p>
    <w:p w:rsidR="00417BCD" w:rsidRDefault="00417BCD"/>
    <w:p w:rsidR="00881577" w:rsidRDefault="00AE5473">
      <w:pPr>
        <w:rPr>
          <w:b/>
        </w:rPr>
      </w:pPr>
      <w:r>
        <w:rPr>
          <w:b/>
        </w:rPr>
        <w:t>Clean Water</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369EE"/>
    <w:rsid w:val="00056C77"/>
    <w:rsid w:val="0006104C"/>
    <w:rsid w:val="00081219"/>
    <w:rsid w:val="000F14CD"/>
    <w:rsid w:val="0012701F"/>
    <w:rsid w:val="0021575A"/>
    <w:rsid w:val="00275FEA"/>
    <w:rsid w:val="002811DB"/>
    <w:rsid w:val="00293958"/>
    <w:rsid w:val="002A7246"/>
    <w:rsid w:val="00351F97"/>
    <w:rsid w:val="003A561C"/>
    <w:rsid w:val="00403555"/>
    <w:rsid w:val="00417BCD"/>
    <w:rsid w:val="00541329"/>
    <w:rsid w:val="00544E29"/>
    <w:rsid w:val="00561E41"/>
    <w:rsid w:val="005B5FDD"/>
    <w:rsid w:val="00661A0E"/>
    <w:rsid w:val="006946E9"/>
    <w:rsid w:val="00787CA8"/>
    <w:rsid w:val="00870D69"/>
    <w:rsid w:val="00881577"/>
    <w:rsid w:val="00890E98"/>
    <w:rsid w:val="008D5901"/>
    <w:rsid w:val="00977CB3"/>
    <w:rsid w:val="00A4683B"/>
    <w:rsid w:val="00AB4171"/>
    <w:rsid w:val="00AD2B0F"/>
    <w:rsid w:val="00AE5473"/>
    <w:rsid w:val="00B10750"/>
    <w:rsid w:val="00B511AF"/>
    <w:rsid w:val="00B92455"/>
    <w:rsid w:val="00CB4775"/>
    <w:rsid w:val="00CC1051"/>
    <w:rsid w:val="00CE2994"/>
    <w:rsid w:val="00CF761A"/>
    <w:rsid w:val="00D217B0"/>
    <w:rsid w:val="00D97895"/>
    <w:rsid w:val="00DC630A"/>
    <w:rsid w:val="00E00666"/>
    <w:rsid w:val="00E30D3A"/>
    <w:rsid w:val="00EC465D"/>
    <w:rsid w:val="00F7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ss.usda.gov/Statistics_by_State/Hawaii/Publications/Annual_Statistical_Bulletin/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1512</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36</cp:revision>
  <dcterms:created xsi:type="dcterms:W3CDTF">2017-04-25T21:37:00Z</dcterms:created>
  <dcterms:modified xsi:type="dcterms:W3CDTF">2017-04-27T17:18:00Z</dcterms:modified>
</cp:coreProperties>
</file>