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E430E9"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this goal but are included in the catch data for reference, comprising </w:t>
      </w:r>
      <w:commentRangeStart w:id="0"/>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0"/>
      <w:r w:rsidR="004E3C55">
        <w:rPr>
          <w:rStyle w:val="CommentReference"/>
        </w:rPr>
        <w:commentReference w:id="0"/>
      </w:r>
      <w:r w:rsidR="0080470B">
        <w:rPr>
          <w:rFonts w:ascii="Times New Roman" w:hAnsi="Times New Roman" w:cs="Times New Roman"/>
          <w:color w:val="000000" w:themeColor="text1"/>
          <w:sz w:val="24"/>
          <w:szCs w:val="24"/>
        </w:rPr>
        <w:t>of commercial catch. However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1"/>
      <w:r w:rsidR="00B734FD">
        <w:rPr>
          <w:rFonts w:ascii="Times New Roman" w:hAnsi="Times New Roman" w:cs="Times New Roman"/>
          <w:sz w:val="24"/>
          <w:szCs w:val="24"/>
        </w:rPr>
        <w:t>DAR</w:t>
      </w:r>
      <w:commentRangeEnd w:id="1"/>
      <w:r w:rsidR="00B734FD">
        <w:rPr>
          <w:rStyle w:val="CommentReference"/>
        </w:rPr>
        <w:commentReference w:id="1"/>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23DF16A9" w14:textId="77777777" w:rsidR="00C32CAE" w:rsidRDefault="00C32CAE">
      <w:pPr>
        <w:rPr>
          <w:rFonts w:ascii="Times New Roman" w:hAnsi="Times New Roman" w:cs="Times New Roman"/>
          <w:sz w:val="24"/>
          <w:szCs w:val="24"/>
        </w:rPr>
      </w:pPr>
    </w:p>
    <w:p w14:paraId="756F10EB" w14:textId="5844AD49" w:rsidR="00A27AD0" w:rsidRPr="006409FC" w:rsidRDefault="006409FC">
      <w:pPr>
        <w:rPr>
          <w:rFonts w:ascii="Times New Roman" w:hAnsi="Times New Roman" w:cs="Times New Roman"/>
          <w:i/>
          <w:sz w:val="24"/>
          <w:szCs w:val="24"/>
        </w:rPr>
      </w:pPr>
      <w:r w:rsidRPr="006409FC">
        <w:rPr>
          <w:rFonts w:ascii="Times New Roman" w:hAnsi="Times New Roman" w:cs="Times New Roman"/>
          <w:i/>
          <w:sz w:val="24"/>
          <w:szCs w:val="24"/>
        </w:rPr>
        <w:t>Data Gaps</w:t>
      </w:r>
    </w:p>
    <w:p w14:paraId="6858CF4B" w14:textId="2FBF6252"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Bottom fish taxonomic resolution for the stock assessment</w:t>
      </w:r>
    </w:p>
    <w:p w14:paraId="6739CECC" w14:textId="10CF6C70"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Public perception of fisheries</w:t>
      </w:r>
    </w:p>
    <w:p w14:paraId="007FB4F2" w14:textId="5559372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Catch from recreational fisheries is estimated. The number of recreational fishers and the recreation catch remains unknown.</w:t>
      </w:r>
    </w:p>
    <w:p w14:paraId="5AA62E55" w14:textId="6FDFCCB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Non-reported commercial catch</w:t>
      </w:r>
    </w:p>
    <w:p w14:paraId="344C582F" w14:textId="4BDE6A5E"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Dealer reporting</w:t>
      </w:r>
    </w:p>
    <w:p w14:paraId="77BDEA9C" w14:textId="4F13CBAF"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Lacking stock assessments for many of the harvested fish species</w:t>
      </w:r>
    </w:p>
    <w:p w14:paraId="2EA37031" w14:textId="4579E824"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 xml:space="preserve">Invertebrates are not included such as </w:t>
      </w:r>
      <w:proofErr w:type="spellStart"/>
      <w:r w:rsidRPr="006409FC">
        <w:rPr>
          <w:rFonts w:ascii="Times New Roman" w:hAnsi="Times New Roman" w:cs="Times New Roman"/>
          <w:sz w:val="24"/>
          <w:szCs w:val="24"/>
        </w:rPr>
        <w:t>opihi</w:t>
      </w:r>
      <w:proofErr w:type="spellEnd"/>
      <w:r w:rsidRPr="006409FC">
        <w:rPr>
          <w:rFonts w:ascii="Times New Roman" w:hAnsi="Times New Roman" w:cs="Times New Roman"/>
          <w:sz w:val="24"/>
          <w:szCs w:val="24"/>
        </w:rPr>
        <w:t xml:space="preserve">, sea cucumbers, </w:t>
      </w:r>
      <w:proofErr w:type="spellStart"/>
      <w:r w:rsidRPr="006409FC">
        <w:rPr>
          <w:rFonts w:ascii="Times New Roman" w:hAnsi="Times New Roman" w:cs="Times New Roman"/>
          <w:sz w:val="24"/>
          <w:szCs w:val="24"/>
        </w:rPr>
        <w:t>heʻe</w:t>
      </w:r>
      <w:proofErr w:type="spellEnd"/>
      <w:r w:rsidRPr="006409FC">
        <w:rPr>
          <w:rFonts w:ascii="Times New Roman" w:hAnsi="Times New Roman" w:cs="Times New Roman"/>
          <w:sz w:val="24"/>
          <w:szCs w:val="24"/>
        </w:rPr>
        <w:t xml:space="preserve">, </w:t>
      </w:r>
      <w:proofErr w:type="spellStart"/>
      <w:r w:rsidRPr="006409FC">
        <w:rPr>
          <w:rFonts w:ascii="Times New Roman" w:hAnsi="Times New Roman" w:cs="Times New Roman"/>
          <w:sz w:val="24"/>
          <w:szCs w:val="24"/>
        </w:rPr>
        <w:t>lobserter</w:t>
      </w:r>
      <w:proofErr w:type="spellEnd"/>
      <w:r w:rsidRPr="006409FC">
        <w:rPr>
          <w:rFonts w:ascii="Times New Roman" w:hAnsi="Times New Roman" w:cs="Times New Roman"/>
          <w:sz w:val="24"/>
          <w:szCs w:val="24"/>
        </w:rPr>
        <w:t xml:space="preserve">, and others. There is not an estimate of recreational catch, which is thought to be a large proportion of the catch, and there are not stock assessments for these species. </w:t>
      </w:r>
    </w:p>
    <w:p w14:paraId="40751880" w14:textId="77777777" w:rsidR="00C32CAE" w:rsidRDefault="00C32CAE">
      <w:pPr>
        <w:rPr>
          <w:rFonts w:ascii="Times New Roman" w:hAnsi="Times New Roman" w:cs="Times New Roman"/>
          <w:b/>
          <w:color w:val="4F81BD" w:themeColor="accent1"/>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797D3D15" w:rsidR="00AE5473" w:rsidRPr="00E139F2" w:rsidRDefault="00E139F2" w:rsidP="00AE5473">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Data Gaps</w:t>
      </w:r>
    </w:p>
    <w:p w14:paraId="29947156" w14:textId="0AEB1333" w:rsidR="00E705D3" w:rsidRPr="00E139F2" w:rsidRDefault="00E705D3" w:rsidP="00E139F2">
      <w:pPr>
        <w:pStyle w:val="ListParagraph"/>
        <w:numPr>
          <w:ilvl w:val="0"/>
          <w:numId w:val="9"/>
        </w:numPr>
        <w:rPr>
          <w:rFonts w:ascii="Times New Roman" w:eastAsiaTheme="minorEastAsia" w:hAnsi="Times New Roman" w:cs="Times New Roman"/>
          <w:sz w:val="24"/>
          <w:szCs w:val="24"/>
        </w:rPr>
      </w:pPr>
      <w:proofErr w:type="spellStart"/>
      <w:r w:rsidRPr="00E139F2">
        <w:rPr>
          <w:rFonts w:ascii="Times New Roman" w:eastAsiaTheme="minorEastAsia" w:hAnsi="Times New Roman" w:cs="Times New Roman"/>
          <w:sz w:val="24"/>
          <w:szCs w:val="24"/>
        </w:rPr>
        <w:t>Kapuna</w:t>
      </w:r>
      <w:proofErr w:type="spellEnd"/>
      <w:r w:rsidRPr="00E139F2">
        <w:rPr>
          <w:rFonts w:ascii="Times New Roman" w:eastAsiaTheme="minorEastAsia" w:hAnsi="Times New Roman" w:cs="Times New Roman"/>
          <w:sz w:val="24"/>
          <w:szCs w:val="24"/>
        </w:rPr>
        <w:t xml:space="preserve"> knowledge on fishpond historical locations, practices, and production</w:t>
      </w:r>
    </w:p>
    <w:p w14:paraId="774C3CD4" w14:textId="53FAC2E7"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Public perceptions of farmed seafood</w:t>
      </w:r>
    </w:p>
    <w:p w14:paraId="5614089C" w14:textId="1DB6334D"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 xml:space="preserve">Unknown total </w:t>
      </w:r>
      <w:proofErr w:type="spellStart"/>
      <w:r w:rsidRPr="00E139F2">
        <w:rPr>
          <w:rFonts w:ascii="Times New Roman" w:eastAsiaTheme="minorEastAsia" w:hAnsi="Times New Roman" w:cs="Times New Roman"/>
          <w:sz w:val="24"/>
          <w:szCs w:val="24"/>
        </w:rPr>
        <w:t>lbs</w:t>
      </w:r>
      <w:proofErr w:type="spellEnd"/>
      <w:r w:rsidRPr="00E139F2">
        <w:rPr>
          <w:rFonts w:ascii="Times New Roman" w:eastAsiaTheme="minorEastAsia" w:hAnsi="Times New Roman" w:cs="Times New Roman"/>
          <w:sz w:val="24"/>
          <w:szCs w:val="24"/>
        </w:rPr>
        <w:t xml:space="preserve"> produced some years and some counties due to non-disclosure requirements when there are too few operators.</w:t>
      </w: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145A2F3E" w:rsidR="00517D61" w:rsidRPr="00E139F2" w:rsidRDefault="00E139F2">
      <w:pPr>
        <w:rPr>
          <w:rFonts w:ascii="Times New Roman" w:hAnsi="Times New Roman" w:cs="Times New Roman"/>
          <w:i/>
          <w:sz w:val="24"/>
          <w:szCs w:val="24"/>
        </w:rPr>
      </w:pPr>
      <w:r>
        <w:rPr>
          <w:rFonts w:ascii="Times New Roman" w:hAnsi="Times New Roman" w:cs="Times New Roman"/>
          <w:i/>
          <w:sz w:val="24"/>
          <w:szCs w:val="24"/>
        </w:rPr>
        <w:t>Data Gaps</w:t>
      </w:r>
    </w:p>
    <w:p w14:paraId="23F1E2EA" w14:textId="00C88505"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Number of fishers</w:t>
      </w:r>
    </w:p>
    <w:p w14:paraId="27A3C4AB" w14:textId="6DC27630"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Fish flow</w:t>
      </w:r>
    </w:p>
    <w:p w14:paraId="6FAA27B6" w14:textId="0296631E"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Catch and effort data</w:t>
      </w:r>
    </w:p>
    <w:p w14:paraId="1807E985" w14:textId="5E653A88"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Beach access locations are managed by counties and it is unknown how often the data are updated.</w:t>
      </w:r>
    </w:p>
    <w:p w14:paraId="36C141A2" w14:textId="77777777" w:rsidR="00A93512" w:rsidRPr="001840F7" w:rsidRDefault="00A93512">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E430E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reference annual growth rate in visitor generated GDP=2.5%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lastRenderedPageBreak/>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w:t>
      </w:r>
      <w:r w:rsidRPr="001840F7">
        <w:rPr>
          <w:rFonts w:ascii="Times New Roman" w:hAnsi="Times New Roman" w:cs="Times New Roman"/>
          <w:sz w:val="24"/>
          <w:szCs w:val="24"/>
        </w:rPr>
        <w:lastRenderedPageBreak/>
        <w:t xml:space="preserve">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1FC90219" w:rsidR="00E51386" w:rsidRPr="00E139F2" w:rsidRDefault="00E139F2" w:rsidP="00E51386">
      <w:pPr>
        <w:rPr>
          <w:rFonts w:ascii="Times New Roman" w:hAnsi="Times New Roman" w:cs="Times New Roman"/>
          <w:i/>
          <w:color w:val="000000" w:themeColor="text1"/>
          <w:sz w:val="24"/>
          <w:szCs w:val="24"/>
        </w:rPr>
      </w:pPr>
      <w:r w:rsidRPr="00E139F2">
        <w:rPr>
          <w:rFonts w:ascii="Times New Roman" w:hAnsi="Times New Roman" w:cs="Times New Roman"/>
          <w:i/>
          <w:color w:val="000000" w:themeColor="text1"/>
          <w:sz w:val="24"/>
          <w:szCs w:val="24"/>
        </w:rPr>
        <w:t>Data Gaps</w:t>
      </w:r>
    </w:p>
    <w:p w14:paraId="449B75B8" w14:textId="465A44F2" w:rsidR="00E430E9"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It is unknown how much of the Tourism Accommodation Tax (TAT) goes back to environmental protection and restoration.</w:t>
      </w:r>
    </w:p>
    <w:p w14:paraId="2EF4D16D" w14:textId="77777777" w:rsidR="00E51386" w:rsidRDefault="00E51386" w:rsidP="00E51386">
      <w:pPr>
        <w:rPr>
          <w:rFonts w:ascii="Times New Roman" w:hAnsi="Times New Roman" w:cs="Times New Roman"/>
          <w:b/>
          <w:color w:val="4F81BD" w:themeColor="accent1"/>
          <w:sz w:val="24"/>
          <w:szCs w:val="24"/>
        </w:rPr>
      </w:pPr>
    </w:p>
    <w:p w14:paraId="23F08C8D" w14:textId="77777777" w:rsidR="00E430E9" w:rsidRDefault="00E430E9" w:rsidP="00E51386">
      <w:pPr>
        <w:rPr>
          <w:rFonts w:ascii="Times New Roman" w:hAnsi="Times New Roman" w:cs="Times New Roman"/>
          <w:b/>
          <w:color w:val="4F81BD" w:themeColor="accent1"/>
          <w:sz w:val="24"/>
          <w:szCs w:val="24"/>
        </w:rPr>
      </w:pPr>
    </w:p>
    <w:p w14:paraId="5E4CD530" w14:textId="77777777" w:rsidR="00E430E9" w:rsidRPr="001840F7" w:rsidRDefault="00E430E9" w:rsidP="00E51386">
      <w:pPr>
        <w:rPr>
          <w:rFonts w:ascii="Times New Roman" w:hAnsi="Times New Roman" w:cs="Times New Roman"/>
          <w:b/>
          <w:color w:val="4F81BD" w:themeColor="accent1"/>
          <w:sz w:val="24"/>
          <w:szCs w:val="24"/>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 xml:space="preserve">(DBEDT 2007, </w:t>
      </w:r>
      <w:hyperlink r:id="rId15" w:history="1">
        <w:r w:rsidRPr="002455C3">
          <w:rPr>
            <w:rStyle w:val="Hyperlink"/>
            <w:rFonts w:ascii="Times New Roman" w:hAnsi="Times New Roman" w:cs="Times New Roman"/>
            <w:sz w:val="24"/>
            <w:szCs w:val="24"/>
          </w:rPr>
          <w:t>http://files.hawaii.gov/dbedt/economic/reports/IO/2007_state_io_study.pdf)</w:t>
        </w:r>
      </w:hyperlink>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3028C91C" w:rsidR="0087212D" w:rsidRPr="00E139F2" w:rsidRDefault="002938C0">
      <w:pPr>
        <w:rPr>
          <w:rFonts w:ascii="Times New Roman" w:hAnsi="Times New Roman" w:cs="Times New Roman"/>
          <w:i/>
          <w:sz w:val="24"/>
          <w:szCs w:val="24"/>
        </w:rPr>
      </w:pPr>
      <w:r w:rsidRPr="00E139F2">
        <w:rPr>
          <w:rFonts w:ascii="Times New Roman" w:hAnsi="Times New Roman" w:cs="Times New Roman"/>
          <w:i/>
          <w:sz w:val="24"/>
          <w:szCs w:val="24"/>
        </w:rPr>
        <w:t>Data Gaps</w:t>
      </w:r>
    </w:p>
    <w:p w14:paraId="62D43EE8" w14:textId="3CB1DA0D"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 xml:space="preserve">Many sectors are not well represented in LE such as pro-surfers, marine and ocean scientists, </w:t>
      </w:r>
      <w:proofErr w:type="spellStart"/>
      <w:r w:rsidRPr="00E139F2">
        <w:rPr>
          <w:rFonts w:ascii="Times New Roman" w:hAnsi="Times New Roman" w:cs="Times New Roman"/>
          <w:sz w:val="24"/>
          <w:szCs w:val="24"/>
        </w:rPr>
        <w:t>etc</w:t>
      </w:r>
      <w:proofErr w:type="spellEnd"/>
    </w:p>
    <w:p w14:paraId="29E476E4" w14:textId="3CCB32B6"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Sector evenness</w:t>
      </w:r>
    </w:p>
    <w:p w14:paraId="0E06FAAB" w14:textId="77777777" w:rsidR="002938C0" w:rsidRDefault="002938C0">
      <w:pPr>
        <w:rPr>
          <w:rFonts w:ascii="Times New Roman" w:hAnsi="Times New Roman" w:cs="Times New Roman"/>
          <w:sz w:val="24"/>
          <w:szCs w:val="24"/>
        </w:rPr>
      </w:pPr>
    </w:p>
    <w:p w14:paraId="7FB1C49C" w14:textId="77777777" w:rsidR="002938C0" w:rsidRDefault="002938C0">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w:t>
      </w:r>
      <w:r w:rsidR="000979AA" w:rsidRPr="00E172F0">
        <w:rPr>
          <w:rFonts w:ascii="Times New Roman" w:eastAsia="Times New Roman" w:hAnsi="Times New Roman" w:cs="Times New Roman"/>
          <w:color w:val="000000"/>
        </w:rPr>
        <w:lastRenderedPageBreak/>
        <w:t xml:space="preserve">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E430E9"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1CEF8E17"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 xml:space="preserve">ion of marine and </w:t>
      </w:r>
      <w:r w:rsidR="00BB55EF">
        <w:rPr>
          <w:rFonts w:ascii="Times New Roman" w:eastAsia="Times New Roman" w:hAnsi="Times New Roman" w:cs="Times New Roman"/>
          <w:color w:val="000000"/>
        </w:rPr>
        <w:t xml:space="preserve">terrestrial </w:t>
      </w:r>
      <w:r>
        <w:rPr>
          <w:rFonts w:ascii="Times New Roman" w:eastAsia="Times New Roman" w:hAnsi="Times New Roman" w:cs="Times New Roman"/>
          <w:color w:val="000000"/>
        </w:rPr>
        <w:t xml:space="preserve">coastal areas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0EA1CB25" w:rsidR="00541B43" w:rsidRPr="001840F7" w:rsidRDefault="00E430E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3AC2C69" w14:textId="77777777" w:rsidR="00A4581A" w:rsidRDefault="00A4581A">
      <w:pPr>
        <w:rPr>
          <w:rFonts w:ascii="Times New Roman" w:hAnsi="Times New Roman" w:cs="Times New Roman"/>
          <w:sz w:val="24"/>
          <w:szCs w:val="24"/>
        </w:rPr>
      </w:pPr>
    </w:p>
    <w:p w14:paraId="0F30A385" w14:textId="4581B05C" w:rsidR="00A4581A" w:rsidRDefault="00BB55EF">
      <w:pPr>
        <w:rPr>
          <w:rFonts w:ascii="Times New Roman" w:hAnsi="Times New Roman" w:cs="Times New Roman"/>
          <w:sz w:val="24"/>
          <w:szCs w:val="24"/>
        </w:rPr>
      </w:pPr>
      <w:r>
        <w:rPr>
          <w:rFonts w:ascii="Times New Roman" w:hAnsi="Times New Roman" w:cs="Times New Roman"/>
          <w:sz w:val="24"/>
          <w:szCs w:val="24"/>
        </w:rPr>
        <w:t xml:space="preserve">Table #. There are five types of conservation districts. </w:t>
      </w:r>
      <w:r w:rsidR="00A4581A">
        <w:rPr>
          <w:rFonts w:ascii="Times New Roman" w:hAnsi="Times New Roman" w:cs="Times New Roman"/>
          <w:sz w:val="24"/>
          <w:szCs w:val="24"/>
        </w:rPr>
        <w:t xml:space="preserve">Terrestrial </w:t>
      </w:r>
      <w:r w:rsidR="00D845F7">
        <w:rPr>
          <w:rFonts w:ascii="Times New Roman" w:hAnsi="Times New Roman" w:cs="Times New Roman"/>
          <w:sz w:val="24"/>
          <w:szCs w:val="24"/>
        </w:rPr>
        <w:t xml:space="preserve">conservation areas were </w:t>
      </w:r>
      <w:r>
        <w:rPr>
          <w:rFonts w:ascii="Times New Roman" w:hAnsi="Times New Roman" w:cs="Times New Roman"/>
          <w:sz w:val="24"/>
          <w:szCs w:val="24"/>
        </w:rPr>
        <w:t>weighted by their protective ability.</w:t>
      </w:r>
      <w:r w:rsidR="00A4581A">
        <w:rPr>
          <w:rFonts w:ascii="Times New Roman" w:hAnsi="Times New Roman" w:cs="Times New Roman"/>
          <w:sz w:val="24"/>
          <w:szCs w:val="24"/>
        </w:rPr>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rFonts w:ascii="Times New Roman" w:hAnsi="Times New Roman" w:cs="Times New Roman"/>
                <w:b w:val="0"/>
                <w:sz w:val="24"/>
                <w:szCs w:val="24"/>
              </w:rPr>
            </w:pPr>
            <w:r w:rsidRPr="000A5E32">
              <w:rPr>
                <w:rFonts w:ascii="Times New Roman" w:hAnsi="Times New Roman" w:cs="Times New Roman"/>
                <w:b w:val="0"/>
                <w:sz w:val="24"/>
                <w:szCs w:val="24"/>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A5E32">
              <w:rPr>
                <w:rFonts w:ascii="Times New Roman" w:hAnsi="Times New Roman" w:cs="Times New Roman"/>
                <w:b w:val="0"/>
                <w:sz w:val="24"/>
                <w:szCs w:val="24"/>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Res</w:t>
            </w:r>
            <w:r w:rsidR="00D321FF" w:rsidRPr="000A5E32">
              <w:rPr>
                <w:rFonts w:ascii="Times New Roman" w:hAnsi="Times New Roman" w:cs="Times New Roman"/>
                <w:b w:val="0"/>
                <w:sz w:val="24"/>
                <w:szCs w:val="24"/>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0.6</w:t>
            </w:r>
          </w:p>
        </w:tc>
      </w:tr>
    </w:tbl>
    <w:p w14:paraId="4D4B3F3E" w14:textId="77777777" w:rsidR="006117E2" w:rsidRDefault="006117E2">
      <w:pPr>
        <w:rPr>
          <w:rFonts w:ascii="Times New Roman" w:hAnsi="Times New Roman" w:cs="Times New Roman"/>
          <w:sz w:val="24"/>
          <w:szCs w:val="24"/>
        </w:rPr>
      </w:pPr>
    </w:p>
    <w:p w14:paraId="6496E00C" w14:textId="77777777" w:rsidR="000A5E32" w:rsidRDefault="000A5E32" w:rsidP="006117E2">
      <w:pPr>
        <w:rPr>
          <w:rFonts w:ascii="Times New Roman" w:hAnsi="Times New Roman" w:cs="Times New Roman"/>
          <w:i/>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0A5E32">
        <w:trPr>
          <w:trHeight w:val="315"/>
        </w:trPr>
        <w:tc>
          <w:tcPr>
            <w:tcW w:w="960" w:type="dxa"/>
            <w:tcBorders>
              <w:top w:val="single" w:sz="4" w:space="0" w:color="auto"/>
              <w:left w:val="nil"/>
              <w:bottom w:val="single" w:sz="4" w:space="0" w:color="auto"/>
              <w:right w:val="nil"/>
            </w:tcBorders>
            <w:shd w:val="clear" w:color="auto" w:fill="auto"/>
            <w:noWrap/>
            <w:vAlign w:val="bottom"/>
            <w:hideMark/>
          </w:tcPr>
          <w:p w14:paraId="5311B10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year</w:t>
            </w:r>
          </w:p>
        </w:tc>
        <w:tc>
          <w:tcPr>
            <w:tcW w:w="1460" w:type="dxa"/>
            <w:tcBorders>
              <w:top w:val="single" w:sz="4" w:space="0" w:color="auto"/>
              <w:left w:val="nil"/>
              <w:bottom w:val="single" w:sz="4" w:space="0" w:color="auto"/>
              <w:right w:val="nil"/>
            </w:tcBorders>
            <w:shd w:val="clear" w:color="auto" w:fill="auto"/>
            <w:noWrap/>
            <w:vAlign w:val="bottom"/>
            <w:hideMark/>
          </w:tcPr>
          <w:p w14:paraId="68C1DE4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14:paraId="7079C14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single" w:sz="4" w:space="0" w:color="auto"/>
              <w:left w:val="nil"/>
              <w:bottom w:val="single" w:sz="4" w:space="0" w:color="auto"/>
              <w:right w:val="nil"/>
            </w:tcBorders>
            <w:shd w:val="clear" w:color="auto" w:fill="auto"/>
            <w:noWrap/>
            <w:vAlign w:val="bottom"/>
            <w:hideMark/>
          </w:tcPr>
          <w:p w14:paraId="09F8BF6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single" w:sz="4" w:space="0" w:color="auto"/>
              <w:left w:val="nil"/>
              <w:bottom w:val="single" w:sz="4" w:space="0" w:color="auto"/>
              <w:right w:val="nil"/>
            </w:tcBorders>
            <w:shd w:val="clear" w:color="auto" w:fill="auto"/>
            <w:noWrap/>
            <w:vAlign w:val="bottom"/>
            <w:hideMark/>
          </w:tcPr>
          <w:p w14:paraId="26D46B2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single" w:sz="4" w:space="0" w:color="auto"/>
              <w:left w:val="nil"/>
              <w:bottom w:val="single" w:sz="4" w:space="0" w:color="auto"/>
              <w:right w:val="nil"/>
            </w:tcBorders>
            <w:shd w:val="clear" w:color="auto" w:fill="auto"/>
            <w:noWrap/>
            <w:vAlign w:val="bottom"/>
            <w:hideMark/>
          </w:tcPr>
          <w:p w14:paraId="3E20682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D845F7">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D845F7">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D845F7">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D845F7">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1CDB8E1D" w14:textId="27F4EA00" w:rsidR="00342240" w:rsidRPr="001840F7" w:rsidRDefault="00E430E9"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230917DA"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w:t>
      </w:r>
      <w:r w:rsidR="003F5024">
        <w:rPr>
          <w:rFonts w:ascii="Times New Roman" w:hAnsi="Times New Roman" w:cs="Times New Roman"/>
          <w:sz w:val="24"/>
          <w:szCs w:val="24"/>
        </w:rPr>
        <w:t>that people have with the ocean and coastal areas</w:t>
      </w:r>
      <w:r w:rsidRPr="001840F7">
        <w:rPr>
          <w:rFonts w:ascii="Times New Roman" w:hAnsi="Times New Roman" w:cs="Times New Roman"/>
          <w:sz w:val="24"/>
          <w:szCs w:val="24"/>
        </w:rPr>
        <w:t xml:space="preserve">. </w:t>
      </w:r>
      <w:r w:rsidR="003F5024">
        <w:rPr>
          <w:rFonts w:ascii="Times New Roman" w:hAnsi="Times New Roman" w:cs="Times New Roman"/>
          <w:sz w:val="24"/>
          <w:szCs w:val="24"/>
        </w:rPr>
        <w:t xml:space="preserve">How we use </w:t>
      </w:r>
      <w:r w:rsidRPr="001840F7">
        <w:rPr>
          <w:rFonts w:ascii="Times New Roman" w:hAnsi="Times New Roman" w:cs="Times New Roman"/>
          <w:sz w:val="24"/>
          <w:szCs w:val="24"/>
        </w:rPr>
        <w:t>ocean areas can i</w:t>
      </w:r>
      <w:r w:rsidR="003F5024">
        <w:rPr>
          <w:rFonts w:ascii="Times New Roman" w:hAnsi="Times New Roman" w:cs="Times New Roman"/>
          <w:sz w:val="24"/>
          <w:szCs w:val="24"/>
        </w:rPr>
        <w:t>n part define our connection and values towards them</w:t>
      </w:r>
      <w:r w:rsidRPr="001840F7">
        <w:rPr>
          <w:rFonts w:ascii="Times New Roman" w:hAnsi="Times New Roman" w:cs="Times New Roman"/>
          <w:sz w:val="24"/>
          <w:szCs w:val="24"/>
        </w:rPr>
        <w:t xml:space="preserve">. There were many very valuable suggestions on how to measure Connection to Place including the use and knowledge of </w:t>
      </w:r>
      <w:r w:rsidRPr="006F49DC">
        <w:rPr>
          <w:rFonts w:ascii="Times New Roman" w:hAnsi="Times New Roman" w:cs="Times New Roman"/>
          <w:sz w:val="24"/>
          <w:szCs w:val="24"/>
        </w:rPr>
        <w:t>Hawaiian place names. Hawaiian names often reflect the activities, history, and the environment of the place. Unfortunately</w:t>
      </w:r>
      <w:r w:rsidR="000979AA" w:rsidRPr="006F49DC">
        <w:rPr>
          <w:rFonts w:ascii="Times New Roman" w:hAnsi="Times New Roman" w:cs="Times New Roman"/>
          <w:sz w:val="24"/>
          <w:szCs w:val="24"/>
        </w:rPr>
        <w:t>,</w:t>
      </w:r>
      <w:r w:rsidRPr="006F49DC">
        <w:rPr>
          <w:rFonts w:ascii="Times New Roman" w:hAnsi="Times New Roman" w:cs="Times New Roman"/>
          <w:sz w:val="24"/>
          <w:szCs w:val="24"/>
        </w:rPr>
        <w:t xml:space="preserve"> there was no </w:t>
      </w:r>
      <w:r w:rsidR="006117E2" w:rsidRPr="006F49DC">
        <w:rPr>
          <w:rFonts w:ascii="Times New Roman" w:hAnsi="Times New Roman" w:cs="Times New Roman"/>
          <w:sz w:val="24"/>
          <w:szCs w:val="24"/>
        </w:rPr>
        <w:t xml:space="preserve">available and </w:t>
      </w:r>
      <w:r w:rsidRPr="006F49DC">
        <w:rPr>
          <w:rFonts w:ascii="Times New Roman" w:hAnsi="Times New Roman" w:cs="Times New Roman"/>
          <w:sz w:val="24"/>
          <w:szCs w:val="24"/>
        </w:rPr>
        <w:t>consistent way to measure the use of Ha</w:t>
      </w:r>
      <w:r w:rsidR="000979AA" w:rsidRPr="006F49DC">
        <w:rPr>
          <w:rFonts w:ascii="Times New Roman" w:hAnsi="Times New Roman" w:cs="Times New Roman"/>
          <w:sz w:val="24"/>
          <w:szCs w:val="24"/>
        </w:rPr>
        <w:t xml:space="preserve">waiian place names. </w:t>
      </w:r>
      <w:r w:rsidR="006117E2" w:rsidRPr="006F49DC">
        <w:rPr>
          <w:rFonts w:ascii="Times New Roman" w:hAnsi="Times New Roman" w:cs="Times New Roman"/>
          <w:sz w:val="24"/>
          <w:szCs w:val="24"/>
        </w:rPr>
        <w:t xml:space="preserve">This is a data gap and need that was identified during the development process for this goal. </w:t>
      </w:r>
      <w:r w:rsidR="000979AA" w:rsidRPr="006F49DC">
        <w:rPr>
          <w:rFonts w:ascii="Times New Roman" w:hAnsi="Times New Roman" w:cs="Times New Roman"/>
          <w:sz w:val="24"/>
          <w:szCs w:val="24"/>
        </w:rPr>
        <w:t>Therefore, C</w:t>
      </w:r>
      <w:r w:rsidRPr="006F49DC">
        <w:rPr>
          <w:rFonts w:ascii="Times New Roman" w:hAnsi="Times New Roman" w:cs="Times New Roman"/>
          <w:sz w:val="24"/>
          <w:szCs w:val="24"/>
        </w:rPr>
        <w:t xml:space="preserve">onnection to Place was </w:t>
      </w:r>
      <w:r w:rsidR="000979AA" w:rsidRPr="006F49DC">
        <w:rPr>
          <w:rFonts w:ascii="Times New Roman" w:eastAsia="Times New Roman" w:hAnsi="Times New Roman" w:cs="Times New Roman"/>
          <w:color w:val="000000"/>
          <w:sz w:val="24"/>
          <w:szCs w:val="24"/>
        </w:rPr>
        <w:t>measured through activities that take place in each place</w:t>
      </w:r>
      <w:r w:rsidR="000979AA" w:rsidRPr="006F49DC">
        <w:rPr>
          <w:rFonts w:ascii="Times New Roman" w:hAnsi="Times New Roman" w:cs="Times New Roman"/>
          <w:sz w:val="24"/>
          <w:szCs w:val="24"/>
        </w:rPr>
        <w:t xml:space="preserve">, </w:t>
      </w:r>
      <w:r w:rsidRPr="006F49DC">
        <w:rPr>
          <w:rFonts w:ascii="Times New Roman" w:hAnsi="Times New Roman" w:cs="Times New Roman"/>
          <w:sz w:val="24"/>
          <w:szCs w:val="24"/>
        </w:rPr>
        <w:t>assessed as the participation rate in ocean and coastal activities. This information was collected across the state by the NOAA Coral Reef Conservation Program 2014</w:t>
      </w:r>
      <w:r w:rsidRPr="001840F7">
        <w:rPr>
          <w:rFonts w:ascii="Times New Roman" w:hAnsi="Times New Roman" w:cs="Times New Roman"/>
          <w:sz w:val="24"/>
          <w:szCs w:val="24"/>
        </w:rPr>
        <w:t xml:space="preserve">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lastRenderedPageBreak/>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51AB0FAF" w14:textId="00A0D82F" w:rsidR="00982B35" w:rsidRPr="00344694"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w:t>
      </w:r>
      <w:r w:rsidR="00344694">
        <w:rPr>
          <w:rFonts w:ascii="Times New Roman" w:eastAsiaTheme="minorEastAsia" w:hAnsi="Times New Roman" w:cs="Times New Roman"/>
          <w:sz w:val="24"/>
          <w:szCs w:val="24"/>
        </w:rPr>
        <w:t>d to their reference conditions.</w:t>
      </w:r>
    </w:p>
    <w:p w14:paraId="6228A42C" w14:textId="596CF2F6" w:rsidR="00B34688"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w:t>
      </w:r>
      <w:r w:rsidRPr="001840F7">
        <w:rPr>
          <w:rFonts w:ascii="Times New Roman" w:hAnsi="Times New Roman" w:cs="Times New Roman"/>
          <w:sz w:val="24"/>
          <w:szCs w:val="24"/>
        </w:rPr>
        <w:lastRenderedPageBreak/>
        <w:t>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6"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015FA705"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w:t>
      </w:r>
      <w:r w:rsidR="006D18E7">
        <w:rPr>
          <w:rFonts w:ascii="Times New Roman" w:hAnsi="Times New Roman" w:cs="Times New Roman"/>
          <w:sz w:val="24"/>
          <w:szCs w:val="24"/>
        </w:rPr>
        <w:t xml:space="preserve"> unique and integral ecosystems</w:t>
      </w:r>
      <w:r w:rsidRPr="001840F7">
        <w:rPr>
          <w:rFonts w:ascii="Times New Roman" w:hAnsi="Times New Roman" w:cs="Times New Roman"/>
          <w:sz w:val="24"/>
          <w:szCs w:val="24"/>
        </w:rPr>
        <w:t xml:space="preserve"> in their native ra</w:t>
      </w:r>
      <w:r w:rsidR="006D18E7">
        <w:rPr>
          <w:rFonts w:ascii="Times New Roman" w:hAnsi="Times New Roman" w:cs="Times New Roman"/>
          <w:sz w:val="24"/>
          <w:szCs w:val="24"/>
        </w:rPr>
        <w:t>nge they can be a huge threat to</w:t>
      </w:r>
      <w:r w:rsidRPr="001840F7">
        <w:rPr>
          <w:rFonts w:ascii="Times New Roman" w:hAnsi="Times New Roman" w:cs="Times New Roman"/>
          <w:sz w:val="24"/>
          <w:szCs w:val="24"/>
        </w:rPr>
        <w:t xml:space="preserve">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26C03D0C" w14:textId="2C669343" w:rsidR="007E76B5" w:rsidRDefault="00990459" w:rsidP="00EC795B">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4A7F31D9" w14:textId="1B3D64FA" w:rsidR="00A606BB" w:rsidRDefault="00A91110" w:rsidP="00EC795B">
      <w:pPr>
        <w:rPr>
          <w:rFonts w:ascii="Times New Roman" w:hAnsi="Times New Roman" w:cs="Times New Roman"/>
          <w:b/>
          <w:color w:val="4F81BD" w:themeColor="accent1"/>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BD</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SPP</m:t>
                  </m:r>
                </m:sub>
              </m:sSub>
            </m:num>
            <m:den>
              <m:r>
                <m:rPr>
                  <m:sty m:val="bi"/>
                </m:rPr>
                <w:rPr>
                  <w:rFonts w:ascii="Cambria Math" w:hAnsi="Cambria Math" w:cs="Times New Roman"/>
                  <w:sz w:val="24"/>
                  <w:szCs w:val="24"/>
                </w:rPr>
                <m:t>2</m:t>
              </m:r>
            </m:den>
          </m:f>
        </m:oMath>
      </m:oMathPara>
    </w:p>
    <w:p w14:paraId="43F5EFDD" w14:textId="3332F219" w:rsidR="002F6875" w:rsidRPr="002F6875" w:rsidRDefault="00CE230B" w:rsidP="00EC79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Biodiversity goal measures the </w:t>
      </w:r>
      <w:r w:rsidR="00CF4BB6">
        <w:rPr>
          <w:rFonts w:ascii="Times New Roman" w:hAnsi="Times New Roman" w:cs="Times New Roman"/>
          <w:color w:val="000000" w:themeColor="text1"/>
          <w:sz w:val="24"/>
          <w:szCs w:val="24"/>
        </w:rPr>
        <w:t xml:space="preserve">conservation status of species based on two </w:t>
      </w:r>
      <w:proofErr w:type="spellStart"/>
      <w:r w:rsidR="00CF4BB6">
        <w:rPr>
          <w:rFonts w:ascii="Times New Roman" w:hAnsi="Times New Roman" w:cs="Times New Roman"/>
          <w:color w:val="000000" w:themeColor="text1"/>
          <w:sz w:val="24"/>
          <w:szCs w:val="24"/>
        </w:rPr>
        <w:t>subgoals</w:t>
      </w:r>
      <w:proofErr w:type="spellEnd"/>
      <w:r w:rsidR="00CF4BB6">
        <w:rPr>
          <w:rFonts w:ascii="Times New Roman" w:hAnsi="Times New Roman" w:cs="Times New Roman"/>
          <w:color w:val="000000" w:themeColor="text1"/>
          <w:sz w:val="24"/>
          <w:szCs w:val="24"/>
        </w:rPr>
        <w:t>: Habitats</w:t>
      </w:r>
      <w:r w:rsidR="00783D38">
        <w:rPr>
          <w:rFonts w:ascii="Times New Roman" w:hAnsi="Times New Roman" w:cs="Times New Roman"/>
          <w:color w:val="000000" w:themeColor="text1"/>
          <w:sz w:val="24"/>
          <w:szCs w:val="24"/>
        </w:rPr>
        <w:t xml:space="preserve"> and Species</w:t>
      </w:r>
      <w:r w:rsidR="00CF4BB6">
        <w:rPr>
          <w:rFonts w:ascii="Times New Roman" w:hAnsi="Times New Roman" w:cs="Times New Roman"/>
          <w:color w:val="000000" w:themeColor="text1"/>
          <w:sz w:val="24"/>
          <w:szCs w:val="24"/>
        </w:rPr>
        <w:t>.</w:t>
      </w:r>
    </w:p>
    <w:p w14:paraId="762C294F" w14:textId="1739AFD7" w:rsidR="00766EAA" w:rsidRPr="00766EAA" w:rsidRDefault="00766EAA">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Habitats</w:t>
      </w:r>
    </w:p>
    <w:p w14:paraId="6A5A5FC4" w14:textId="77777777" w:rsidR="00A606BB" w:rsidRDefault="00A606BB" w:rsidP="00A606B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1420A8BC" w14:textId="72C0CBB4" w:rsidR="002F6875" w:rsidRPr="007540D2" w:rsidRDefault="002F6875">
      <w:pPr>
        <w:rPr>
          <w:rFonts w:ascii="Times New Roman" w:eastAsiaTheme="minorEastAsia" w:hAnsi="Times New Roman" w:cs="Times New Roman"/>
          <w:b/>
          <w:sz w:val="24"/>
          <w:szCs w:val="24"/>
        </w:rPr>
      </w:pPr>
      <w:r w:rsidRPr="002F6875">
        <w:rPr>
          <w:rFonts w:ascii="Times New Roman" w:hAnsi="Times New Roman" w:cs="Times New Roman"/>
          <w:color w:val="000000" w:themeColor="text1"/>
          <w:sz w:val="24"/>
          <w:szCs w:val="24"/>
        </w:rPr>
        <w:t xml:space="preserve">The Habitats sub-goal of Biodiversity measures the </w:t>
      </w:r>
      <w:r w:rsidR="007540D2">
        <w:rPr>
          <w:rFonts w:ascii="Times New Roman" w:hAnsi="Times New Roman" w:cs="Times New Roman"/>
          <w:color w:val="000000" w:themeColor="text1"/>
          <w:sz w:val="24"/>
          <w:szCs w:val="24"/>
        </w:rPr>
        <w:t xml:space="preserve">current </w:t>
      </w:r>
      <w:r w:rsidRPr="002F6875">
        <w:rPr>
          <w:rFonts w:ascii="Times New Roman" w:hAnsi="Times New Roman" w:cs="Times New Roman"/>
          <w:color w:val="000000" w:themeColor="text1"/>
          <w:sz w:val="24"/>
          <w:szCs w:val="24"/>
        </w:rPr>
        <w:t>extent and condition of ocean and coastal habitats</w:t>
      </w:r>
      <w:r w:rsidR="007540D2">
        <w:rPr>
          <w:rFonts w:ascii="Times New Roman" w:hAnsi="Times New Roman" w:cs="Times New Roman"/>
          <w:color w:val="000000" w:themeColor="text1"/>
          <w:sz w:val="24"/>
          <w:szCs w:val="24"/>
        </w:rPr>
        <w:t xml:space="preserve"> (</w:t>
      </w:r>
      <w:proofErr w:type="spellStart"/>
      <w:r w:rsidR="007540D2" w:rsidRPr="007540D2">
        <w:rPr>
          <w:rFonts w:ascii="Times New Roman" w:hAnsi="Times New Roman" w:cs="Times New Roman"/>
          <w:i/>
          <w:color w:val="000000" w:themeColor="text1"/>
          <w:sz w:val="24"/>
          <w:szCs w:val="24"/>
        </w:rPr>
        <w:t>H</w:t>
      </w:r>
      <w:r w:rsidR="007540D2" w:rsidRPr="007540D2">
        <w:rPr>
          <w:rFonts w:ascii="Times New Roman" w:hAnsi="Times New Roman" w:cs="Times New Roman"/>
          <w:i/>
          <w:color w:val="000000" w:themeColor="text1"/>
          <w:sz w:val="24"/>
          <w:szCs w:val="24"/>
          <w:vertAlign w:val="subscript"/>
        </w:rPr>
        <w:t>c</w:t>
      </w:r>
      <w:proofErr w:type="spellEnd"/>
      <w:r w:rsidR="007540D2">
        <w:rPr>
          <w:rFonts w:ascii="Times New Roman" w:hAnsi="Times New Roman" w:cs="Times New Roman"/>
          <w:color w:val="000000" w:themeColor="text1"/>
          <w:sz w:val="24"/>
          <w:szCs w:val="24"/>
        </w:rPr>
        <w:t xml:space="preserve">) against a reference habitat extent and condition </w:t>
      </w:r>
      <w:r w:rsidR="007540D2">
        <w:rPr>
          <w:rFonts w:ascii="Times New Roman" w:hAnsi="Times New Roman" w:cs="Times New Roman"/>
          <w:color w:val="000000" w:themeColor="text1"/>
          <w:sz w:val="24"/>
          <w:szCs w:val="24"/>
        </w:rPr>
        <w:t>(</w:t>
      </w:r>
      <w:proofErr w:type="spellStart"/>
      <w:r w:rsidR="007540D2" w:rsidRPr="007540D2">
        <w:rPr>
          <w:rFonts w:ascii="Times New Roman" w:hAnsi="Times New Roman" w:cs="Times New Roman"/>
          <w:i/>
          <w:color w:val="000000" w:themeColor="text1"/>
          <w:sz w:val="24"/>
          <w:szCs w:val="24"/>
        </w:rPr>
        <w:t>H</w:t>
      </w:r>
      <w:r w:rsidR="007540D2">
        <w:rPr>
          <w:rFonts w:ascii="Times New Roman" w:hAnsi="Times New Roman" w:cs="Times New Roman"/>
          <w:i/>
          <w:color w:val="000000" w:themeColor="text1"/>
          <w:sz w:val="24"/>
          <w:szCs w:val="24"/>
          <w:vertAlign w:val="subscript"/>
        </w:rPr>
        <w:t>r</w:t>
      </w:r>
      <w:proofErr w:type="spellEnd"/>
      <w:r w:rsidR="007540D2">
        <w:rPr>
          <w:rFonts w:ascii="Times New Roman" w:hAnsi="Times New Roman" w:cs="Times New Roman"/>
          <w:color w:val="000000" w:themeColor="text1"/>
          <w:sz w:val="24"/>
          <w:szCs w:val="24"/>
        </w:rPr>
        <w:t>)</w:t>
      </w:r>
      <w:r w:rsidR="007540D2">
        <w:rPr>
          <w:rFonts w:ascii="Times New Roman" w:hAnsi="Times New Roman" w:cs="Times New Roman"/>
          <w:color w:val="000000" w:themeColor="text1"/>
          <w:sz w:val="24"/>
          <w:szCs w:val="24"/>
        </w:rPr>
        <w:t>.</w:t>
      </w:r>
      <w:r w:rsidRPr="002F6875">
        <w:rPr>
          <w:rFonts w:ascii="Times New Roman" w:hAnsi="Times New Roman" w:cs="Times New Roman"/>
          <w:color w:val="000000" w:themeColor="text1"/>
          <w:sz w:val="24"/>
          <w:szCs w:val="24"/>
        </w:rPr>
        <w:t xml:space="preserve"> The habitat model assesses all habitats for which data are available to evaluate extent and condition, specifically: coral reefs, coastal wetlands</w:t>
      </w:r>
      <w:r w:rsidR="00A606BB">
        <w:rPr>
          <w:rFonts w:ascii="Times New Roman" w:hAnsi="Times New Roman" w:cs="Times New Roman"/>
          <w:color w:val="000000" w:themeColor="text1"/>
          <w:sz w:val="24"/>
          <w:szCs w:val="24"/>
        </w:rPr>
        <w:t xml:space="preserve"> and estuaries</w:t>
      </w:r>
      <w:r w:rsidRPr="002F6875">
        <w:rPr>
          <w:rFonts w:ascii="Times New Roman" w:hAnsi="Times New Roman" w:cs="Times New Roman"/>
          <w:color w:val="000000" w:themeColor="text1"/>
          <w:sz w:val="24"/>
          <w:szCs w:val="24"/>
        </w:rPr>
        <w:t>, beaches, and subtidal soft-bottom habitats. Status was calculated as the average of the condition estimates for e</w:t>
      </w:r>
      <w:r w:rsidR="00643CDE">
        <w:rPr>
          <w:rFonts w:ascii="Times New Roman" w:hAnsi="Times New Roman" w:cs="Times New Roman"/>
          <w:color w:val="000000" w:themeColor="text1"/>
          <w:sz w:val="24"/>
          <w:szCs w:val="24"/>
        </w:rPr>
        <w:t>ach habitat present in a region.</w:t>
      </w:r>
      <w:r w:rsidRPr="002F6875">
        <w:rPr>
          <w:rFonts w:ascii="Times New Roman" w:hAnsi="Times New Roman" w:cs="Times New Roman"/>
          <w:color w:val="000000" w:themeColor="text1"/>
          <w:sz w:val="24"/>
          <w:szCs w:val="24"/>
        </w:rPr>
        <w:t xml:space="preserve"> </w:t>
      </w:r>
      <w:r w:rsidR="00643CDE">
        <w:rPr>
          <w:rFonts w:ascii="Times New Roman" w:hAnsi="Times New Roman" w:cs="Times New Roman"/>
          <w:color w:val="000000" w:themeColor="text1"/>
          <w:sz w:val="24"/>
          <w:szCs w:val="24"/>
        </w:rPr>
        <w:t xml:space="preserve">Condition was </w:t>
      </w:r>
      <w:r w:rsidRPr="002F6875">
        <w:rPr>
          <w:rFonts w:ascii="Times New Roman" w:hAnsi="Times New Roman" w:cs="Times New Roman"/>
          <w:color w:val="000000" w:themeColor="text1"/>
          <w:sz w:val="24"/>
          <w:szCs w:val="24"/>
        </w:rPr>
        <w:t xml:space="preserve">measured </w:t>
      </w:r>
      <w:r w:rsidR="00643CDE">
        <w:rPr>
          <w:rFonts w:ascii="Times New Roman" w:hAnsi="Times New Roman" w:cs="Times New Roman"/>
          <w:color w:val="000000" w:themeColor="text1"/>
          <w:sz w:val="24"/>
          <w:szCs w:val="24"/>
        </w:rPr>
        <w:t xml:space="preserve">differently depending of the data available for the habitat and therefore was measured </w:t>
      </w:r>
      <w:r w:rsidRPr="002F6875">
        <w:rPr>
          <w:rFonts w:ascii="Times New Roman" w:hAnsi="Times New Roman" w:cs="Times New Roman"/>
          <w:color w:val="000000" w:themeColor="text1"/>
          <w:sz w:val="24"/>
          <w:szCs w:val="24"/>
        </w:rPr>
        <w:t>as the loss of habitat and/or percent degradation of remaining habitat.</w:t>
      </w: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lastRenderedPageBreak/>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6CA3630C" w:rsidR="00453C08" w:rsidRPr="001840F7" w:rsidRDefault="00A606BB">
      <w:pPr>
        <w:rPr>
          <w:rFonts w:ascii="Times New Roman" w:hAnsi="Times New Roman" w:cs="Times New Roman"/>
          <w:i/>
          <w:sz w:val="24"/>
          <w:szCs w:val="24"/>
        </w:rPr>
      </w:pPr>
      <w:r>
        <w:rPr>
          <w:rFonts w:ascii="Times New Roman" w:hAnsi="Times New Roman" w:cs="Times New Roman"/>
          <w:i/>
          <w:sz w:val="24"/>
          <w:szCs w:val="24"/>
        </w:rPr>
        <w:t xml:space="preserve">Coastal Wetlands and Estuaries </w:t>
      </w:r>
    </w:p>
    <w:p w14:paraId="486E23FC" w14:textId="77777777" w:rsidR="00C7611A" w:rsidRDefault="00C7611A" w:rsidP="00C7611A">
      <w:pPr>
        <w:rPr>
          <w:rFonts w:ascii="Times New Roman" w:hAnsi="Times New Roman" w:cs="Times New Roman"/>
          <w:sz w:val="24"/>
          <w:szCs w:val="24"/>
        </w:rPr>
      </w:pPr>
      <w:r>
        <w:rPr>
          <w:rFonts w:ascii="Times New Roman" w:hAnsi="Times New Roman" w:cs="Times New Roman"/>
          <w:sz w:val="24"/>
          <w:szCs w:val="24"/>
        </w:rPr>
        <w:t xml:space="preserve">Coastal wetland extent was </w:t>
      </w:r>
      <w:r w:rsidRPr="001840F7">
        <w:rPr>
          <w:rFonts w:ascii="Times New Roman" w:hAnsi="Times New Roman" w:cs="Times New Roman"/>
          <w:sz w:val="24"/>
          <w:szCs w:val="24"/>
        </w:rPr>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pPr>
        <w:rPr>
          <w:rFonts w:ascii="Times New Roman" w:hAnsi="Times New Roman" w:cs="Times New Roman"/>
          <w:sz w:val="24"/>
          <w:szCs w:val="24"/>
        </w:rPr>
      </w:pPr>
      <w:r>
        <w:rPr>
          <w:rFonts w:ascii="Times New Roman" w:hAnsi="Times New Roman" w:cs="Times New Roman"/>
          <w:sz w:val="24"/>
          <w:szCs w:val="24"/>
        </w:rPr>
        <w:t>We combined the coastal wetland extent</w:t>
      </w:r>
      <w:r>
        <w:rPr>
          <w:rFonts w:ascii="Times New Roman" w:hAnsi="Times New Roman" w:cs="Times New Roman"/>
          <w:sz w:val="24"/>
          <w:szCs w:val="24"/>
        </w:rPr>
        <w:t xml:space="preserve"> with </w:t>
      </w:r>
      <w:r>
        <w:rPr>
          <w:rFonts w:ascii="Times New Roman" w:hAnsi="Times New Roman" w:cs="Times New Roman"/>
          <w:sz w:val="24"/>
          <w:szCs w:val="24"/>
        </w:rPr>
        <w:t xml:space="preserve">estuary extent. </w:t>
      </w:r>
      <w:r w:rsidR="00500628" w:rsidRPr="001840F7">
        <w:rPr>
          <w:rFonts w:ascii="Times New Roman" w:hAnsi="Times New Roman" w:cs="Times New Roman"/>
          <w:sz w:val="24"/>
          <w:szCs w:val="24"/>
        </w:rPr>
        <w:t>Estuaries are defined as the transition zone where fresh water from land meets and mixes with seawater creating some of the most producti</w:t>
      </w:r>
      <w:r w:rsidR="00A606BB">
        <w:rPr>
          <w:rFonts w:ascii="Times New Roman" w:hAnsi="Times New Roman" w:cs="Times New Roman"/>
          <w:sz w:val="24"/>
          <w:szCs w:val="24"/>
        </w:rPr>
        <w:t>ve ecosystems in the world</w:t>
      </w:r>
      <w:r w:rsidR="000C235E">
        <w:rPr>
          <w:rFonts w:ascii="Times New Roman" w:hAnsi="Times New Roman" w:cs="Times New Roman"/>
          <w:sz w:val="24"/>
          <w:szCs w:val="24"/>
        </w:rPr>
        <w:t>.</w:t>
      </w:r>
      <w:r w:rsidR="00500628" w:rsidRPr="001840F7">
        <w:rPr>
          <w:rFonts w:ascii="Times New Roman" w:hAnsi="Times New Roman" w:cs="Times New Roman"/>
          <w:sz w:val="24"/>
          <w:szCs w:val="24"/>
        </w:rPr>
        <w:t xml:space="preserve">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r w:rsidR="00596838" w:rsidRPr="001840F7">
        <w:rPr>
          <w:rFonts w:ascii="Times New Roman" w:hAnsi="Times New Roman" w:cs="Times New Roman"/>
          <w:sz w:val="24"/>
          <w:szCs w:val="24"/>
        </w:rPr>
        <w:t>assessment,</w:t>
      </w:r>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29FC5E88" w14:textId="4D32E9DB" w:rsidR="00A606BB" w:rsidRPr="001840F7" w:rsidRDefault="00C7611A" w:rsidP="00A606BB">
      <w:pPr>
        <w:rPr>
          <w:rFonts w:ascii="Times New Roman" w:hAnsi="Times New Roman" w:cs="Times New Roman"/>
          <w:sz w:val="24"/>
          <w:szCs w:val="24"/>
        </w:rPr>
      </w:pPr>
      <w:r>
        <w:rPr>
          <w:rFonts w:ascii="Times New Roman" w:hAnsi="Times New Roman" w:cs="Times New Roman"/>
          <w:sz w:val="24"/>
          <w:szCs w:val="24"/>
        </w:rPr>
        <w:lastRenderedPageBreak/>
        <w:t xml:space="preserve">Since there is currently not a complete database for Hawaiian estuaries and the status of estuaries remains unknown, we applied coastal wetland condition to the wetland and estuary habitats. </w:t>
      </w:r>
      <w:r w:rsidR="00A606BB" w:rsidRPr="001840F7">
        <w:rPr>
          <w:rFonts w:ascii="Times New Roman" w:hAnsi="Times New Roman" w:cs="Times New Roman"/>
          <w:sz w:val="24"/>
          <w:szCs w:val="24"/>
        </w:rPr>
        <w:t xml:space="preserve">Wetland condition information </w:t>
      </w:r>
      <w:r w:rsidR="00A606BB">
        <w:rPr>
          <w:rFonts w:ascii="Times New Roman" w:hAnsi="Times New Roman" w:cs="Times New Roman"/>
          <w:sz w:val="24"/>
          <w:szCs w:val="24"/>
        </w:rPr>
        <w:t xml:space="preserve">comes </w:t>
      </w:r>
      <w:r w:rsidR="00A606BB" w:rsidRPr="001840F7">
        <w:rPr>
          <w:rFonts w:ascii="Times New Roman" w:hAnsi="Times New Roman" w:cs="Times New Roman"/>
          <w:sz w:val="24"/>
          <w:szCs w:val="24"/>
        </w:rPr>
        <w:t>from Van Rees and Reed (2</w:t>
      </w:r>
      <w:r w:rsidR="00A606BB">
        <w:rPr>
          <w:rFonts w:ascii="Times New Roman" w:hAnsi="Times New Roman" w:cs="Times New Roman"/>
          <w:sz w:val="24"/>
          <w:szCs w:val="24"/>
        </w:rPr>
        <w:t>014) and was modeled as</w:t>
      </w:r>
      <w:r w:rsidR="00A606BB" w:rsidRPr="001840F7">
        <w:rPr>
          <w:rFonts w:ascii="Times New Roman" w:hAnsi="Times New Roman" w:cs="Times New Roman"/>
          <w:sz w:val="24"/>
          <w:szCs w:val="24"/>
        </w:rPr>
        <w:t xml:space="preserve"> the percent loss of historical coastal wetlands to an elevation of 304 meters. Trend in coastal wetlands </w:t>
      </w:r>
      <w:r>
        <w:rPr>
          <w:rFonts w:ascii="Times New Roman" w:hAnsi="Times New Roman" w:cs="Times New Roman"/>
          <w:sz w:val="24"/>
          <w:szCs w:val="24"/>
        </w:rPr>
        <w:t xml:space="preserve">and estuaries </w:t>
      </w:r>
      <w:r w:rsidR="00A606BB" w:rsidRPr="001840F7">
        <w:rPr>
          <w:rFonts w:ascii="Times New Roman" w:hAnsi="Times New Roman" w:cs="Times New Roman"/>
          <w:sz w:val="24"/>
          <w:szCs w:val="24"/>
        </w:rPr>
        <w:t xml:space="preserve">was assessed as the difference in area from 2010/2011 to 1992 NOAA CCAP wetlands extent within 1 km of the coastline.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766EAA" w:rsidRDefault="00990459">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Species</w:t>
      </w:r>
      <w:r w:rsidR="00203C27" w:rsidRPr="00766EAA">
        <w:rPr>
          <w:rFonts w:ascii="Times New Roman" w:hAnsi="Times New Roman" w:cs="Times New Roman"/>
          <w:b/>
          <w:color w:val="4F81BD" w:themeColor="accent1"/>
          <w:sz w:val="24"/>
          <w:szCs w:val="24"/>
        </w:rPr>
        <w:t xml:space="preserve"> </w:t>
      </w:r>
    </w:p>
    <w:p w14:paraId="7E09AC84" w14:textId="4A6E7F48" w:rsidR="000704E2"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w:t>
      </w:r>
      <w:r w:rsidR="000C235E">
        <w:rPr>
          <w:rFonts w:ascii="Times New Roman" w:hAnsi="Times New Roman" w:cs="Times New Roman"/>
          <w:sz w:val="24"/>
          <w:szCs w:val="24"/>
        </w:rPr>
        <w:t>endangered species</w:t>
      </w:r>
      <w:r w:rsidRPr="001840F7">
        <w:rPr>
          <w:rFonts w:ascii="Times New Roman" w:hAnsi="Times New Roman" w:cs="Times New Roman"/>
          <w:sz w:val="24"/>
          <w:szCs w:val="24"/>
        </w:rPr>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rPr>
          <w:rFonts w:ascii="Times New Roman" w:hAnsi="Times New Roman" w:cs="Times New Roman"/>
          <w:sz w:val="24"/>
          <w:szCs w:val="24"/>
        </w:rPr>
        <w:t>status,</w:t>
      </w:r>
      <w:r w:rsidRPr="001840F7">
        <w:rPr>
          <w:rFonts w:ascii="Times New Roman" w:hAnsi="Times New Roman" w:cs="Times New Roman"/>
          <w:sz w:val="24"/>
          <w:szCs w:val="24"/>
        </w:rPr>
        <w:t xml:space="preserve"> we combined information on local reef fish species status indicators (NOAA report card/ HMARC), and ESA status of marine mammals, turtles, </w:t>
      </w:r>
      <w:r w:rsidR="00AC47C9">
        <w:rPr>
          <w:rFonts w:ascii="Times New Roman" w:hAnsi="Times New Roman" w:cs="Times New Roman"/>
          <w:sz w:val="24"/>
          <w:szCs w:val="24"/>
        </w:rPr>
        <w:t xml:space="preserve">and birds, </w:t>
      </w:r>
      <w:r w:rsidRPr="001840F7">
        <w:rPr>
          <w:rFonts w:ascii="Times New Roman" w:hAnsi="Times New Roman" w:cs="Times New Roman"/>
          <w:sz w:val="24"/>
          <w:szCs w:val="24"/>
        </w:rPr>
        <w:t>and coastal plants. We incorporated reef fish indicat</w:t>
      </w:r>
      <w:r w:rsidR="00163E83">
        <w:rPr>
          <w:rFonts w:ascii="Times New Roman" w:hAnsi="Times New Roman" w:cs="Times New Roman"/>
          <w:sz w:val="24"/>
          <w:szCs w:val="24"/>
        </w:rPr>
        <w:t xml:space="preserve">ors even though many of </w:t>
      </w:r>
      <w:proofErr w:type="spellStart"/>
      <w:r w:rsidR="00163E83">
        <w:rPr>
          <w:rFonts w:ascii="Times New Roman" w:hAnsi="Times New Roman" w:cs="Times New Roman"/>
          <w:sz w:val="24"/>
          <w:szCs w:val="24"/>
        </w:rPr>
        <w:t>Hawaiʻi’</w:t>
      </w:r>
      <w:r w:rsidRPr="001840F7">
        <w:rPr>
          <w:rFonts w:ascii="Times New Roman" w:hAnsi="Times New Roman" w:cs="Times New Roman"/>
          <w:sz w:val="24"/>
          <w:szCs w:val="24"/>
        </w:rPr>
        <w:t>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AC47C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SPP</m:t>
              </m:r>
            </m:sub>
          </m:sSub>
          <m:r>
            <w:rPr>
              <w:rFonts w:ascii="Cambria Math" w:hAnsi="Cambria Math" w:cs="Times New Roman"/>
              <w:sz w:val="24"/>
              <w:szCs w:val="24"/>
            </w:rPr>
            <m:t>=ESA+Fish</m:t>
          </m:r>
        </m:oMath>
      </m:oMathPara>
    </w:p>
    <w:p w14:paraId="633C2D90" w14:textId="77777777" w:rsidR="00AC47C9" w:rsidRDefault="00AC47C9" w:rsidP="00AC47C9">
      <w:pPr>
        <w:autoSpaceDE w:val="0"/>
        <w:autoSpaceDN w:val="0"/>
        <w:adjustRightInd w:val="0"/>
        <w:spacing w:after="0" w:line="240" w:lineRule="auto"/>
        <w:rPr>
          <w:rFonts w:ascii="Times New Roman" w:hAnsi="Times New Roman" w:cs="Times New Roman"/>
          <w:color w:val="000000" w:themeColor="text1"/>
          <w:sz w:val="24"/>
          <w:szCs w:val="24"/>
        </w:rPr>
      </w:pPr>
    </w:p>
    <w:p w14:paraId="16ACD52A" w14:textId="7F7A7CA7" w:rsidR="00AC47C9" w:rsidRPr="00AC47C9" w:rsidRDefault="00AC47C9" w:rsidP="00AC47C9">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ESA status</w:t>
      </w:r>
    </w:p>
    <w:p w14:paraId="29A9695F" w14:textId="77777777" w:rsidR="00AC47C9" w:rsidRPr="00F515AF" w:rsidRDefault="00AC47C9" w:rsidP="00AC47C9">
      <w:pPr>
        <w:autoSpaceDE w:val="0"/>
        <w:autoSpaceDN w:val="0"/>
        <w:adjustRightInd w:val="0"/>
        <w:spacing w:after="0" w:line="240" w:lineRule="auto"/>
        <w:rPr>
          <w:rFonts w:ascii="Times New Roman" w:hAnsi="Times New Roman" w:cs="Times New Roman"/>
          <w:color w:val="000000" w:themeColor="text1"/>
          <w:sz w:val="24"/>
          <w:szCs w:val="24"/>
          <w:lang w:val="haw-US"/>
        </w:rPr>
      </w:pP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does not have any listed extinct marine species, however </w:t>
      </w: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is one of the species extinction capitals of the world due to the high presence of vulnerable endemic species. For a list of extinct species refer to the Bishop </w:t>
      </w:r>
      <w:proofErr w:type="spellStart"/>
      <w:r>
        <w:rPr>
          <w:rFonts w:ascii="Times New Roman" w:hAnsi="Times New Roman" w:cs="Times New Roman"/>
          <w:color w:val="000000" w:themeColor="text1"/>
          <w:sz w:val="24"/>
          <w:szCs w:val="24"/>
        </w:rPr>
        <w:t>Mueseum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Hawaiʻi’s</w:t>
      </w:r>
      <w:proofErr w:type="spellEnd"/>
      <w:r>
        <w:rPr>
          <w:rFonts w:ascii="Times New Roman" w:hAnsi="Times New Roman" w:cs="Times New Roman"/>
          <w:color w:val="000000" w:themeColor="text1"/>
          <w:sz w:val="24"/>
          <w:szCs w:val="24"/>
        </w:rPr>
        <w:t xml:space="preserve"> Extinct Species (</w:t>
      </w:r>
      <w:hyperlink r:id="rId17" w:history="1">
        <w:r w:rsidRPr="002455C3">
          <w:rPr>
            <w:rStyle w:val="Hyperlink"/>
            <w:rFonts w:ascii="Times New Roman" w:hAnsi="Times New Roman" w:cs="Times New Roman"/>
            <w:sz w:val="24"/>
            <w:szCs w:val="24"/>
          </w:rPr>
          <w:t>http://hbs.bishopmuseum.org/endangered/extinct.html</w:t>
        </w:r>
      </w:hyperlink>
      <w:r>
        <w:rPr>
          <w:rFonts w:ascii="Times New Roman" w:hAnsi="Times New Roman" w:cs="Times New Roman"/>
          <w:color w:val="000000" w:themeColor="text1"/>
          <w:sz w:val="24"/>
          <w:szCs w:val="24"/>
        </w:rPr>
        <w:t xml:space="preserve">)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71CCF37E" w14:textId="77777777" w:rsidR="00F37B27" w:rsidRDefault="00F37B27">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4788"/>
        <w:gridCol w:w="4788"/>
      </w:tblGrid>
      <w:tr w:rsidR="00F37B27" w:rsidRPr="00684C54" w14:paraId="43E3887F" w14:textId="77777777" w:rsidTr="00867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lastRenderedPageBreak/>
              <w:t>ESA Status</w:t>
            </w:r>
          </w:p>
        </w:tc>
        <w:tc>
          <w:tcPr>
            <w:tcW w:w="4788" w:type="dxa"/>
            <w:tcBorders>
              <w:top w:val="single" w:sz="4" w:space="0" w:color="auto"/>
              <w:bottom w:val="single" w:sz="4" w:space="0" w:color="auto"/>
            </w:tcBorders>
          </w:tcPr>
          <w:p w14:paraId="3DBE2D7A" w14:textId="77777777" w:rsidR="00F37B27" w:rsidRPr="00684C54" w:rsidRDefault="00F37B27" w:rsidP="00C805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F37B27" w:rsidRPr="00684C54" w14:paraId="1BB16F7F" w14:textId="77777777" w:rsidTr="00867D1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nil"/>
            </w:tcBorders>
          </w:tcPr>
          <w:p w14:paraId="0AF84E8D" w14:textId="0B861AC4"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r w:rsidR="00FE236B">
              <w:rPr>
                <w:rFonts w:ascii="Times New Roman" w:hAnsi="Times New Roman" w:cs="Times New Roman"/>
                <w:b w:val="0"/>
                <w:sz w:val="24"/>
                <w:szCs w:val="24"/>
              </w:rPr>
              <w:t xml:space="preserve"> or not listed</w:t>
            </w:r>
          </w:p>
        </w:tc>
        <w:tc>
          <w:tcPr>
            <w:tcW w:w="4788" w:type="dxa"/>
            <w:tcBorders>
              <w:top w:val="nil"/>
            </w:tcBorders>
          </w:tcPr>
          <w:p w14:paraId="72EA259A"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42417B" w:rsidRPr="00684C54" w14:paraId="3A62CE87" w14:textId="77777777" w:rsidTr="00867D1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3B655B0D" w14:textId="77777777" w:rsidR="0042417B" w:rsidRPr="00684C54" w:rsidRDefault="0042417B"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42417B" w:rsidRPr="00684C54" w14:paraId="178ACB68" w14:textId="77777777" w:rsidTr="00867D14">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7B99D6F3" w14:textId="77777777" w:rsidR="0042417B" w:rsidRPr="00684C54" w:rsidRDefault="0042417B"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p>
        </w:tc>
        <w:tc>
          <w:tcPr>
            <w:tcW w:w="4788" w:type="dxa"/>
            <w:tcBorders>
              <w:bottom w:val="single" w:sz="4" w:space="0" w:color="auto"/>
            </w:tcBorders>
          </w:tcPr>
          <w:p w14:paraId="57D8142C" w14:textId="77777777" w:rsidR="0042417B" w:rsidRPr="00684C54" w:rsidRDefault="0042417B"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5EA6132C" w14:textId="77777777" w:rsidR="00F37B27" w:rsidRDefault="00F37B27">
      <w:pPr>
        <w:rPr>
          <w:rFonts w:ascii="Times New Roman" w:hAnsi="Times New Roman" w:cs="Times New Roman"/>
          <w:sz w:val="24"/>
          <w:szCs w:val="24"/>
        </w:rPr>
      </w:pPr>
    </w:p>
    <w:p w14:paraId="243A5621" w14:textId="77777777" w:rsidR="00F37B27" w:rsidRPr="001840F7" w:rsidRDefault="00F37B27">
      <w:pPr>
        <w:rPr>
          <w:rFonts w:ascii="Times New Roman" w:hAnsi="Times New Roman" w:cs="Times New Roman"/>
          <w:sz w:val="24"/>
          <w:szCs w:val="24"/>
        </w:rPr>
      </w:pPr>
    </w:p>
    <w:p w14:paraId="27A1962C" w14:textId="5B32070B" w:rsidR="00C76788" w:rsidRPr="00F515AF" w:rsidRDefault="00F515AF">
      <w:pPr>
        <w:rPr>
          <w:rFonts w:ascii="Times New Roman" w:hAnsi="Times New Roman" w:cs="Times New Roman"/>
          <w:sz w:val="24"/>
          <w:szCs w:val="24"/>
        </w:rPr>
      </w:pPr>
      <w:r>
        <w:rPr>
          <w:rFonts w:ascii="Times New Roman" w:hAnsi="Times New Roman" w:cs="Times New Roman"/>
          <w:sz w:val="24"/>
          <w:szCs w:val="24"/>
        </w:rPr>
        <w:t xml:space="preserve">Table# The ESA status of </w:t>
      </w:r>
      <w:proofErr w:type="spellStart"/>
      <w:r>
        <w:rPr>
          <w:rFonts w:ascii="Times New Roman" w:hAnsi="Times New Roman" w:cs="Times New Roman"/>
          <w:sz w:val="24"/>
          <w:szCs w:val="24"/>
        </w:rPr>
        <w:t>Hawaiʻi</w:t>
      </w:r>
      <w:r w:rsidR="0009651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 N</w:t>
            </w:r>
            <w:r w:rsidR="00CA2001" w:rsidRPr="001840F7">
              <w:rPr>
                <w:rFonts w:ascii="Times New Roman" w:eastAsia="Times New Roman" w:hAnsi="Times New Roman" w:cs="Times New Roman"/>
                <w:color w:val="000000"/>
                <w:sz w:val="24"/>
                <w:szCs w:val="24"/>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N</w:t>
            </w:r>
            <w:r w:rsidR="00CA2001" w:rsidRPr="001840F7">
              <w:rPr>
                <w:rFonts w:ascii="Times New Roman" w:eastAsia="Times New Roman" w:hAnsi="Times New Roman" w:cs="Times New Roman"/>
                <w:color w:val="000000"/>
                <w:sz w:val="24"/>
                <w:szCs w:val="24"/>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01FB3FA"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3B486A64" w14:textId="7BF9E72A"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Marine </w:t>
      </w:r>
      <w:r w:rsidR="002D3CBA">
        <w:rPr>
          <w:rFonts w:ascii="Times New Roman" w:hAnsi="Times New Roman" w:cs="Times New Roman"/>
          <w:i/>
          <w:color w:val="000000" w:themeColor="text1"/>
          <w:sz w:val="24"/>
          <w:szCs w:val="24"/>
        </w:rPr>
        <w:t>Birds</w:t>
      </w:r>
    </w:p>
    <w:p w14:paraId="749A8AE5" w14:textId="1929BEFE" w:rsidR="00334DA8" w:rsidRDefault="00DB7FEE"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Twenty-five seabirds were identified in the Marine Biogeographic assessment </w:t>
      </w:r>
      <w:r w:rsidR="000B5680">
        <w:rPr>
          <w:rFonts w:ascii="Times New Roman" w:hAnsi="Times New Roman" w:cs="Times New Roman"/>
          <w:color w:val="000000" w:themeColor="text1"/>
          <w:sz w:val="24"/>
          <w:szCs w:val="24"/>
        </w:rPr>
        <w:t xml:space="preserve">for the Main Hawaiian Islands. </w:t>
      </w:r>
      <w:r w:rsidR="00B64ADA">
        <w:rPr>
          <w:rFonts w:ascii="Times New Roman" w:hAnsi="Times New Roman" w:cs="Times New Roman"/>
          <w:color w:val="000000" w:themeColor="text1"/>
          <w:sz w:val="24"/>
          <w:szCs w:val="24"/>
        </w:rPr>
        <w:t xml:space="preserve">Searches of seabirds in Hawaii using US Fish and Wildlife Service (REF), </w:t>
      </w:r>
      <w:r w:rsidR="00334DA8">
        <w:rPr>
          <w:rFonts w:ascii="Times New Roman" w:hAnsi="Times New Roman" w:cs="Times New Roman"/>
          <w:color w:val="000000" w:themeColor="text1"/>
          <w:sz w:val="24"/>
          <w:szCs w:val="24"/>
        </w:rPr>
        <w:t>There are at lea</w:t>
      </w:r>
      <w:r w:rsidR="0071225E">
        <w:rPr>
          <w:rFonts w:ascii="Times New Roman" w:hAnsi="Times New Roman" w:cs="Times New Roman"/>
          <w:color w:val="000000" w:themeColor="text1"/>
          <w:sz w:val="24"/>
          <w:szCs w:val="24"/>
        </w:rPr>
        <w:t xml:space="preserve">st 22 species of seabirds that breed in the Hawaiian Islands. Twenty of these species breed in the Main Hawaiian Islands (Biogeographic assessment). </w:t>
      </w:r>
      <w:r w:rsidR="000B5680">
        <w:rPr>
          <w:rFonts w:ascii="Times New Roman" w:hAnsi="Times New Roman" w:cs="Times New Roman"/>
          <w:color w:val="000000" w:themeColor="text1"/>
          <w:sz w:val="24"/>
          <w:szCs w:val="24"/>
        </w:rPr>
        <w:t>Five shorebirds that are found in the Main Hawaiian Islands were added to the assessment.</w:t>
      </w:r>
    </w:p>
    <w:p w14:paraId="62338A17" w14:textId="77777777" w:rsidR="0079446E" w:rsidRPr="00334DA8" w:rsidRDefault="0079446E"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3C57C21E" w14:textId="1A5946A5" w:rsidR="0079446E" w:rsidRDefault="0079446E"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 </w:t>
      </w:r>
      <w:r w:rsidR="00867D14">
        <w:rPr>
          <w:rFonts w:ascii="Times New Roman" w:hAnsi="Times New Roman" w:cs="Times New Roman"/>
          <w:color w:val="000000" w:themeColor="text1"/>
          <w:sz w:val="24"/>
          <w:szCs w:val="24"/>
        </w:rPr>
        <w:t>Seabird and shorebird s</w:t>
      </w:r>
      <w:r w:rsidR="00A5463E">
        <w:rPr>
          <w:rFonts w:ascii="Times New Roman" w:hAnsi="Times New Roman" w:cs="Times New Roman"/>
          <w:color w:val="000000" w:themeColor="text1"/>
          <w:sz w:val="24"/>
          <w:szCs w:val="24"/>
        </w:rPr>
        <w:t>core weighting</w:t>
      </w:r>
      <w:r>
        <w:rPr>
          <w:rFonts w:ascii="Times New Roman" w:hAnsi="Times New Roman" w:cs="Times New Roman"/>
          <w:color w:val="000000" w:themeColor="text1"/>
          <w:sz w:val="24"/>
          <w:szCs w:val="24"/>
        </w:rPr>
        <w:t xml:space="preserve"> based on ESA status </w:t>
      </w:r>
      <w:r w:rsidR="00867D14">
        <w:rPr>
          <w:rFonts w:ascii="Times New Roman" w:hAnsi="Times New Roman" w:cs="Times New Roman"/>
          <w:color w:val="000000" w:themeColor="text1"/>
          <w:sz w:val="24"/>
          <w:szCs w:val="24"/>
        </w:rPr>
        <w:t>(</w:t>
      </w:r>
      <w:r w:rsidR="00867D14" w:rsidRPr="00867D14">
        <w:rPr>
          <w:rFonts w:ascii="Times New Roman" w:hAnsi="Times New Roman" w:cs="Times New Roman"/>
          <w:color w:val="000000" w:themeColor="text1"/>
          <w:sz w:val="24"/>
          <w:szCs w:val="24"/>
        </w:rPr>
        <w:t>https://www.fws.gov/endangered/</w:t>
      </w:r>
      <w:r w:rsidR="00867D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State of the Birds yellow and red watch lists</w:t>
      </w:r>
      <w:r w:rsidR="00B83225">
        <w:rPr>
          <w:rFonts w:ascii="Times New Roman" w:hAnsi="Times New Roman" w:cs="Times New Roman"/>
          <w:color w:val="000000" w:themeColor="text1"/>
          <w:sz w:val="24"/>
          <w:szCs w:val="24"/>
        </w:rPr>
        <w:t xml:space="preserve"> (</w:t>
      </w:r>
      <w:r w:rsidR="00B83225" w:rsidRPr="00B83225">
        <w:rPr>
          <w:rFonts w:ascii="Times New Roman" w:hAnsi="Times New Roman" w:cs="Times New Roman"/>
          <w:color w:val="000000" w:themeColor="text1"/>
          <w:sz w:val="24"/>
          <w:szCs w:val="24"/>
        </w:rPr>
        <w:t>http://www.stateofthebirds.org/2014/extinctions/watchlist.pdf</w:t>
      </w:r>
      <w:r w:rsidR="00B8322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23A0A9D1" w14:textId="77777777" w:rsidR="00A16C57" w:rsidRPr="0079446E" w:rsidRDefault="00A16C57" w:rsidP="00EE5AA5">
      <w:pPr>
        <w:autoSpaceDE w:val="0"/>
        <w:autoSpaceDN w:val="0"/>
        <w:adjustRightInd w:val="0"/>
        <w:spacing w:after="0" w:line="240" w:lineRule="auto"/>
        <w:rPr>
          <w:rFonts w:ascii="Times New Roman" w:hAnsi="Times New Roman" w:cs="Times New Roman"/>
          <w:color w:val="000000" w:themeColor="text1"/>
          <w:sz w:val="24"/>
          <w:szCs w:val="24"/>
        </w:rPr>
      </w:pPr>
    </w:p>
    <w:tbl>
      <w:tblPr>
        <w:tblStyle w:val="GridTable1Light-Accent1"/>
        <w:tblW w:w="0" w:type="auto"/>
        <w:tblLook w:val="04A0" w:firstRow="1" w:lastRow="0" w:firstColumn="1" w:lastColumn="0" w:noHBand="0" w:noVBand="1"/>
      </w:tblPr>
      <w:tblGrid>
        <w:gridCol w:w="4788"/>
        <w:gridCol w:w="4788"/>
      </w:tblGrid>
      <w:tr w:rsidR="0079446E" w:rsidRPr="00684C54" w14:paraId="62D9E37C" w14:textId="77777777" w:rsidTr="00C80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ESA Status</w:t>
            </w:r>
          </w:p>
        </w:tc>
        <w:tc>
          <w:tcPr>
            <w:tcW w:w="4788" w:type="dxa"/>
            <w:tcBorders>
              <w:top w:val="single" w:sz="4" w:space="0" w:color="auto"/>
              <w:bottom w:val="single" w:sz="4" w:space="0" w:color="auto"/>
            </w:tcBorders>
          </w:tcPr>
          <w:p w14:paraId="44BB5C8A" w14:textId="77777777" w:rsidR="0079446E" w:rsidRPr="00684C54" w:rsidRDefault="0079446E" w:rsidP="00C805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79446E" w:rsidRPr="00684C54" w14:paraId="77AF9ADA"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top w:val="nil"/>
            </w:tcBorders>
          </w:tcPr>
          <w:p w14:paraId="5BF90594" w14:textId="6626678A" w:rsidR="0079446E" w:rsidRPr="00684C54" w:rsidRDefault="0079446E"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r w:rsidR="005C01A6">
              <w:rPr>
                <w:rFonts w:ascii="Times New Roman" w:hAnsi="Times New Roman" w:cs="Times New Roman"/>
                <w:b w:val="0"/>
                <w:sz w:val="24"/>
                <w:szCs w:val="24"/>
              </w:rPr>
              <w:t xml:space="preserve"> or not listed</w:t>
            </w:r>
          </w:p>
        </w:tc>
        <w:tc>
          <w:tcPr>
            <w:tcW w:w="4788" w:type="dxa"/>
            <w:tcBorders>
              <w:top w:val="nil"/>
            </w:tcBorders>
          </w:tcPr>
          <w:p w14:paraId="7B57F06E" w14:textId="77777777" w:rsidR="0079446E" w:rsidRPr="00684C54" w:rsidRDefault="0079446E"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79446E" w:rsidRPr="00684C54" w14:paraId="4FE0E974" w14:textId="77777777" w:rsidTr="00C80514">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C80514">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Yellow Watch List</w:t>
            </w:r>
          </w:p>
        </w:tc>
        <w:tc>
          <w:tcPr>
            <w:tcW w:w="4788" w:type="dxa"/>
          </w:tcPr>
          <w:p w14:paraId="44AA2F2F" w14:textId="77777777" w:rsidR="0079446E" w:rsidRPr="00684C54" w:rsidRDefault="0079446E"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79446E" w:rsidRPr="00684C54" w14:paraId="6CD07B67" w14:textId="77777777" w:rsidTr="00C80514">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6016FC0D" w14:textId="77777777" w:rsidR="0079446E" w:rsidRPr="00684C54" w:rsidRDefault="0079446E"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79446E" w:rsidRPr="00684C54" w14:paraId="77C00491"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151B01DA" w14:textId="51EC060E" w:rsidR="0079446E" w:rsidRPr="00684C54" w:rsidRDefault="0079446E"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r w:rsidR="006422AA">
              <w:rPr>
                <w:rFonts w:ascii="Times New Roman" w:hAnsi="Times New Roman" w:cs="Times New Roman"/>
                <w:b w:val="0"/>
                <w:sz w:val="24"/>
                <w:szCs w:val="24"/>
              </w:rPr>
              <w:t xml:space="preserve"> or </w:t>
            </w:r>
            <w:r w:rsidR="006422AA">
              <w:rPr>
                <w:rFonts w:ascii="Times New Roman" w:hAnsi="Times New Roman" w:cs="Times New Roman"/>
                <w:b w:val="0"/>
                <w:sz w:val="24"/>
                <w:szCs w:val="24"/>
              </w:rPr>
              <w:t>Red Watch List</w:t>
            </w:r>
          </w:p>
        </w:tc>
        <w:tc>
          <w:tcPr>
            <w:tcW w:w="4788" w:type="dxa"/>
            <w:tcBorders>
              <w:bottom w:val="single" w:sz="4" w:space="0" w:color="auto"/>
            </w:tcBorders>
          </w:tcPr>
          <w:p w14:paraId="4822BD2B" w14:textId="77777777" w:rsidR="0079446E" w:rsidRPr="00684C54" w:rsidRDefault="0079446E"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0DBED969" w14:textId="77777777" w:rsidR="0079446E" w:rsidRDefault="0079446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DF7F245" w14:textId="22FDCD9D" w:rsidR="00A5463E" w:rsidRPr="007A7CD9" w:rsidRDefault="00A5463E" w:rsidP="00EE5AA5">
      <w:pPr>
        <w:autoSpaceDE w:val="0"/>
        <w:autoSpaceDN w:val="0"/>
        <w:adjustRightInd w:val="0"/>
        <w:spacing w:after="0" w:line="240" w:lineRule="auto"/>
        <w:rPr>
          <w:rFonts w:ascii="Times New Roman" w:hAnsi="Times New Roman" w:cs="Times New Roman"/>
          <w:color w:val="000000" w:themeColor="text1"/>
          <w:sz w:val="24"/>
          <w:szCs w:val="24"/>
        </w:rPr>
      </w:pPr>
      <w:r w:rsidRPr="007A7CD9">
        <w:rPr>
          <w:rFonts w:ascii="Times New Roman" w:hAnsi="Times New Roman" w:cs="Times New Roman"/>
          <w:color w:val="000000" w:themeColor="text1"/>
          <w:sz w:val="24"/>
          <w:szCs w:val="24"/>
        </w:rPr>
        <w:t>Table #. Seabird and shorebird species for the Main Hawaiian Islands</w:t>
      </w:r>
      <w:r w:rsidR="007A7CD9" w:rsidRPr="007A7CD9">
        <w:rPr>
          <w:rFonts w:ascii="Times New Roman" w:hAnsi="Times New Roman" w:cs="Times New Roman"/>
          <w:color w:val="000000" w:themeColor="text1"/>
          <w:sz w:val="24"/>
          <w:szCs w:val="24"/>
        </w:rPr>
        <w:t xml:space="preserve"> with ESA (E= endangered, T= threatened) or State of the Birds Status (Y=yellow watch list; R=red watch list)</w:t>
      </w:r>
      <w:r w:rsidRPr="007A7CD9">
        <w:rPr>
          <w:rFonts w:ascii="Times New Roman" w:hAnsi="Times New Roman" w:cs="Times New Roman"/>
          <w:color w:val="000000" w:themeColor="text1"/>
          <w:sz w:val="24"/>
          <w:szCs w:val="24"/>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Band-</w:t>
            </w:r>
            <w:proofErr w:type="spellStart"/>
            <w:r w:rsidRPr="00A5463E">
              <w:rPr>
                <w:rFonts w:ascii="Times New Roman" w:eastAsia="Times New Roman" w:hAnsi="Times New Roman" w:cs="Times New Roman"/>
                <w:color w:val="000000"/>
                <w:sz w:val="24"/>
                <w:szCs w:val="24"/>
              </w:rPr>
              <w:t>rumped</w:t>
            </w:r>
            <w:proofErr w:type="spellEnd"/>
            <w:r w:rsidRPr="00A5463E">
              <w:rPr>
                <w:rFonts w:ascii="Times New Roman" w:eastAsia="Times New Roman" w:hAnsi="Times New Roman" w:cs="Times New Roman"/>
                <w:color w:val="000000"/>
                <w:sz w:val="24"/>
                <w:szCs w:val="24"/>
              </w:rPr>
              <w:t xml:space="preserve"> </w:t>
            </w:r>
            <w:r w:rsidR="00FD370D" w:rsidRPr="00A5463E">
              <w:rPr>
                <w:rFonts w:ascii="Times New Roman" w:eastAsia="Times New Roman" w:hAnsi="Times New Roman" w:cs="Times New Roman"/>
                <w:color w:val="000000"/>
                <w:sz w:val="24"/>
                <w:szCs w:val="24"/>
              </w:rPr>
              <w:t>storm</w:t>
            </w:r>
            <w:r w:rsidRPr="00A5463E">
              <w:rPr>
                <w:rFonts w:ascii="Times New Roman" w:eastAsia="Times New Roman" w:hAnsi="Times New Roman" w:cs="Times New Roman"/>
                <w:color w:val="000000"/>
                <w:sz w:val="24"/>
                <w:szCs w:val="24"/>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Oceanodroma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castro</w:t>
            </w:r>
            <w:proofErr w:type="spellEnd"/>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Phoebastria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nigripes</w:t>
            </w:r>
            <w:proofErr w:type="spellEnd"/>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Black </w:t>
            </w:r>
            <w:proofErr w:type="spellStart"/>
            <w:r w:rsidRPr="00A5463E">
              <w:rPr>
                <w:rFonts w:ascii="Times New Roman" w:eastAsia="Times New Roman" w:hAnsi="Times New Roman" w:cs="Times New Roman"/>
                <w:color w:val="000000"/>
                <w:sz w:val="24"/>
                <w:szCs w:val="24"/>
              </w:rPr>
              <w:t>noddy</w:t>
            </w:r>
            <w:proofErr w:type="spellEnd"/>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Anous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stolidus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pileatus</w:t>
            </w:r>
            <w:proofErr w:type="spellEnd"/>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Pterodroma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nigripennis</w:t>
            </w:r>
            <w:proofErr w:type="spellEnd"/>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Blue </w:t>
            </w:r>
            <w:proofErr w:type="spellStart"/>
            <w:r w:rsidRPr="00A5463E">
              <w:rPr>
                <w:rFonts w:ascii="Times New Roman" w:eastAsia="Times New Roman" w:hAnsi="Times New Roman" w:cs="Times New Roman"/>
                <w:color w:val="000000"/>
                <w:sz w:val="24"/>
                <w:szCs w:val="24"/>
              </w:rPr>
              <w:t>noddy</w:t>
            </w:r>
            <w:proofErr w:type="spellEnd"/>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Procelesterna</w:t>
            </w:r>
            <w:proofErr w:type="spellEnd"/>
            <w:r w:rsidRPr="00A5463E">
              <w:rPr>
                <w:rFonts w:ascii="Times New Roman" w:eastAsia="Times New Roman" w:hAnsi="Times New Roman" w:cs="Times New Roman"/>
                <w:i/>
                <w:iCs/>
                <w:color w:val="000000"/>
                <w:sz w:val="24"/>
                <w:szCs w:val="24"/>
              </w:rPr>
              <w:t xml:space="preserve">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ʻA</w:t>
            </w:r>
            <w:proofErr w:type="spellEnd"/>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 xml:space="preserve">Sula </w:t>
            </w:r>
            <w:proofErr w:type="spellStart"/>
            <w:r w:rsidRPr="00A5463E">
              <w:rPr>
                <w:rFonts w:ascii="Times New Roman" w:eastAsia="Times New Roman" w:hAnsi="Times New Roman" w:cs="Times New Roman"/>
                <w:i/>
                <w:iCs/>
                <w:color w:val="000000"/>
                <w:sz w:val="24"/>
                <w:szCs w:val="24"/>
              </w:rPr>
              <w:t>leucogaster</w:t>
            </w:r>
            <w:proofErr w:type="spellEnd"/>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Brown </w:t>
            </w:r>
            <w:proofErr w:type="spellStart"/>
            <w:r w:rsidRPr="00A5463E">
              <w:rPr>
                <w:rFonts w:ascii="Times New Roman" w:eastAsia="Times New Roman" w:hAnsi="Times New Roman" w:cs="Times New Roman"/>
                <w:color w:val="000000"/>
                <w:sz w:val="24"/>
                <w:szCs w:val="24"/>
              </w:rPr>
              <w:t>noddy</w:t>
            </w:r>
            <w:proofErr w:type="spellEnd"/>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Noio</w:t>
            </w:r>
            <w:proofErr w:type="spellEnd"/>
            <w:r w:rsidRPr="00A5463E">
              <w:rPr>
                <w:rFonts w:ascii="Times New Roman" w:eastAsia="Times New Roman" w:hAnsi="Times New Roman" w:cs="Times New Roman"/>
                <w:color w:val="000000"/>
                <w:sz w:val="24"/>
                <w:szCs w:val="24"/>
              </w:rPr>
              <w:t xml:space="preserve"> </w:t>
            </w:r>
            <w:proofErr w:type="spellStart"/>
            <w:r w:rsidRPr="00A5463E">
              <w:rPr>
                <w:rFonts w:ascii="Times New Roman" w:eastAsia="Times New Roman" w:hAnsi="Times New Roman" w:cs="Times New Roman"/>
                <w:color w:val="000000"/>
                <w:sz w:val="24"/>
                <w:szCs w:val="24"/>
              </w:rPr>
              <w:t>koha</w:t>
            </w:r>
            <w:proofErr w:type="spellEnd"/>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Anous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stolidus</w:t>
            </w:r>
            <w:proofErr w:type="spellEnd"/>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ʻOu</w:t>
            </w:r>
            <w:proofErr w:type="spellEnd"/>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Bulweria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bulwerii</w:t>
            </w:r>
            <w:proofErr w:type="spellEnd"/>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Puffinus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nativitatis</w:t>
            </w:r>
            <w:proofErr w:type="spellEnd"/>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Cookʻs</w:t>
            </w:r>
            <w:proofErr w:type="spellEnd"/>
            <w:r w:rsidRPr="00A5463E">
              <w:rPr>
                <w:rFonts w:ascii="Times New Roman" w:eastAsia="Times New Roman" w:hAnsi="Times New Roman" w:cs="Times New Roman"/>
                <w:color w:val="000000"/>
                <w:sz w:val="24"/>
                <w:szCs w:val="24"/>
              </w:rPr>
              <w:t xml:space="preserve">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Pterodroma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cookii</w:t>
            </w:r>
            <w:proofErr w:type="spellEnd"/>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Pokalakla</w:t>
            </w:r>
            <w:proofErr w:type="spellEnd"/>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spacing w:after="0" w:line="240" w:lineRule="auto"/>
              <w:ind w:right="258"/>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Onychonprion</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lunatus</w:t>
            </w:r>
            <w:proofErr w:type="spellEnd"/>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Great </w:t>
            </w:r>
            <w:proofErr w:type="spellStart"/>
            <w:r w:rsidRPr="00A5463E">
              <w:rPr>
                <w:rFonts w:ascii="Times New Roman" w:eastAsia="Times New Roman" w:hAnsi="Times New Roman" w:cs="Times New Roman"/>
                <w:color w:val="000000"/>
                <w:sz w:val="24"/>
                <w:szCs w:val="24"/>
              </w:rPr>
              <w:t>frigatebird</w:t>
            </w:r>
            <w:proofErr w:type="spellEnd"/>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ʻIwa</w:t>
            </w:r>
            <w:proofErr w:type="spellEnd"/>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Fregata</w:t>
            </w:r>
            <w:proofErr w:type="spellEnd"/>
            <w:r w:rsidRPr="00A5463E">
              <w:rPr>
                <w:rFonts w:ascii="Times New Roman" w:eastAsia="Times New Roman" w:hAnsi="Times New Roman" w:cs="Times New Roman"/>
                <w:i/>
                <w:iCs/>
                <w:color w:val="000000"/>
                <w:sz w:val="24"/>
                <w:szCs w:val="24"/>
              </w:rPr>
              <w:t xml:space="preserve">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Hawaiian black </w:t>
            </w:r>
            <w:proofErr w:type="spellStart"/>
            <w:r w:rsidRPr="00A5463E">
              <w:rPr>
                <w:rFonts w:ascii="Times New Roman" w:eastAsia="Times New Roman" w:hAnsi="Times New Roman" w:cs="Times New Roman"/>
                <w:color w:val="000000"/>
                <w:sz w:val="24"/>
                <w:szCs w:val="24"/>
              </w:rPr>
              <w:t>noddy</w:t>
            </w:r>
            <w:proofErr w:type="spellEnd"/>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Anous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minutus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melanogenys</w:t>
            </w:r>
            <w:proofErr w:type="spellEnd"/>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Hawaiian petrel (dark-</w:t>
            </w:r>
            <w:proofErr w:type="spellStart"/>
            <w:r w:rsidRPr="00A5463E">
              <w:rPr>
                <w:rFonts w:ascii="Times New Roman" w:eastAsia="Times New Roman" w:hAnsi="Times New Roman" w:cs="Times New Roman"/>
                <w:color w:val="000000"/>
                <w:sz w:val="24"/>
                <w:szCs w:val="24"/>
              </w:rPr>
              <w:t>rumped</w:t>
            </w:r>
            <w:proofErr w:type="spellEnd"/>
            <w:r w:rsidRPr="00A5463E">
              <w:rPr>
                <w:rFonts w:ascii="Times New Roman" w:eastAsia="Times New Roman" w:hAnsi="Times New Roman" w:cs="Times New Roman"/>
                <w:color w:val="000000"/>
                <w:sz w:val="24"/>
                <w:szCs w:val="24"/>
              </w:rPr>
              <w:t xml:space="preserve">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ʻUaʻu</w:t>
            </w:r>
            <w:proofErr w:type="spellEnd"/>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Pterodroma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phaeopygia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sandwichensis</w:t>
            </w:r>
            <w:proofErr w:type="spellEnd"/>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Pterodroma</w:t>
            </w:r>
            <w:proofErr w:type="spellEnd"/>
            <w:r w:rsidRPr="00A5463E">
              <w:rPr>
                <w:rFonts w:ascii="Times New Roman" w:eastAsia="Times New Roman" w:hAnsi="Times New Roman" w:cs="Times New Roman"/>
                <w:i/>
                <w:iCs/>
                <w:color w:val="000000"/>
                <w:sz w:val="24"/>
                <w:szCs w:val="24"/>
              </w:rPr>
              <w:t xml:space="preserve">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Moli</w:t>
            </w:r>
            <w:proofErr w:type="spellEnd"/>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Phoebastria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immutabilis</w:t>
            </w:r>
            <w:proofErr w:type="spellEnd"/>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ʻA</w:t>
            </w:r>
            <w:proofErr w:type="spellEnd"/>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 xml:space="preserve">Sula </w:t>
            </w:r>
            <w:proofErr w:type="spellStart"/>
            <w:r w:rsidRPr="00A5463E">
              <w:rPr>
                <w:rFonts w:ascii="Times New Roman" w:eastAsia="Times New Roman" w:hAnsi="Times New Roman" w:cs="Times New Roman"/>
                <w:i/>
                <w:iCs/>
                <w:color w:val="000000"/>
                <w:sz w:val="24"/>
                <w:szCs w:val="24"/>
              </w:rPr>
              <w:t>dactylatra</w:t>
            </w:r>
            <w:proofErr w:type="spellEnd"/>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Pterodroma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inexpectata</w:t>
            </w:r>
            <w:proofErr w:type="spellEnd"/>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lastRenderedPageBreak/>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ʻAʻo</w:t>
            </w:r>
            <w:proofErr w:type="spellEnd"/>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Puffinus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newelli</w:t>
            </w:r>
            <w:proofErr w:type="spellEnd"/>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ʻA</w:t>
            </w:r>
            <w:proofErr w:type="spellEnd"/>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 xml:space="preserve">Sula </w:t>
            </w:r>
            <w:proofErr w:type="spellStart"/>
            <w:r w:rsidRPr="00A5463E">
              <w:rPr>
                <w:rFonts w:ascii="Times New Roman" w:eastAsia="Times New Roman" w:hAnsi="Times New Roman" w:cs="Times New Roman"/>
                <w:i/>
                <w:iCs/>
                <w:color w:val="000000"/>
                <w:sz w:val="24"/>
                <w:szCs w:val="24"/>
              </w:rPr>
              <w:t>sula</w:t>
            </w:r>
            <w:proofErr w:type="spellEnd"/>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 xml:space="preserve">Phaethon </w:t>
            </w:r>
            <w:proofErr w:type="spellStart"/>
            <w:r w:rsidRPr="00A5463E">
              <w:rPr>
                <w:rFonts w:ascii="Times New Roman" w:eastAsia="Times New Roman" w:hAnsi="Times New Roman" w:cs="Times New Roman"/>
                <w:i/>
                <w:iCs/>
                <w:color w:val="000000"/>
                <w:sz w:val="24"/>
                <w:szCs w:val="24"/>
              </w:rPr>
              <w:t>rubricauda</w:t>
            </w:r>
            <w:proofErr w:type="spellEnd"/>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ʻEwaʻewa</w:t>
            </w:r>
            <w:proofErr w:type="spellEnd"/>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Onychoprion</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fuscata</w:t>
            </w:r>
            <w:proofErr w:type="spellEnd"/>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ʻUaʻu</w:t>
            </w:r>
            <w:proofErr w:type="spellEnd"/>
            <w:r w:rsidRPr="00A5463E">
              <w:rPr>
                <w:rFonts w:ascii="Times New Roman" w:eastAsia="Times New Roman" w:hAnsi="Times New Roman" w:cs="Times New Roman"/>
                <w:color w:val="000000"/>
                <w:sz w:val="24"/>
                <w:szCs w:val="24"/>
              </w:rPr>
              <w:t xml:space="preserve"> </w:t>
            </w:r>
            <w:proofErr w:type="spellStart"/>
            <w:r w:rsidRPr="00A5463E">
              <w:rPr>
                <w:rFonts w:ascii="Times New Roman" w:eastAsia="Times New Roman" w:hAnsi="Times New Roman" w:cs="Times New Roman"/>
                <w:color w:val="000000"/>
                <w:sz w:val="24"/>
                <w:szCs w:val="24"/>
              </w:rPr>
              <w:t>kani</w:t>
            </w:r>
            <w:proofErr w:type="spellEnd"/>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Puffinus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pacificus</w:t>
            </w:r>
            <w:proofErr w:type="spellEnd"/>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Manu-o-</w:t>
            </w:r>
            <w:proofErr w:type="spellStart"/>
            <w:r w:rsidRPr="00A5463E">
              <w:rPr>
                <w:rFonts w:ascii="Times New Roman" w:eastAsia="Times New Roman" w:hAnsi="Times New Roman" w:cs="Times New Roman"/>
                <w:color w:val="000000"/>
                <w:sz w:val="24"/>
                <w:szCs w:val="24"/>
              </w:rPr>
              <w:t>ku</w:t>
            </w:r>
            <w:proofErr w:type="spellEnd"/>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Gygis</w:t>
            </w:r>
            <w:proofErr w:type="spellEnd"/>
            <w:r w:rsidRPr="00A5463E">
              <w:rPr>
                <w:rFonts w:ascii="Times New Roman" w:eastAsia="Times New Roman" w:hAnsi="Times New Roman" w:cs="Times New Roman"/>
                <w:i/>
                <w:iCs/>
                <w:color w:val="000000"/>
                <w:sz w:val="24"/>
                <w:szCs w:val="24"/>
              </w:rPr>
              <w:t xml:space="preserve">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 xml:space="preserve">Phaethon </w:t>
            </w:r>
            <w:proofErr w:type="spellStart"/>
            <w:r w:rsidRPr="00A5463E">
              <w:rPr>
                <w:rFonts w:ascii="Times New Roman" w:eastAsia="Times New Roman" w:hAnsi="Times New Roman" w:cs="Times New Roman"/>
                <w:i/>
                <w:iCs/>
                <w:color w:val="000000"/>
                <w:sz w:val="24"/>
                <w:szCs w:val="24"/>
              </w:rPr>
              <w:t>lepturus</w:t>
            </w:r>
            <w:proofErr w:type="spellEnd"/>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Bristle-</w:t>
            </w:r>
            <w:proofErr w:type="spellStart"/>
            <w:r w:rsidRPr="00A5463E">
              <w:rPr>
                <w:rFonts w:ascii="Times New Roman" w:eastAsia="Times New Roman" w:hAnsi="Times New Roman" w:cs="Times New Roman"/>
                <w:color w:val="000000"/>
                <w:sz w:val="24"/>
                <w:szCs w:val="24"/>
              </w:rPr>
              <w:t>thighed</w:t>
            </w:r>
            <w:proofErr w:type="spellEnd"/>
            <w:r w:rsidRPr="00A5463E">
              <w:rPr>
                <w:rFonts w:ascii="Times New Roman" w:eastAsia="Times New Roman" w:hAnsi="Times New Roman" w:cs="Times New Roman"/>
                <w:color w:val="000000"/>
                <w:sz w:val="24"/>
                <w:szCs w:val="24"/>
              </w:rPr>
              <w:t xml:space="preserve">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Kioea</w:t>
            </w:r>
            <w:proofErr w:type="spellEnd"/>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Numenius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tahitiensis</w:t>
            </w:r>
            <w:proofErr w:type="spellEnd"/>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Kolea</w:t>
            </w:r>
            <w:proofErr w:type="spellEnd"/>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Pluvialis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fulva</w:t>
            </w:r>
            <w:proofErr w:type="spellEnd"/>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Hunakai</w:t>
            </w:r>
            <w:proofErr w:type="spellEnd"/>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Calidris</w:t>
            </w:r>
            <w:proofErr w:type="spellEnd"/>
            <w:r w:rsidRPr="00A5463E">
              <w:rPr>
                <w:rFonts w:ascii="Times New Roman" w:eastAsia="Times New Roman" w:hAnsi="Times New Roman" w:cs="Times New Roman"/>
                <w:i/>
                <w:iCs/>
                <w:color w:val="000000"/>
                <w:sz w:val="24"/>
                <w:szCs w:val="24"/>
              </w:rPr>
              <w:t xml:space="preserve">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ʻAkekeke</w:t>
            </w:r>
            <w:proofErr w:type="spellEnd"/>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Arenaria</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interpres</w:t>
            </w:r>
            <w:proofErr w:type="spellEnd"/>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roofErr w:type="spellStart"/>
            <w:r w:rsidRPr="00A5463E">
              <w:rPr>
                <w:rFonts w:ascii="Times New Roman" w:eastAsia="Times New Roman" w:hAnsi="Times New Roman" w:cs="Times New Roman"/>
                <w:color w:val="000000"/>
                <w:sz w:val="24"/>
                <w:szCs w:val="24"/>
              </w:rPr>
              <w:t>ʻŪlili</w:t>
            </w:r>
            <w:proofErr w:type="spellEnd"/>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proofErr w:type="spellStart"/>
            <w:r w:rsidRPr="00A5463E">
              <w:rPr>
                <w:rFonts w:ascii="Times New Roman" w:eastAsia="Times New Roman" w:hAnsi="Times New Roman" w:cs="Times New Roman"/>
                <w:i/>
                <w:iCs/>
                <w:color w:val="000000"/>
                <w:sz w:val="24"/>
                <w:szCs w:val="24"/>
              </w:rPr>
              <w:t>Heteroscelus</w:t>
            </w:r>
            <w:proofErr w:type="spellEnd"/>
            <w:r w:rsidRPr="00A5463E">
              <w:rPr>
                <w:rFonts w:ascii="Times New Roman" w:eastAsia="Times New Roman" w:hAnsi="Times New Roman" w:cs="Times New Roman"/>
                <w:i/>
                <w:iCs/>
                <w:color w:val="000000"/>
                <w:sz w:val="24"/>
                <w:szCs w:val="24"/>
              </w:rPr>
              <w:t xml:space="preserve"> </w:t>
            </w:r>
            <w:proofErr w:type="spellStart"/>
            <w:r w:rsidRPr="00A5463E">
              <w:rPr>
                <w:rFonts w:ascii="Times New Roman" w:eastAsia="Times New Roman" w:hAnsi="Times New Roman" w:cs="Times New Roman"/>
                <w:i/>
                <w:iCs/>
                <w:color w:val="000000"/>
                <w:sz w:val="24"/>
                <w:szCs w:val="24"/>
              </w:rPr>
              <w:t>incanus</w:t>
            </w:r>
            <w:proofErr w:type="spellEnd"/>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bl>
    <w:p w14:paraId="383F2C2D"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5C162219"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5826FB9D"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1C4563A" w14:textId="77777777" w:rsidR="00F515AF"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F93DA50" w14:textId="2120283C"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Coastal Plants</w:t>
      </w:r>
    </w:p>
    <w:p w14:paraId="662B2B11" w14:textId="3D5E3281" w:rsidR="00C90185"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table</w:t>
      </w:r>
    </w:p>
    <w:p w14:paraId="13137C10"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6D8B1F71"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D4223A5"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2EED9A0"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3936E13" w14:textId="77777777" w:rsidR="00AC47C9" w:rsidRPr="00305F5F" w:rsidRDefault="00AC47C9" w:rsidP="00AC47C9">
      <w:pPr>
        <w:rPr>
          <w:rFonts w:ascii="Times New Roman" w:hAnsi="Times New Roman" w:cs="Times New Roman"/>
          <w:i/>
          <w:sz w:val="24"/>
          <w:szCs w:val="24"/>
        </w:rPr>
      </w:pPr>
      <w:r w:rsidRPr="00305F5F">
        <w:rPr>
          <w:rFonts w:ascii="Times New Roman" w:hAnsi="Times New Roman" w:cs="Times New Roman"/>
          <w:i/>
          <w:sz w:val="24"/>
          <w:szCs w:val="24"/>
        </w:rPr>
        <w:t>Fish</w:t>
      </w:r>
    </w:p>
    <w:p w14:paraId="79F2C73C" w14:textId="0B07120F" w:rsidR="00AC47C9" w:rsidRPr="001840F7" w:rsidRDefault="00AC47C9" w:rsidP="00AC47C9">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w:t>
      </w:r>
      <w:r w:rsidRPr="001840F7">
        <w:rPr>
          <w:rFonts w:ascii="Times New Roman" w:eastAsia="Times New Roman" w:hAnsi="Times New Roman" w:cs="Times New Roman"/>
          <w:color w:val="212121"/>
          <w:sz w:val="24"/>
          <w:szCs w:val="24"/>
        </w:rPr>
        <w:t>eef fish indicato</w:t>
      </w:r>
      <w:r>
        <w:rPr>
          <w:rFonts w:ascii="Times New Roman" w:eastAsia="Times New Roman" w:hAnsi="Times New Roman" w:cs="Times New Roman"/>
          <w:color w:val="212121"/>
          <w:sz w:val="24"/>
          <w:szCs w:val="24"/>
        </w:rPr>
        <w:t>r is the average of</w:t>
      </w:r>
      <w:r w:rsidRPr="001840F7">
        <w:rPr>
          <w:rFonts w:ascii="Times New Roman" w:eastAsia="Times New Roman" w:hAnsi="Times New Roman" w:cs="Times New Roman"/>
          <w:color w:val="212121"/>
          <w:sz w:val="24"/>
          <w:szCs w:val="24"/>
        </w:rPr>
        <w:t xml:space="preserve"> 3 components (Reef Fish Biomass, Reef Fish Sustainability, and Reef Fish Predators). </w:t>
      </w:r>
      <w:r>
        <w:rPr>
          <w:rFonts w:ascii="Times New Roman" w:eastAsia="Times New Roman" w:hAnsi="Times New Roman" w:cs="Times New Roman"/>
          <w:color w:val="212121"/>
          <w:sz w:val="24"/>
          <w:szCs w:val="24"/>
        </w:rPr>
        <w:t>Reef Fish Biomass measures the</w:t>
      </w:r>
      <w:r w:rsidRPr="001840F7">
        <w:rPr>
          <w:rFonts w:ascii="Times New Roman" w:eastAsia="Times New Roman" w:hAnsi="Times New Roman" w:cs="Times New Roman"/>
          <w:color w:val="212121"/>
          <w:sz w:val="24"/>
          <w:szCs w:val="24"/>
        </w:rPr>
        <w:t xml:space="preserve">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w:t>
      </w:r>
      <w:r>
        <w:rPr>
          <w:rFonts w:ascii="Times New Roman" w:eastAsia="Times New Roman" w:hAnsi="Times New Roman" w:cs="Times New Roman"/>
          <w:color w:val="212121"/>
          <w:sz w:val="24"/>
          <w:szCs w:val="24"/>
        </w:rPr>
        <w:t>)</w:t>
      </w:r>
      <w:r w:rsidRPr="001840F7">
        <w:rPr>
          <w:rFonts w:ascii="Times New Roman" w:eastAsia="Times New Roman" w:hAnsi="Times New Roman" w:cs="Times New Roman"/>
          <w:color w:val="212121"/>
          <w:sz w:val="24"/>
          <w:szCs w:val="24"/>
        </w:rPr>
        <w:t>. High scores therefore represent populations that are close to their natural carrying capacity. Reef Fish Sustainability represents an index of mean size</w:t>
      </w:r>
      <w:r>
        <w:rPr>
          <w:rFonts w:ascii="Times New Roman" w:eastAsia="Times New Roman" w:hAnsi="Times New Roman" w:cs="Times New Roman"/>
          <w:color w:val="212121"/>
          <w:sz w:val="24"/>
          <w:szCs w:val="24"/>
        </w:rPr>
        <w:t xml:space="preserve"> for</w:t>
      </w:r>
      <w:r w:rsidRPr="001840F7">
        <w:rPr>
          <w:rFonts w:ascii="Times New Roman" w:eastAsia="Times New Roman" w:hAnsi="Times New Roman" w:cs="Times New Roman"/>
          <w:color w:val="212121"/>
          <w:sz w:val="24"/>
          <w:szCs w:val="24"/>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ascii="Times New Roman" w:eastAsia="Times New Roman" w:hAnsi="Times New Roman" w:cs="Times New Roman"/>
          <w:color w:val="212121"/>
          <w:sz w:val="24"/>
          <w:szCs w:val="24"/>
        </w:rPr>
        <w:t xml:space="preserve"> The </w:t>
      </w:r>
      <w:r w:rsidRPr="001840F7">
        <w:rPr>
          <w:rFonts w:ascii="Times New Roman" w:eastAsia="Times New Roman" w:hAnsi="Times New Roman" w:cs="Times New Roman"/>
          <w:color w:val="212121"/>
          <w:sz w:val="24"/>
          <w:szCs w:val="24"/>
        </w:rPr>
        <w:t xml:space="preserve">Reef Fish Predators indicator is made up of 2 components: ‘reef sharks’ and ‘other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w:t>
      </w:r>
      <w:r w:rsidR="00163E83">
        <w:rPr>
          <w:rFonts w:ascii="Times New Roman" w:eastAsia="Times New Roman" w:hAnsi="Times New Roman" w:cs="Times New Roman"/>
          <w:color w:val="212121"/>
          <w:sz w:val="24"/>
          <w:szCs w:val="24"/>
        </w:rPr>
        <w:t>omponent of the reef ecosystem.</w:t>
      </w:r>
    </w:p>
    <w:p w14:paraId="158E02AC" w14:textId="77777777" w:rsidR="00AC47C9" w:rsidRDefault="00AC47C9"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47D73DA0" w14:textId="276407D5" w:rsidR="0060581B" w:rsidRDefault="0060581B"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Add table of scores for each indicator by region</w:t>
      </w:r>
    </w:p>
    <w:p w14:paraId="04094B1E" w14:textId="77777777" w:rsidR="00AC47C9" w:rsidRDefault="00AC47C9"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310680A" w14:textId="78CB4B9E" w:rsidR="00EF6B13" w:rsidRDefault="006409FC" w:rsidP="00EE5AA5">
      <w:pPr>
        <w:autoSpaceDE w:val="0"/>
        <w:autoSpaceDN w:val="0"/>
        <w:adjustRightInd w:val="0"/>
        <w:spacing w:after="0" w:line="240" w:lineRule="auto"/>
        <w:rPr>
          <w:rFonts w:ascii="Times New Roman" w:hAnsi="Times New Roman" w:cs="Times New Roman"/>
          <w:i/>
          <w:color w:val="000000" w:themeColor="text1"/>
          <w:sz w:val="24"/>
          <w:szCs w:val="24"/>
        </w:rPr>
      </w:pPr>
      <w:r w:rsidRPr="006409FC">
        <w:rPr>
          <w:rFonts w:ascii="Times New Roman" w:hAnsi="Times New Roman" w:cs="Times New Roman"/>
          <w:i/>
          <w:color w:val="000000" w:themeColor="text1"/>
          <w:sz w:val="24"/>
          <w:szCs w:val="24"/>
        </w:rPr>
        <w:t>Data Gaps</w:t>
      </w:r>
    </w:p>
    <w:p w14:paraId="2A20DD51" w14:textId="2DF11993"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Eels and other cryptic species are not accurately assessed in standard marine monitoring surveys</w:t>
      </w:r>
      <w:r w:rsidR="00327E94">
        <w:rPr>
          <w:rFonts w:ascii="Times New Roman" w:hAnsi="Times New Roman" w:cs="Times New Roman"/>
          <w:color w:val="000000" w:themeColor="text1"/>
          <w:sz w:val="24"/>
          <w:szCs w:val="24"/>
        </w:rPr>
        <w:t>.</w:t>
      </w:r>
    </w:p>
    <w:p w14:paraId="5D1B634C" w14:textId="6C204B2E"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Water column</w:t>
      </w:r>
      <w:r w:rsidR="00327E94">
        <w:rPr>
          <w:rFonts w:ascii="Times New Roman" w:hAnsi="Times New Roman" w:cs="Times New Roman"/>
          <w:color w:val="000000" w:themeColor="text1"/>
          <w:sz w:val="24"/>
          <w:szCs w:val="24"/>
        </w:rPr>
        <w:t>, seamounts,</w:t>
      </w:r>
      <w:r w:rsidRPr="00D14A87">
        <w:rPr>
          <w:rFonts w:ascii="Times New Roman" w:hAnsi="Times New Roman" w:cs="Times New Roman"/>
          <w:color w:val="000000" w:themeColor="text1"/>
          <w:sz w:val="24"/>
          <w:szCs w:val="24"/>
        </w:rPr>
        <w:t xml:space="preserve"> and </w:t>
      </w:r>
      <w:proofErr w:type="spellStart"/>
      <w:r w:rsidRPr="00D14A87">
        <w:rPr>
          <w:rFonts w:ascii="Times New Roman" w:hAnsi="Times New Roman" w:cs="Times New Roman"/>
          <w:color w:val="000000" w:themeColor="text1"/>
          <w:sz w:val="24"/>
          <w:szCs w:val="24"/>
        </w:rPr>
        <w:t>mesophotic</w:t>
      </w:r>
      <w:proofErr w:type="spellEnd"/>
      <w:r w:rsidRPr="00D14A87">
        <w:rPr>
          <w:rFonts w:ascii="Times New Roman" w:hAnsi="Times New Roman" w:cs="Times New Roman"/>
          <w:color w:val="000000" w:themeColor="text1"/>
          <w:sz w:val="24"/>
          <w:szCs w:val="24"/>
        </w:rPr>
        <w:t xml:space="preserve"> </w:t>
      </w:r>
      <w:r w:rsidR="00D14A87" w:rsidRPr="00D14A87">
        <w:rPr>
          <w:rFonts w:ascii="Times New Roman" w:hAnsi="Times New Roman" w:cs="Times New Roman"/>
          <w:color w:val="000000" w:themeColor="text1"/>
          <w:sz w:val="24"/>
          <w:szCs w:val="24"/>
        </w:rPr>
        <w:t>habitats</w:t>
      </w:r>
      <w:r w:rsidRPr="00D14A87">
        <w:rPr>
          <w:rFonts w:ascii="Times New Roman" w:hAnsi="Times New Roman" w:cs="Times New Roman"/>
          <w:color w:val="000000" w:themeColor="text1"/>
          <w:sz w:val="24"/>
          <w:szCs w:val="24"/>
        </w:rPr>
        <w:t xml:space="preserve"> are considered important habitats but are </w:t>
      </w:r>
      <w:r w:rsidR="00327E94">
        <w:rPr>
          <w:rFonts w:ascii="Times New Roman" w:hAnsi="Times New Roman" w:cs="Times New Roman"/>
          <w:color w:val="000000" w:themeColor="text1"/>
          <w:sz w:val="24"/>
          <w:szCs w:val="24"/>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lang w:val="haw-US"/>
        </w:rPr>
      </w:pPr>
      <w:r w:rsidRPr="00D14A87">
        <w:rPr>
          <w:rFonts w:ascii="Times New Roman" w:eastAsia="Times New Roman" w:hAnsi="Times New Roman" w:cs="Times New Roman"/>
          <w:color w:val="000000"/>
          <w:sz w:val="24"/>
          <w:szCs w:val="24"/>
          <w:lang w:val="haw-US"/>
        </w:rPr>
        <w:lastRenderedPageBreak/>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eastAsia="Times New Roman" w:hAnsi="Times New Roman" w:cs="Times New Roman"/>
          <w:color w:val="000000"/>
          <w:sz w:val="24"/>
          <w:szCs w:val="24"/>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B679E08" w14:textId="77777777" w:rsidR="006409FC" w:rsidRP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bookmarkStart w:id="5" w:name="_GoBack"/>
      <w:bookmarkEnd w:id="5"/>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25EACA68"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weighted by the estimated carb</w:t>
      </w:r>
      <w:r w:rsidR="00567C70">
        <w:rPr>
          <w:rFonts w:ascii="Times New Roman" w:hAnsi="Times New Roman" w:cs="Times New Roman"/>
          <w:sz w:val="24"/>
          <w:szCs w:val="24"/>
        </w:rPr>
        <w:t xml:space="preserve">on storage capacity of wetlands </w:t>
      </w:r>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31T16:01:00Z" w:initials="ES">
    <w:p w14:paraId="629CEAB7" w14:textId="52AEF9F2" w:rsidR="00E430E9" w:rsidRDefault="00E430E9">
      <w:pPr>
        <w:pStyle w:val="CommentText"/>
      </w:pPr>
      <w:r>
        <w:rPr>
          <w:rStyle w:val="CommentReference"/>
        </w:rPr>
        <w:annotationRef/>
      </w:r>
      <w:r>
        <w:t xml:space="preserve">This number needs to be updated after you get the catch of </w:t>
      </w:r>
      <w:proofErr w:type="spellStart"/>
      <w:r>
        <w:t>pelagics</w:t>
      </w:r>
      <w:proofErr w:type="spellEnd"/>
      <w:r>
        <w:t xml:space="preserve"> updated</w:t>
      </w:r>
    </w:p>
  </w:comment>
  <w:comment w:id="1" w:author="Eva Schemmel" w:date="2017-10-25T12:57:00Z" w:initials="ES">
    <w:p w14:paraId="5AB461B4" w14:textId="0A5756E2" w:rsidR="00E430E9" w:rsidRDefault="00E430E9">
      <w:pPr>
        <w:pStyle w:val="CommentText"/>
      </w:pPr>
      <w:r>
        <w:rPr>
          <w:rStyle w:val="CommentReference"/>
        </w:rPr>
        <w:annotationRef/>
      </w:r>
      <w:r>
        <w:t>Look up how to cite properly</w:t>
      </w:r>
    </w:p>
  </w:comment>
  <w:comment w:id="3" w:author="Eva Schemmel" w:date="2017-10-26T06:36:00Z" w:initials="ES">
    <w:p w14:paraId="2177666D" w14:textId="00D2BE82" w:rsidR="00E430E9" w:rsidRDefault="00E430E9">
      <w:pPr>
        <w:pStyle w:val="CommentText"/>
      </w:pPr>
      <w:r>
        <w:rPr>
          <w:rStyle w:val="CommentReference"/>
        </w:rPr>
        <w:annotationRef/>
      </w:r>
      <w:r>
        <w:t xml:space="preserve">Need </w:t>
      </w:r>
      <w:r w:rsidR="00365446">
        <w:t>to change to NOAA report card or</w:t>
      </w:r>
      <w:r>
        <w:t xml:space="preserve"> update to HIMARC</w:t>
      </w:r>
    </w:p>
  </w:comment>
  <w:comment w:id="4" w:author="Eva Schemmel" w:date="2017-10-26T06:39:00Z" w:initials="ES">
    <w:p w14:paraId="51C9E52F" w14:textId="1E4823A6" w:rsidR="00E430E9" w:rsidRDefault="00E430E9">
      <w:pPr>
        <w:pStyle w:val="CommentText"/>
      </w:pPr>
      <w:r>
        <w:rPr>
          <w:rStyle w:val="CommentReference"/>
        </w:rPr>
        <w:annotationRef/>
      </w:r>
      <w:r>
        <w:t>Change to NOAA report card or update assessment with HIMARC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2"/>
  </w:num>
  <w:num w:numId="7">
    <w:abstractNumId w:val="10"/>
  </w:num>
  <w:num w:numId="8">
    <w:abstractNumId w:val="0"/>
  </w:num>
  <w:num w:numId="9">
    <w:abstractNumId w:val="6"/>
  </w:num>
  <w:num w:numId="10">
    <w:abstractNumId w:val="9"/>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77163"/>
    <w:rsid w:val="001840F7"/>
    <w:rsid w:val="001A294C"/>
    <w:rsid w:val="001B036A"/>
    <w:rsid w:val="001B565D"/>
    <w:rsid w:val="001C501C"/>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8C0"/>
    <w:rsid w:val="00293958"/>
    <w:rsid w:val="00293B08"/>
    <w:rsid w:val="00293B2B"/>
    <w:rsid w:val="0029435D"/>
    <w:rsid w:val="002A0E2F"/>
    <w:rsid w:val="002A7246"/>
    <w:rsid w:val="002C4055"/>
    <w:rsid w:val="002C6FF3"/>
    <w:rsid w:val="002D2901"/>
    <w:rsid w:val="002D3CBA"/>
    <w:rsid w:val="002E3CC2"/>
    <w:rsid w:val="002E5776"/>
    <w:rsid w:val="002E6D18"/>
    <w:rsid w:val="002F5316"/>
    <w:rsid w:val="002F6875"/>
    <w:rsid w:val="003005BC"/>
    <w:rsid w:val="00305F5F"/>
    <w:rsid w:val="00310547"/>
    <w:rsid w:val="00327E94"/>
    <w:rsid w:val="00334DA8"/>
    <w:rsid w:val="0034153C"/>
    <w:rsid w:val="00342240"/>
    <w:rsid w:val="00344448"/>
    <w:rsid w:val="00344694"/>
    <w:rsid w:val="00344936"/>
    <w:rsid w:val="00351F97"/>
    <w:rsid w:val="00365446"/>
    <w:rsid w:val="003730A3"/>
    <w:rsid w:val="003807C3"/>
    <w:rsid w:val="0038404B"/>
    <w:rsid w:val="003A561C"/>
    <w:rsid w:val="003B70D6"/>
    <w:rsid w:val="003C6E84"/>
    <w:rsid w:val="003D54BD"/>
    <w:rsid w:val="003E0EE9"/>
    <w:rsid w:val="003E4C69"/>
    <w:rsid w:val="003E5F79"/>
    <w:rsid w:val="003F5024"/>
    <w:rsid w:val="00403555"/>
    <w:rsid w:val="00405F07"/>
    <w:rsid w:val="0041579A"/>
    <w:rsid w:val="00417BCD"/>
    <w:rsid w:val="0042417B"/>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0FA6"/>
    <w:rsid w:val="00561E41"/>
    <w:rsid w:val="00564473"/>
    <w:rsid w:val="00564CBE"/>
    <w:rsid w:val="00567C70"/>
    <w:rsid w:val="00596838"/>
    <w:rsid w:val="005A3116"/>
    <w:rsid w:val="005B3228"/>
    <w:rsid w:val="005B346A"/>
    <w:rsid w:val="005B5FDD"/>
    <w:rsid w:val="005B67E9"/>
    <w:rsid w:val="005C01A6"/>
    <w:rsid w:val="005C0C30"/>
    <w:rsid w:val="005C5F14"/>
    <w:rsid w:val="006044C9"/>
    <w:rsid w:val="00604528"/>
    <w:rsid w:val="0060581B"/>
    <w:rsid w:val="00605838"/>
    <w:rsid w:val="006117E2"/>
    <w:rsid w:val="006125AE"/>
    <w:rsid w:val="00624264"/>
    <w:rsid w:val="006409FC"/>
    <w:rsid w:val="006422AA"/>
    <w:rsid w:val="00643A7D"/>
    <w:rsid w:val="00643CDE"/>
    <w:rsid w:val="00643DE5"/>
    <w:rsid w:val="00661A0E"/>
    <w:rsid w:val="00670B8F"/>
    <w:rsid w:val="00670E98"/>
    <w:rsid w:val="00684C54"/>
    <w:rsid w:val="00687350"/>
    <w:rsid w:val="00690CB4"/>
    <w:rsid w:val="006944FC"/>
    <w:rsid w:val="006946E9"/>
    <w:rsid w:val="006956DF"/>
    <w:rsid w:val="00697462"/>
    <w:rsid w:val="006A71CD"/>
    <w:rsid w:val="006A7A6F"/>
    <w:rsid w:val="006B227B"/>
    <w:rsid w:val="006C54EB"/>
    <w:rsid w:val="006C5F7D"/>
    <w:rsid w:val="006D096C"/>
    <w:rsid w:val="006D18E7"/>
    <w:rsid w:val="006D4BE1"/>
    <w:rsid w:val="006E0679"/>
    <w:rsid w:val="006E505F"/>
    <w:rsid w:val="006F49DC"/>
    <w:rsid w:val="00702640"/>
    <w:rsid w:val="00706698"/>
    <w:rsid w:val="0071088B"/>
    <w:rsid w:val="0071225E"/>
    <w:rsid w:val="00723AE6"/>
    <w:rsid w:val="00746746"/>
    <w:rsid w:val="007540D2"/>
    <w:rsid w:val="00757225"/>
    <w:rsid w:val="00766EAA"/>
    <w:rsid w:val="007808EA"/>
    <w:rsid w:val="00783D38"/>
    <w:rsid w:val="00787CA8"/>
    <w:rsid w:val="0079446E"/>
    <w:rsid w:val="007A7CD9"/>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67D14"/>
    <w:rsid w:val="00870D69"/>
    <w:rsid w:val="0087212D"/>
    <w:rsid w:val="00881577"/>
    <w:rsid w:val="00890E98"/>
    <w:rsid w:val="00895FC4"/>
    <w:rsid w:val="008A7A88"/>
    <w:rsid w:val="008C21C2"/>
    <w:rsid w:val="008C281D"/>
    <w:rsid w:val="008C28C9"/>
    <w:rsid w:val="008C2903"/>
    <w:rsid w:val="008D4FA5"/>
    <w:rsid w:val="008D5901"/>
    <w:rsid w:val="008E243D"/>
    <w:rsid w:val="008E37B4"/>
    <w:rsid w:val="008E4F02"/>
    <w:rsid w:val="008E7AB5"/>
    <w:rsid w:val="00910674"/>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16C57"/>
    <w:rsid w:val="00A2020A"/>
    <w:rsid w:val="00A23527"/>
    <w:rsid w:val="00A27AD0"/>
    <w:rsid w:val="00A34320"/>
    <w:rsid w:val="00A36E03"/>
    <w:rsid w:val="00A4581A"/>
    <w:rsid w:val="00A4683B"/>
    <w:rsid w:val="00A474C6"/>
    <w:rsid w:val="00A5463E"/>
    <w:rsid w:val="00A606BB"/>
    <w:rsid w:val="00A72E8E"/>
    <w:rsid w:val="00A81AC1"/>
    <w:rsid w:val="00A90A1F"/>
    <w:rsid w:val="00A91110"/>
    <w:rsid w:val="00A93512"/>
    <w:rsid w:val="00A94CE4"/>
    <w:rsid w:val="00A978A0"/>
    <w:rsid w:val="00AA23A5"/>
    <w:rsid w:val="00AB4171"/>
    <w:rsid w:val="00AC0DFE"/>
    <w:rsid w:val="00AC47C9"/>
    <w:rsid w:val="00AC627F"/>
    <w:rsid w:val="00AD05DA"/>
    <w:rsid w:val="00AD2B0F"/>
    <w:rsid w:val="00AD53E8"/>
    <w:rsid w:val="00AD5BD2"/>
    <w:rsid w:val="00AD6D75"/>
    <w:rsid w:val="00AD705D"/>
    <w:rsid w:val="00AE473B"/>
    <w:rsid w:val="00AE5473"/>
    <w:rsid w:val="00AF05A1"/>
    <w:rsid w:val="00AF0E79"/>
    <w:rsid w:val="00AF5726"/>
    <w:rsid w:val="00AF5E4D"/>
    <w:rsid w:val="00B10750"/>
    <w:rsid w:val="00B10FAD"/>
    <w:rsid w:val="00B140DF"/>
    <w:rsid w:val="00B14636"/>
    <w:rsid w:val="00B1467C"/>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E1F"/>
    <w:rsid w:val="00B92455"/>
    <w:rsid w:val="00BB55EF"/>
    <w:rsid w:val="00BC070B"/>
    <w:rsid w:val="00BD02A7"/>
    <w:rsid w:val="00BD2F8A"/>
    <w:rsid w:val="00BD4919"/>
    <w:rsid w:val="00BF083E"/>
    <w:rsid w:val="00BF648D"/>
    <w:rsid w:val="00C07C2B"/>
    <w:rsid w:val="00C1005C"/>
    <w:rsid w:val="00C15109"/>
    <w:rsid w:val="00C25926"/>
    <w:rsid w:val="00C32CAE"/>
    <w:rsid w:val="00C37DE2"/>
    <w:rsid w:val="00C47027"/>
    <w:rsid w:val="00C62433"/>
    <w:rsid w:val="00C65D47"/>
    <w:rsid w:val="00C674D5"/>
    <w:rsid w:val="00C7611A"/>
    <w:rsid w:val="00C76788"/>
    <w:rsid w:val="00C76901"/>
    <w:rsid w:val="00C90185"/>
    <w:rsid w:val="00C95907"/>
    <w:rsid w:val="00CA2001"/>
    <w:rsid w:val="00CA35BA"/>
    <w:rsid w:val="00CA6011"/>
    <w:rsid w:val="00CB4775"/>
    <w:rsid w:val="00CB74DF"/>
    <w:rsid w:val="00CC1051"/>
    <w:rsid w:val="00CC578B"/>
    <w:rsid w:val="00CC6352"/>
    <w:rsid w:val="00CC6904"/>
    <w:rsid w:val="00CE230B"/>
    <w:rsid w:val="00CE2994"/>
    <w:rsid w:val="00CF4BB6"/>
    <w:rsid w:val="00CF761A"/>
    <w:rsid w:val="00D0428C"/>
    <w:rsid w:val="00D06500"/>
    <w:rsid w:val="00D1131F"/>
    <w:rsid w:val="00D14A87"/>
    <w:rsid w:val="00D17800"/>
    <w:rsid w:val="00D217B0"/>
    <w:rsid w:val="00D321FF"/>
    <w:rsid w:val="00D4169E"/>
    <w:rsid w:val="00D63A28"/>
    <w:rsid w:val="00D7554C"/>
    <w:rsid w:val="00D8331C"/>
    <w:rsid w:val="00D845F7"/>
    <w:rsid w:val="00D853BD"/>
    <w:rsid w:val="00D85FA4"/>
    <w:rsid w:val="00D86843"/>
    <w:rsid w:val="00D96125"/>
    <w:rsid w:val="00D97895"/>
    <w:rsid w:val="00DA4A5D"/>
    <w:rsid w:val="00DA5281"/>
    <w:rsid w:val="00DB05FD"/>
    <w:rsid w:val="00DB7FEE"/>
    <w:rsid w:val="00DC3031"/>
    <w:rsid w:val="00DC56F0"/>
    <w:rsid w:val="00DC59A0"/>
    <w:rsid w:val="00DC630A"/>
    <w:rsid w:val="00E00666"/>
    <w:rsid w:val="00E114AC"/>
    <w:rsid w:val="00E126BF"/>
    <w:rsid w:val="00E139F2"/>
    <w:rsid w:val="00E172F0"/>
    <w:rsid w:val="00E17300"/>
    <w:rsid w:val="00E23B2D"/>
    <w:rsid w:val="00E30D3A"/>
    <w:rsid w:val="00E430E9"/>
    <w:rsid w:val="00E51386"/>
    <w:rsid w:val="00E7058D"/>
    <w:rsid w:val="00E705D3"/>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37B27"/>
    <w:rsid w:val="00F47506"/>
    <w:rsid w:val="00F515AF"/>
    <w:rsid w:val="00F54DCD"/>
    <w:rsid w:val="00F5698A"/>
    <w:rsid w:val="00F750A9"/>
    <w:rsid w:val="00F80449"/>
    <w:rsid w:val="00F87E07"/>
    <w:rsid w:val="00F91F9F"/>
    <w:rsid w:val="00F925CF"/>
    <w:rsid w:val="00F92DBD"/>
    <w:rsid w:val="00F92F89"/>
    <w:rsid w:val="00FA3181"/>
    <w:rsid w:val="00FA54DE"/>
    <w:rsid w:val="00FB53F2"/>
    <w:rsid w:val="00FD370D"/>
    <w:rsid w:val="00FD4C92"/>
    <w:rsid w:val="00FE236B"/>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ass.usda.gov/Statistics_by_State/Hawaii/Publications/Annual_Statistical_Bulletin/index.php" TargetMode="External"/><Relationship Id="rId20" Type="http://schemas.openxmlformats.org/officeDocument/2006/relationships/theme" Target="theme/theme1.xml"/><Relationship Id="rId10" Type="http://schemas.openxmlformats.org/officeDocument/2006/relationships/hyperlink" Target="http://www.fpir.noaa.gov/SFD/SFD_rcf_hmrfs.html" TargetMode="External"/><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files.hawaii.gov/dbedt/economic/reports/IO/2007_state_io_study.pdf)" TargetMode="External"/><Relationship Id="rId16" Type="http://schemas.openxmlformats.org/officeDocument/2006/relationships/hyperlink" Target="file:///D:\Documents%20and%20Settings\eschemmel\AppData\Local\Temp\Temp1_Re%253a_expense_sharing.zip\11_Costofwetlandschange%202013%20update%2011_DEC_2013.docx" TargetMode="External"/><Relationship Id="rId17" Type="http://schemas.openxmlformats.org/officeDocument/2006/relationships/hyperlink" Target="http://hbs.bishopmuseum.org/endangered/extinct.html"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30</Pages>
  <Words>7463</Words>
  <Characters>42543</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16</cp:revision>
  <cp:lastPrinted>2017-10-27T19:20:00Z</cp:lastPrinted>
  <dcterms:created xsi:type="dcterms:W3CDTF">2017-11-01T20:46:00Z</dcterms:created>
  <dcterms:modified xsi:type="dcterms:W3CDTF">2017-11-01T23:37:00Z</dcterms:modified>
</cp:coreProperties>
</file>