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paper</w:t>
      </w:r>
    </w:p>
    <w:p>
      <w:pPr>
        <w:pStyle w:val="Author"/>
      </w:pPr>
      <w:r>
        <w:t xml:space="preserve">Remi</w:t>
      </w:r>
      <w:r>
        <w:t xml:space="preserve"> </w:t>
      </w:r>
      <w:r>
        <w:t xml:space="preserve">Daigle</w:t>
      </w:r>
    </w:p>
    <w:p>
      <w:pPr>
        <w:pStyle w:val="Figure"/>
      </w:pPr>
      <w:r>
        <w:drawing>
          <wp:inline>
            <wp:extent cx="5334000" cy="3810000"/>
            <wp:effectExtent b="0" l="0" r="0" t="0"/>
            <wp:docPr descr="" id="1" name="Picture"/>
            <a:graphic>
              <a:graphicData uri="http://schemas.openxmlformats.org/drawingml/2006/picture">
                <pic:pic>
                  <pic:nvPicPr>
                    <pic:cNvPr descr="Figures_for_paper/fig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FirstParagraph"/>
      </w:pPr>
      <w:r>
        <w:rPr>
          <w:b/>
        </w:rPr>
        <w:t xml:space="preserve">Figure 1</w:t>
      </w:r>
      <w:r>
        <w:t xml:space="preserve">: Aboriginal Needs score over time</w:t>
      </w:r>
    </w:p>
    <w:p>
      <w:pPr>
        <w:pStyle w:val="Figure"/>
      </w:pPr>
      <w:r>
        <w:drawing>
          <wp:inline>
            <wp:extent cx="5334000" cy="1774500"/>
            <wp:effectExtent b="0" l="0" r="0" t="0"/>
            <wp:docPr descr="" id="1" name="Picture"/>
            <a:graphic>
              <a:graphicData uri="http://schemas.openxmlformats.org/drawingml/2006/picture">
                <pic:pic>
                  <pic:nvPicPr>
                    <pic:cNvPr descr="Figures_for_paper/fig2.png" id="0" name="Picture"/>
                    <pic:cNvPicPr>
                      <a:picLocks noChangeArrowheads="1" noChangeAspect="1"/>
                    </pic:cNvPicPr>
                  </pic:nvPicPr>
                  <pic:blipFill>
                    <a:blip r:embed="rId22"/>
                    <a:stretch>
                      <a:fillRect/>
                    </a:stretch>
                  </pic:blipFill>
                  <pic:spPr bwMode="auto">
                    <a:xfrm>
                      <a:off x="0" y="0"/>
                      <a:ext cx="5334000" cy="1774500"/>
                    </a:xfrm>
                    <a:prstGeom prst="rect">
                      <a:avLst/>
                    </a:prstGeom>
                    <a:noFill/>
                    <a:ln w="9525">
                      <a:noFill/>
                      <a:headEnd/>
                      <a:tailEnd/>
                    </a:ln>
                  </pic:spPr>
                </pic:pic>
              </a:graphicData>
            </a:graphic>
          </wp:inline>
        </w:drawing>
      </w:r>
    </w:p>
    <w:p>
      <w:pPr>
        <w:pStyle w:val="FirstParagraph"/>
      </w:pPr>
      <w:r>
        <w:rPr>
          <w:b/>
        </w:rPr>
        <w:t xml:space="preserve">Figure 2</w:t>
      </w:r>
      <w:r>
        <w:t xml:space="preserve">: Normal OHI and Canadian modified OHI. Numbers indicate goal scores.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Figure"/>
      </w:pPr>
      <w:r>
        <w:drawing>
          <wp:inline>
            <wp:extent cx="4127500" cy="5499100"/>
            <wp:effectExtent b="0" l="0" r="0" t="0"/>
            <wp:docPr descr="" id="1" name="Picture"/>
            <a:graphic>
              <a:graphicData uri="http://schemas.openxmlformats.org/drawingml/2006/picture">
                <pic:pic>
                  <pic:nvPicPr>
                    <pic:cNvPr descr="Figures_for_paper/fig3.png" id="0" name="Picture"/>
                    <pic:cNvPicPr>
                      <a:picLocks noChangeArrowheads="1" noChangeAspect="1"/>
                    </pic:cNvPicPr>
                  </pic:nvPicPr>
                  <pic:blipFill>
                    <a:blip r:embed="rId23"/>
                    <a:stretch>
                      <a:fillRect/>
                    </a:stretch>
                  </pic:blipFill>
                  <pic:spPr bwMode="auto">
                    <a:xfrm>
                      <a:off x="0" y="0"/>
                      <a:ext cx="4127500" cy="5499100"/>
                    </a:xfrm>
                    <a:prstGeom prst="rect">
                      <a:avLst/>
                    </a:prstGeom>
                    <a:noFill/>
                    <a:ln w="9525">
                      <a:noFill/>
                      <a:headEnd/>
                      <a:tailEnd/>
                    </a:ln>
                  </pic:spPr>
                </pic:pic>
              </a:graphicData>
            </a:graphic>
          </wp:inline>
        </w:drawing>
      </w:r>
    </w:p>
    <w:p>
      <w:pPr>
        <w:pStyle w:val="FirstParagraph"/>
      </w:pPr>
      <w:r>
        <w:rPr>
          <w:b/>
        </w:rPr>
        <w:t xml:space="preserve">Figure 3</w:t>
      </w:r>
      <w:r>
        <w:t xml:space="preserve">: Canadian modified OHI with different weighting techniques. In all cases subgoals weights are half their parent weights except for Food Provision where subgoals are weighted relative to yield. In equal weighting, for all goals are weights = 1. For the Likert Importance, weights are derived from the relative importance (1-5) question. For the BW Rank and BW-DCE, the weights are derived from the answers of best/worst pairings. Thos answers were either simply ranked, or the weights were derived from the DCE model coefficients.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Figure"/>
      </w:pPr>
      <w:r>
        <w:drawing>
          <wp:inline>
            <wp:extent cx="5041900" cy="5499100"/>
            <wp:effectExtent b="0" l="0" r="0" t="0"/>
            <wp:docPr descr="" id="1" name="Picture"/>
            <a:graphic>
              <a:graphicData uri="http://schemas.openxmlformats.org/drawingml/2006/picture">
                <pic:pic>
                  <pic:nvPicPr>
                    <pic:cNvPr descr="Figures_for_paper/fig4.png" id="0" name="Picture"/>
                    <pic:cNvPicPr>
                      <a:picLocks noChangeArrowheads="1" noChangeAspect="1"/>
                    </pic:cNvPicPr>
                  </pic:nvPicPr>
                  <pic:blipFill>
                    <a:blip r:embed="rId24"/>
                    <a:stretch>
                      <a:fillRect/>
                    </a:stretch>
                  </pic:blipFill>
                  <pic:spPr bwMode="auto">
                    <a:xfrm>
                      <a:off x="0" y="0"/>
                      <a:ext cx="5041900" cy="5499100"/>
                    </a:xfrm>
                    <a:prstGeom prst="rect">
                      <a:avLst/>
                    </a:prstGeom>
                    <a:noFill/>
                    <a:ln w="9525">
                      <a:noFill/>
                      <a:headEnd/>
                      <a:tailEnd/>
                    </a:ln>
                  </pic:spPr>
                </pic:pic>
              </a:graphicData>
            </a:graphic>
          </wp:inline>
        </w:drawing>
      </w:r>
    </w:p>
    <w:p>
      <w:pPr>
        <w:pStyle w:val="FirstParagraph"/>
      </w:pPr>
      <w:r>
        <w:rPr>
          <w:b/>
        </w:rPr>
        <w:t xml:space="preserve">Figure 4</w:t>
      </w:r>
      <w:r>
        <w:t xml:space="preserve">: Canadian modified OHI with Best/Worst DCE coefficient weights from each province.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Figure"/>
      </w:pPr>
      <w:r>
        <w:drawing>
          <wp:inline>
            <wp:extent cx="5334000" cy="4924567"/>
            <wp:effectExtent b="0" l="0" r="0" t="0"/>
            <wp:docPr descr="" id="1" name="Picture"/>
            <a:graphic>
              <a:graphicData uri="http://schemas.openxmlformats.org/drawingml/2006/picture">
                <pic:pic>
                  <pic:nvPicPr>
                    <pic:cNvPr descr="Figures_for_paper/fig5.png" id="0" name="Picture"/>
                    <pic:cNvPicPr>
                      <a:picLocks noChangeArrowheads="1" noChangeAspect="1"/>
                    </pic:cNvPicPr>
                  </pic:nvPicPr>
                  <pic:blipFill>
                    <a:blip r:embed="rId25"/>
                    <a:stretch>
                      <a:fillRect/>
                    </a:stretch>
                  </pic:blipFill>
                  <pic:spPr bwMode="auto">
                    <a:xfrm>
                      <a:off x="0" y="0"/>
                      <a:ext cx="5334000" cy="4924567"/>
                    </a:xfrm>
                    <a:prstGeom prst="rect">
                      <a:avLst/>
                    </a:prstGeom>
                    <a:noFill/>
                    <a:ln w="9525">
                      <a:noFill/>
                      <a:headEnd/>
                      <a:tailEnd/>
                    </a:ln>
                  </pic:spPr>
                </pic:pic>
              </a:graphicData>
            </a:graphic>
          </wp:inline>
        </w:drawing>
      </w:r>
    </w:p>
    <w:p>
      <w:pPr>
        <w:pStyle w:val="FirstParagraph"/>
      </w:pPr>
      <w:r>
        <w:rPr>
          <w:b/>
        </w:rPr>
        <w:t xml:space="preserve">Figure 5</w:t>
      </w:r>
      <w:r>
        <w:t xml:space="preserve">: Canadian modified OHI with Best/Worst DCE coefficient weights from each age group.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Figure"/>
      </w:pPr>
      <w:r>
        <w:drawing>
          <wp:inline>
            <wp:extent cx="4127500" cy="5499100"/>
            <wp:effectExtent b="0" l="0" r="0" t="0"/>
            <wp:docPr descr="" id="1" name="Picture"/>
            <a:graphic>
              <a:graphicData uri="http://schemas.openxmlformats.org/drawingml/2006/picture">
                <pic:pic>
                  <pic:nvPicPr>
                    <pic:cNvPr descr="Figures_for_paper/fig6.png" id="0" name="Picture"/>
                    <pic:cNvPicPr>
                      <a:picLocks noChangeArrowheads="1" noChangeAspect="1"/>
                    </pic:cNvPicPr>
                  </pic:nvPicPr>
                  <pic:blipFill>
                    <a:blip r:embed="rId26"/>
                    <a:stretch>
                      <a:fillRect/>
                    </a:stretch>
                  </pic:blipFill>
                  <pic:spPr bwMode="auto">
                    <a:xfrm>
                      <a:off x="0" y="0"/>
                      <a:ext cx="4127500" cy="5499100"/>
                    </a:xfrm>
                    <a:prstGeom prst="rect">
                      <a:avLst/>
                    </a:prstGeom>
                    <a:noFill/>
                    <a:ln w="9525">
                      <a:noFill/>
                      <a:headEnd/>
                      <a:tailEnd/>
                    </a:ln>
                  </pic:spPr>
                </pic:pic>
              </a:graphicData>
            </a:graphic>
          </wp:inline>
        </w:drawing>
      </w:r>
    </w:p>
    <w:p>
      <w:pPr>
        <w:pStyle w:val="FirstParagraph"/>
      </w:pPr>
      <w:r>
        <w:rPr>
          <w:b/>
        </w:rPr>
        <w:t xml:space="preserve">Figure 6</w:t>
      </w:r>
      <w:r>
        <w:t xml:space="preserve">: Canadian modified OHI with Best/Worst DCE coefficient weights from each political affiliation.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Figure"/>
      </w:pPr>
      <w:r>
        <w:drawing>
          <wp:inline>
            <wp:extent cx="2286000" cy="5499100"/>
            <wp:effectExtent b="0" l="0" r="0" t="0"/>
            <wp:docPr descr="" id="1" name="Picture"/>
            <a:graphic>
              <a:graphicData uri="http://schemas.openxmlformats.org/drawingml/2006/picture">
                <pic:pic>
                  <pic:nvPicPr>
                    <pic:cNvPr descr="Figures_for_paper/fig7.png" id="0" name="Picture"/>
                    <pic:cNvPicPr>
                      <a:picLocks noChangeArrowheads="1" noChangeAspect="1"/>
                    </pic:cNvPicPr>
                  </pic:nvPicPr>
                  <pic:blipFill>
                    <a:blip r:embed="rId27"/>
                    <a:stretch>
                      <a:fillRect/>
                    </a:stretch>
                  </pic:blipFill>
                  <pic:spPr bwMode="auto">
                    <a:xfrm>
                      <a:off x="0" y="0"/>
                      <a:ext cx="2286000" cy="5499100"/>
                    </a:xfrm>
                    <a:prstGeom prst="rect">
                      <a:avLst/>
                    </a:prstGeom>
                    <a:noFill/>
                    <a:ln w="9525">
                      <a:noFill/>
                      <a:headEnd/>
                      <a:tailEnd/>
                    </a:ln>
                  </pic:spPr>
                </pic:pic>
              </a:graphicData>
            </a:graphic>
          </wp:inline>
        </w:drawing>
      </w:r>
    </w:p>
    <w:p>
      <w:pPr>
        <w:pStyle w:val="FirstParagraph"/>
      </w:pPr>
      <w:r>
        <w:rPr>
          <w:b/>
        </w:rPr>
        <w:t xml:space="preserve">Figure 7</w:t>
      </w:r>
      <w:r>
        <w:t xml:space="preserve">: Canadian modified OHI with Best/Worst DCE coefficient weights from different environmental engagement categories. Numbers indicate goal weights. Mariculture (MAR) and Fisheries (FIS) subgoals are part of Food Provision; Aboriginal Needs (AN); Natural Products (NP); Carbon Storage (CS); Coastal Protection (CP); Tourism &amp; Recreation (TR); Livelihoods (LIV) and Economies (ECO) subgoals are part of Coastal Livelihoods; Iconic species (ICO) and Lasting Special Places (LSP) subgoals are part of Iconic Places &amp; Species; Clean Waters (CW); Habitat (HAB) and Species Protection (SPP) subgoals are part of Biodiversity.</w:t>
      </w:r>
    </w:p>
    <w:p>
      <w:pPr>
        <w:pStyle w:val="BodyText"/>
      </w:pPr>
      <w:r>
        <w:rPr>
          <w:b/>
        </w:rPr>
        <w:t xml:space="preserve">Appendix</w:t>
      </w:r>
      <w:r>
        <w:t xml:space="preserve">:</w:t>
      </w:r>
    </w:p>
    <w:p>
      <w:pPr>
        <w:pStyle w:val="Figure"/>
      </w:pPr>
      <w:r>
        <w:drawing>
          <wp:inline>
            <wp:extent cx="5334000" cy="4191000"/>
            <wp:effectExtent b="0" l="0" r="0" t="0"/>
            <wp:docPr descr="" id="1" name="Picture"/>
            <a:graphic>
              <a:graphicData uri="http://schemas.openxmlformats.org/drawingml/2006/picture">
                <pic:pic>
                  <pic:nvPicPr>
                    <pic:cNvPr descr="Figures_for_paper/Map_appendix.png" id="0" name="Picture"/>
                    <pic:cNvPicPr>
                      <a:picLocks noChangeArrowheads="1" noChangeAspect="1"/>
                    </pic:cNvPicPr>
                  </pic:nvPicPr>
                  <pic:blipFill>
                    <a:blip r:embed="rId28"/>
                    <a:stretch>
                      <a:fillRect/>
                    </a:stretch>
                  </pic:blipFill>
                  <pic:spPr bwMode="auto">
                    <a:xfrm>
                      <a:off x="0" y="0"/>
                      <a:ext cx="5334000" cy="4191000"/>
                    </a:xfrm>
                    <a:prstGeom prst="rect">
                      <a:avLst/>
                    </a:prstGeom>
                    <a:noFill/>
                    <a:ln w="9525">
                      <a:noFill/>
                      <a:headEnd/>
                      <a:tailEnd/>
                    </a:ln>
                  </pic:spPr>
                </pic:pic>
              </a:graphicData>
            </a:graphic>
          </wp:inline>
        </w:drawing>
      </w:r>
    </w:p>
    <w:p>
      <w:pPr>
        <w:pStyle w:val="FirstParagraph"/>
      </w:pPr>
      <w:r>
        <w:rPr>
          <w:b/>
        </w:rPr>
        <w:t xml:space="preserve">Figure A1</w:t>
      </w:r>
      <w:r>
        <w:t xml:space="preserve">: Map of carbon storage areas</w:t>
      </w:r>
    </w:p>
    <w:p>
      <w:pPr>
        <w:pStyle w:val="BodyText"/>
      </w:pPr>
      <w:r>
        <w:rPr>
          <w:b/>
        </w:rPr>
        <w:t xml:space="preserve">Table A1</w:t>
      </w:r>
      <w:r>
        <w:t xml:space="preserve">: The score, current status, likely future state, trend, pressure and resilience for the Canadian Ocean Health Index.</w:t>
      </w:r>
    </w:p>
    <w:tbl>
      <w:tblPr>
        <w:tblStyle w:val="TableNormal"/>
        <w:tblW w:type="pct" w:w="6111.111111111111"/>
        <w:tblLook w:firstRow="1"/>
      </w:tblPr>
      <w:tblGrid>
        <w:gridCol w:w="2750"/>
        <w:gridCol w:w="990"/>
        <w:gridCol w:w="880"/>
        <w:gridCol w:w="880"/>
        <w:gridCol w:w="880"/>
        <w:gridCol w:w="770"/>
        <w:gridCol w:w="1210"/>
        <w:gridCol w:w="1320"/>
      </w:tblGrid>
      <w:tr>
        <w:trPr>
          <w:cnfStyle w:firstRow="1"/>
        </w:trPr>
        <w:tc>
          <w:tcPr>
            <w:tcBorders>
              <w:bottom w:val="single"/>
            </w:tcBorders>
            <w:vAlign w:val="bottom"/>
          </w:tcPr>
          <w:p>
            <w:pPr>
              <w:pStyle w:val="Compact"/>
              <w:jc w:val="left"/>
            </w:pPr>
            <w:r>
              <w:t xml:space="preserve">Goal</w:t>
            </w:r>
          </w:p>
        </w:tc>
        <w:tc>
          <w:tcPr>
            <w:tcBorders>
              <w:bottom w:val="single"/>
            </w:tcBorders>
            <w:vAlign w:val="bottom"/>
          </w:tcPr>
          <w:p>
            <w:pPr>
              <w:pStyle w:val="Compact"/>
              <w:jc w:val="left"/>
            </w:pPr>
            <w:r>
              <w:t xml:space="preserve">Subgoal</w:t>
            </w:r>
          </w:p>
        </w:tc>
        <w:tc>
          <w:tcPr>
            <w:tcBorders>
              <w:bottom w:val="single"/>
            </w:tcBorders>
            <w:vAlign w:val="bottom"/>
          </w:tcPr>
          <w:p>
            <w:pPr>
              <w:pStyle w:val="Compact"/>
              <w:jc w:val="right"/>
            </w:pPr>
            <w:r>
              <w:t xml:space="preserve">Score</w:t>
            </w:r>
          </w:p>
        </w:tc>
        <w:tc>
          <w:tcPr>
            <w:tcBorders>
              <w:bottom w:val="single"/>
            </w:tcBorders>
            <w:vAlign w:val="bottom"/>
          </w:tcPr>
          <w:p>
            <w:pPr>
              <w:pStyle w:val="Compact"/>
              <w:jc w:val="right"/>
            </w:pPr>
            <w:r>
              <w:t xml:space="preserve">Status</w:t>
            </w:r>
          </w:p>
        </w:tc>
        <w:tc>
          <w:tcPr>
            <w:tcBorders>
              <w:bottom w:val="single"/>
            </w:tcBorders>
            <w:vAlign w:val="bottom"/>
          </w:tcPr>
          <w:p>
            <w:pPr>
              <w:pStyle w:val="Compact"/>
              <w:jc w:val="right"/>
            </w:pPr>
            <w:r>
              <w:t xml:space="preserve">Future</w:t>
            </w:r>
          </w:p>
        </w:tc>
        <w:tc>
          <w:tcPr>
            <w:tcBorders>
              <w:bottom w:val="single"/>
            </w:tcBorders>
            <w:vAlign w:val="bottom"/>
          </w:tcPr>
          <w:p>
            <w:pPr>
              <w:pStyle w:val="Compact"/>
              <w:jc w:val="right"/>
            </w:pPr>
            <w:r>
              <w:t xml:space="preserve">Trend</w:t>
            </w:r>
          </w:p>
        </w:tc>
        <w:tc>
          <w:tcPr>
            <w:tcBorders>
              <w:bottom w:val="single"/>
            </w:tcBorders>
            <w:vAlign w:val="bottom"/>
          </w:tcPr>
          <w:p>
            <w:pPr>
              <w:pStyle w:val="Compact"/>
              <w:jc w:val="right"/>
            </w:pPr>
            <w:r>
              <w:t xml:space="preserve">Pressures</w:t>
            </w:r>
          </w:p>
        </w:tc>
        <w:tc>
          <w:tcPr>
            <w:tcBorders>
              <w:bottom w:val="single"/>
            </w:tcBorders>
            <w:vAlign w:val="bottom"/>
          </w:tcPr>
          <w:p>
            <w:pPr>
              <w:pStyle w:val="Compact"/>
              <w:jc w:val="right"/>
            </w:pPr>
            <w:r>
              <w:t xml:space="preserve">Resilience</w:t>
            </w:r>
          </w:p>
        </w:tc>
      </w:tr>
      <w:tr>
        <w:tc>
          <w:p>
            <w:pPr>
              <w:pStyle w:val="Compact"/>
              <w:jc w:val="left"/>
            </w:pPr>
            <w:r>
              <w:t xml:space="preserve">Food Provision</w:t>
            </w:r>
          </w:p>
        </w:tc>
        <w:tc>
          <w:p>
            <w:pStyle w:val="Compact"/>
          </w:p>
        </w:tc>
        <w:tc>
          <w:p>
            <w:pPr>
              <w:pStyle w:val="Compact"/>
              <w:jc w:val="right"/>
            </w:pPr>
            <w:r>
              <w:t xml:space="preserve">64.28</w:t>
            </w:r>
          </w:p>
        </w:tc>
        <w:tc>
          <w:p>
            <w:pPr>
              <w:pStyle w:val="Compact"/>
              <w:jc w:val="right"/>
            </w:pPr>
            <w:r>
              <w:t xml:space="preserve">58.66</w:t>
            </w:r>
          </w:p>
        </w:tc>
        <w:tc>
          <w:p>
            <w:pPr>
              <w:pStyle w:val="Compact"/>
              <w:jc w:val="right"/>
            </w:pPr>
            <w:r>
              <w:t xml:space="preserve">69.90</w:t>
            </w:r>
          </w:p>
        </w:tc>
        <w:tc>
          <w:p>
            <w:pPr>
              <w:pStyle w:val="Compact"/>
              <w:jc w:val="right"/>
            </w:pPr>
            <w:r>
              <w:t xml:space="preserve">0.02</w:t>
            </w:r>
          </w:p>
        </w:tc>
        <w:tc>
          <w:p>
            <w:pPr>
              <w:pStyle w:val="Compact"/>
              <w:jc w:val="right"/>
            </w:pPr>
            <w:r>
              <w:t xml:space="preserve">NA</w:t>
            </w:r>
          </w:p>
        </w:tc>
        <w:tc>
          <w:p>
            <w:pPr>
              <w:pStyle w:val="Compact"/>
              <w:jc w:val="right"/>
            </w:pPr>
            <w:r>
              <w:t xml:space="preserve">NA</w:t>
            </w:r>
          </w:p>
        </w:tc>
      </w:tr>
      <w:tr>
        <w:tc>
          <w:p>
            <w:pPr>
              <w:pStyle w:val="Compact"/>
              <w:jc w:val="left"/>
            </w:pPr>
            <w:r>
              <w:t xml:space="preserve">Food Provision</w:t>
            </w:r>
          </w:p>
        </w:tc>
        <w:tc>
          <w:p>
            <w:pPr>
              <w:pStyle w:val="Compact"/>
              <w:jc w:val="left"/>
            </w:pPr>
            <w:r>
              <w:t xml:space="preserve">FIS</w:t>
            </w:r>
          </w:p>
        </w:tc>
        <w:tc>
          <w:p>
            <w:pPr>
              <w:pStyle w:val="Compact"/>
              <w:jc w:val="right"/>
            </w:pPr>
            <w:r>
              <w:t xml:space="preserve">59.36</w:t>
            </w:r>
          </w:p>
        </w:tc>
        <w:tc>
          <w:p>
            <w:pPr>
              <w:pStyle w:val="Compact"/>
              <w:jc w:val="right"/>
            </w:pPr>
            <w:r>
              <w:t xml:space="preserve">54.00</w:t>
            </w:r>
          </w:p>
        </w:tc>
        <w:tc>
          <w:p>
            <w:pPr>
              <w:pStyle w:val="Compact"/>
              <w:jc w:val="right"/>
            </w:pPr>
            <w:r>
              <w:t xml:space="preserve">64.72</w:t>
            </w:r>
          </w:p>
        </w:tc>
        <w:tc>
          <w:p>
            <w:pPr>
              <w:pStyle w:val="Compact"/>
              <w:jc w:val="right"/>
            </w:pPr>
            <w:r>
              <w:t xml:space="preserve">0.02</w:t>
            </w:r>
          </w:p>
        </w:tc>
        <w:tc>
          <w:p>
            <w:pPr>
              <w:pStyle w:val="Compact"/>
              <w:jc w:val="right"/>
            </w:pPr>
            <w:r>
              <w:t xml:space="preserve">16.69</w:t>
            </w:r>
          </w:p>
        </w:tc>
        <w:tc>
          <w:p>
            <w:pPr>
              <w:pStyle w:val="Compact"/>
              <w:jc w:val="right"/>
            </w:pPr>
            <w:r>
              <w:t xml:space="preserve">72.81</w:t>
            </w:r>
          </w:p>
        </w:tc>
      </w:tr>
      <w:tr>
        <w:tc>
          <w:p>
            <w:pPr>
              <w:pStyle w:val="Compact"/>
              <w:jc w:val="left"/>
            </w:pPr>
            <w:r>
              <w:t xml:space="preserve">Food Provision</w:t>
            </w:r>
          </w:p>
        </w:tc>
        <w:tc>
          <w:p>
            <w:pPr>
              <w:pStyle w:val="Compact"/>
              <w:jc w:val="left"/>
            </w:pPr>
            <w:r>
              <w:t xml:space="preserve">MAR</w:t>
            </w:r>
          </w:p>
        </w:tc>
        <w:tc>
          <w:p>
            <w:pPr>
              <w:pStyle w:val="Compact"/>
              <w:jc w:val="right"/>
            </w:pPr>
            <w:r>
              <w:t xml:space="preserve">92.88</w:t>
            </w:r>
          </w:p>
        </w:tc>
        <w:tc>
          <w:p>
            <w:pPr>
              <w:pStyle w:val="Compact"/>
              <w:jc w:val="right"/>
            </w:pPr>
            <w:r>
              <w:t xml:space="preserve">85.77</w:t>
            </w:r>
          </w:p>
        </w:tc>
        <w:tc>
          <w:p>
            <w:pPr>
              <w:pStyle w:val="Compact"/>
              <w:jc w:val="right"/>
            </w:pPr>
            <w:r>
              <w:t xml:space="preserve">100.00</w:t>
            </w:r>
          </w:p>
        </w:tc>
        <w:tc>
          <w:p>
            <w:pPr>
              <w:pStyle w:val="Compact"/>
              <w:jc w:val="right"/>
            </w:pPr>
            <w:r>
              <w:t xml:space="preserve">0.04</w:t>
            </w:r>
          </w:p>
        </w:tc>
        <w:tc>
          <w:p>
            <w:pPr>
              <w:pStyle w:val="Compact"/>
              <w:jc w:val="right"/>
            </w:pPr>
            <w:r>
              <w:t xml:space="preserve">14.01</w:t>
            </w:r>
          </w:p>
        </w:tc>
        <w:tc>
          <w:p>
            <w:pPr>
              <w:pStyle w:val="Compact"/>
              <w:jc w:val="right"/>
            </w:pPr>
            <w:r>
              <w:t xml:space="preserve">68.68</w:t>
            </w:r>
          </w:p>
        </w:tc>
      </w:tr>
      <w:tr>
        <w:tc>
          <w:p>
            <w:pPr>
              <w:pStyle w:val="Compact"/>
              <w:jc w:val="left"/>
            </w:pPr>
            <w:r>
              <w:t xml:space="preserve">Aboriginal Needs</w:t>
            </w:r>
          </w:p>
        </w:tc>
        <w:tc>
          <w:p>
            <w:pStyle w:val="Compact"/>
          </w:p>
        </w:tc>
        <w:tc>
          <w:p>
            <w:pPr>
              <w:pStyle w:val="Compact"/>
              <w:jc w:val="right"/>
            </w:pPr>
            <w:r>
              <w:t xml:space="preserve">35.42</w:t>
            </w:r>
          </w:p>
        </w:tc>
        <w:tc>
          <w:p>
            <w:pPr>
              <w:pStyle w:val="Compact"/>
              <w:jc w:val="right"/>
            </w:pPr>
            <w:r>
              <w:t xml:space="preserve">32.39</w:t>
            </w:r>
          </w:p>
        </w:tc>
        <w:tc>
          <w:p>
            <w:pPr>
              <w:pStyle w:val="Compact"/>
              <w:jc w:val="right"/>
            </w:pPr>
            <w:r>
              <w:t xml:space="preserve">38.45</w:t>
            </w:r>
          </w:p>
        </w:tc>
        <w:tc>
          <w:p>
            <w:pPr>
              <w:pStyle w:val="Compact"/>
              <w:jc w:val="right"/>
            </w:pPr>
            <w:r>
              <w:t xml:space="preserve">-0.02</w:t>
            </w:r>
          </w:p>
        </w:tc>
        <w:tc>
          <w:p>
            <w:pPr>
              <w:pStyle w:val="Compact"/>
              <w:jc w:val="right"/>
            </w:pPr>
            <w:r>
              <w:t xml:space="preserve">13.58</w:t>
            </w:r>
          </w:p>
        </w:tc>
        <w:tc>
          <w:p>
            <w:pPr>
              <w:pStyle w:val="Compact"/>
              <w:jc w:val="right"/>
            </w:pPr>
            <w:r>
              <w:t xml:space="preserve">73.66</w:t>
            </w:r>
          </w:p>
        </w:tc>
      </w:tr>
      <w:tr>
        <w:tc>
          <w:p>
            <w:pPr>
              <w:pStyle w:val="Compact"/>
              <w:jc w:val="left"/>
            </w:pPr>
            <w:r>
              <w:t xml:space="preserve">Natural Products</w:t>
            </w:r>
          </w:p>
        </w:tc>
        <w:tc>
          <w:p>
            <w:pStyle w:val="Compact"/>
          </w:p>
        </w:tc>
        <w:tc>
          <w:p>
            <w:pPr>
              <w:pStyle w:val="Compact"/>
              <w:jc w:val="right"/>
            </w:pPr>
            <w:r>
              <w:t xml:space="preserve">44.02</w:t>
            </w:r>
          </w:p>
        </w:tc>
        <w:tc>
          <w:p>
            <w:pPr>
              <w:pStyle w:val="Compact"/>
              <w:jc w:val="right"/>
            </w:pPr>
            <w:r>
              <w:t xml:space="preserve">41.90</w:t>
            </w:r>
          </w:p>
        </w:tc>
        <w:tc>
          <w:p>
            <w:pPr>
              <w:pStyle w:val="Compact"/>
              <w:jc w:val="right"/>
            </w:pPr>
            <w:r>
              <w:t xml:space="preserve">46.13</w:t>
            </w:r>
          </w:p>
        </w:tc>
        <w:tc>
          <w:p>
            <w:pPr>
              <w:pStyle w:val="Compact"/>
              <w:jc w:val="right"/>
            </w:pPr>
            <w:r>
              <w:t xml:space="preserve">-0.16</w:t>
            </w:r>
          </w:p>
        </w:tc>
        <w:tc>
          <w:p>
            <w:pPr>
              <w:pStyle w:val="Compact"/>
              <w:jc w:val="right"/>
            </w:pPr>
            <w:r>
              <w:t xml:space="preserve">13.81</w:t>
            </w:r>
          </w:p>
        </w:tc>
        <w:tc>
          <w:p>
            <w:pPr>
              <w:pStyle w:val="Compact"/>
              <w:jc w:val="right"/>
            </w:pPr>
            <w:r>
              <w:t xml:space="preserve">76.43</w:t>
            </w:r>
          </w:p>
        </w:tc>
      </w:tr>
      <w:tr>
        <w:tc>
          <w:p>
            <w:pPr>
              <w:pStyle w:val="Compact"/>
              <w:jc w:val="left"/>
            </w:pPr>
            <w:r>
              <w:t xml:space="preserve">Carbon Storage</w:t>
            </w:r>
          </w:p>
        </w:tc>
        <w:tc>
          <w:p>
            <w:pStyle w:val="Compact"/>
          </w:p>
        </w:tc>
        <w:tc>
          <w:p>
            <w:pPr>
              <w:pStyle w:val="Compact"/>
              <w:jc w:val="right"/>
            </w:pPr>
            <w:r>
              <w:t xml:space="preserve">61.64</w:t>
            </w:r>
          </w:p>
        </w:tc>
        <w:tc>
          <w:p>
            <w:pPr>
              <w:pStyle w:val="Compact"/>
              <w:jc w:val="right"/>
            </w:pPr>
            <w:r>
              <w:t xml:space="preserve">57.28</w:t>
            </w:r>
          </w:p>
        </w:tc>
        <w:tc>
          <w:p>
            <w:pPr>
              <w:pStyle w:val="Compact"/>
              <w:jc w:val="right"/>
            </w:pPr>
            <w:r>
              <w:t xml:space="preserve">66.00</w:t>
            </w:r>
          </w:p>
        </w:tc>
        <w:tc>
          <w:p>
            <w:pPr>
              <w:pStyle w:val="Compact"/>
              <w:jc w:val="right"/>
            </w:pPr>
            <w:r>
              <w:t xml:space="preserve">-0.01</w:t>
            </w:r>
          </w:p>
        </w:tc>
        <w:tc>
          <w:p>
            <w:pPr>
              <w:pStyle w:val="Compact"/>
              <w:jc w:val="right"/>
            </w:pPr>
            <w:r>
              <w:t xml:space="preserve">16.52</w:t>
            </w:r>
          </w:p>
        </w:tc>
        <w:tc>
          <w:p>
            <w:pPr>
              <w:pStyle w:val="Compact"/>
              <w:jc w:val="right"/>
            </w:pPr>
            <w:r>
              <w:t xml:space="preserve">64.06</w:t>
            </w:r>
          </w:p>
        </w:tc>
      </w:tr>
      <w:tr>
        <w:tc>
          <w:p>
            <w:pPr>
              <w:pStyle w:val="Compact"/>
              <w:jc w:val="left"/>
            </w:pPr>
            <w:r>
              <w:t xml:space="preserve">Coastal Protection</w:t>
            </w:r>
          </w:p>
        </w:tc>
        <w:tc>
          <w:p>
            <w:pStyle w:val="Compact"/>
          </w:p>
        </w:tc>
        <w:tc>
          <w:p>
            <w:pPr>
              <w:pStyle w:val="Compact"/>
              <w:jc w:val="right"/>
            </w:pPr>
            <w:r>
              <w:t xml:space="preserve">95.89</w:t>
            </w:r>
          </w:p>
        </w:tc>
        <w:tc>
          <w:p>
            <w:pPr>
              <w:pStyle w:val="Compact"/>
              <w:jc w:val="right"/>
            </w:pPr>
            <w:r>
              <w:t xml:space="preserve">91.79</w:t>
            </w:r>
          </w:p>
        </w:tc>
        <w:tc>
          <w:p>
            <w:pPr>
              <w:pStyle w:val="Compact"/>
              <w:jc w:val="right"/>
            </w:pPr>
            <w:r>
              <w:t xml:space="preserve">100.00</w:t>
            </w:r>
          </w:p>
        </w:tc>
        <w:tc>
          <w:p>
            <w:pPr>
              <w:pStyle w:val="Compact"/>
              <w:jc w:val="right"/>
            </w:pPr>
            <w:r>
              <w:t xml:space="preserve">-0.01</w:t>
            </w:r>
          </w:p>
        </w:tc>
        <w:tc>
          <w:p>
            <w:pPr>
              <w:pStyle w:val="Compact"/>
              <w:jc w:val="right"/>
            </w:pPr>
            <w:r>
              <w:t xml:space="preserve">23.81</w:t>
            </w:r>
          </w:p>
        </w:tc>
        <w:tc>
          <w:p>
            <w:pPr>
              <w:pStyle w:val="Compact"/>
              <w:jc w:val="right"/>
            </w:pPr>
            <w:r>
              <w:t xml:space="preserve">64.06</w:t>
            </w:r>
          </w:p>
        </w:tc>
      </w:tr>
      <w:tr>
        <w:tc>
          <w:p>
            <w:pPr>
              <w:pStyle w:val="Compact"/>
              <w:jc w:val="left"/>
            </w:pPr>
            <w:r>
              <w:t xml:space="preserve">Coastal Livelihoods</w:t>
            </w:r>
          </w:p>
        </w:tc>
        <w:tc>
          <w:p>
            <w:pStyle w:val="Compact"/>
          </w:p>
        </w:tc>
        <w:tc>
          <w:p>
            <w:pPr>
              <w:pStyle w:val="Compact"/>
              <w:jc w:val="right"/>
            </w:pPr>
            <w:r>
              <w:t xml:space="preserve">89.87</w:t>
            </w:r>
          </w:p>
        </w:tc>
        <w:tc>
          <w:p>
            <w:pPr>
              <w:pStyle w:val="Compact"/>
              <w:jc w:val="right"/>
            </w:pPr>
            <w:r>
              <w:t xml:space="preserve">86.74</w:t>
            </w:r>
          </w:p>
        </w:tc>
        <w:tc>
          <w:p>
            <w:pPr>
              <w:pStyle w:val="Compact"/>
              <w:jc w:val="right"/>
            </w:pPr>
            <w:r>
              <w:t xml:space="preserve">93.00</w:t>
            </w:r>
          </w:p>
        </w:tc>
        <w:tc>
          <w:p>
            <w:pPr>
              <w:pStyle w:val="Compact"/>
              <w:jc w:val="right"/>
            </w:pPr>
            <w:r>
              <w:t xml:space="preserve">0.03</w:t>
            </w:r>
          </w:p>
        </w:tc>
        <w:tc>
          <w:p>
            <w:pPr>
              <w:pStyle w:val="Compact"/>
              <w:jc w:val="right"/>
            </w:pPr>
            <w:r>
              <w:t xml:space="preserve">NA</w:t>
            </w:r>
          </w:p>
        </w:tc>
        <w:tc>
          <w:p>
            <w:pPr>
              <w:pStyle w:val="Compact"/>
              <w:jc w:val="right"/>
            </w:pPr>
            <w:r>
              <w:t xml:space="preserve">NA</w:t>
            </w:r>
          </w:p>
        </w:tc>
      </w:tr>
      <w:tr>
        <w:tc>
          <w:p>
            <w:pPr>
              <w:pStyle w:val="Compact"/>
              <w:jc w:val="left"/>
            </w:pPr>
            <w:r>
              <w:t xml:space="preserve">Coastal Livelihoods</w:t>
            </w:r>
          </w:p>
        </w:tc>
        <w:tc>
          <w:p>
            <w:pPr>
              <w:pStyle w:val="Compact"/>
              <w:jc w:val="left"/>
            </w:pPr>
            <w:r>
              <w:t xml:space="preserve">LIV</w:t>
            </w:r>
          </w:p>
        </w:tc>
        <w:tc>
          <w:p>
            <w:pPr>
              <w:pStyle w:val="Compact"/>
              <w:jc w:val="right"/>
            </w:pPr>
            <w:r>
              <w:t xml:space="preserve">79.74</w:t>
            </w:r>
          </w:p>
        </w:tc>
        <w:tc>
          <w:p>
            <w:pPr>
              <w:pStyle w:val="Compact"/>
              <w:jc w:val="right"/>
            </w:pPr>
            <w:r>
              <w:t xml:space="preserve">73.48</w:t>
            </w:r>
          </w:p>
        </w:tc>
        <w:tc>
          <w:p>
            <w:pPr>
              <w:pStyle w:val="Compact"/>
              <w:jc w:val="right"/>
            </w:pPr>
            <w:r>
              <w:t xml:space="preserve">86.00</w:t>
            </w:r>
          </w:p>
        </w:tc>
        <w:tc>
          <w:p>
            <w:pPr>
              <w:pStyle w:val="Compact"/>
              <w:jc w:val="right"/>
            </w:pPr>
            <w:r>
              <w:t xml:space="preserve">0.03</w:t>
            </w:r>
          </w:p>
        </w:tc>
        <w:tc>
          <w:p>
            <w:pPr>
              <w:pStyle w:val="Compact"/>
              <w:jc w:val="right"/>
            </w:pPr>
            <w:r>
              <w:t xml:space="preserve">14.89</w:t>
            </w:r>
          </w:p>
        </w:tc>
        <w:tc>
          <w:p>
            <w:pPr>
              <w:pStyle w:val="Compact"/>
              <w:jc w:val="right"/>
            </w:pPr>
            <w:r>
              <w:t xml:space="preserve">60.08</w:t>
            </w:r>
          </w:p>
        </w:tc>
      </w:tr>
      <w:tr>
        <w:tc>
          <w:p>
            <w:pPr>
              <w:pStyle w:val="Compact"/>
              <w:jc w:val="left"/>
            </w:pPr>
            <w:r>
              <w:t xml:space="preserve">Coastal Livelihoods</w:t>
            </w:r>
          </w:p>
        </w:tc>
        <w:tc>
          <w:p>
            <w:pPr>
              <w:pStyle w:val="Compact"/>
              <w:jc w:val="left"/>
            </w:pPr>
            <w:r>
              <w:t xml:space="preserve">ECO</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0.02</w:t>
            </w:r>
          </w:p>
        </w:tc>
        <w:tc>
          <w:p>
            <w:pPr>
              <w:pStyle w:val="Compact"/>
              <w:jc w:val="right"/>
            </w:pPr>
            <w:r>
              <w:t xml:space="preserve">14.87</w:t>
            </w:r>
          </w:p>
        </w:tc>
        <w:tc>
          <w:p>
            <w:pPr>
              <w:pStyle w:val="Compact"/>
              <w:jc w:val="right"/>
            </w:pPr>
            <w:r>
              <w:t xml:space="preserve">73.55</w:t>
            </w:r>
          </w:p>
        </w:tc>
      </w:tr>
      <w:tr>
        <w:tc>
          <w:p>
            <w:pPr>
              <w:pStyle w:val="Compact"/>
              <w:jc w:val="left"/>
            </w:pPr>
            <w:r>
              <w:t xml:space="preserve">Tourism &amp; Recreation</w:t>
            </w:r>
          </w:p>
        </w:tc>
        <w:tc>
          <w:p>
            <w:pStyle w:val="Compact"/>
          </w:p>
        </w:tc>
        <w:tc>
          <w:p>
            <w:pPr>
              <w:pStyle w:val="Compact"/>
              <w:jc w:val="right"/>
            </w:pPr>
            <w:r>
              <w:t xml:space="preserve">25.19</w:t>
            </w:r>
          </w:p>
        </w:tc>
        <w:tc>
          <w:p>
            <w:pPr>
              <w:pStyle w:val="Compact"/>
              <w:jc w:val="right"/>
            </w:pPr>
            <w:r>
              <w:t xml:space="preserve">23.93</w:t>
            </w:r>
          </w:p>
        </w:tc>
        <w:tc>
          <w:p>
            <w:pPr>
              <w:pStyle w:val="Compact"/>
              <w:jc w:val="right"/>
            </w:pPr>
            <w:r>
              <w:t xml:space="preserve">26.45</w:t>
            </w:r>
          </w:p>
        </w:tc>
        <w:tc>
          <w:p>
            <w:pPr>
              <w:pStyle w:val="Compact"/>
              <w:jc w:val="right"/>
            </w:pPr>
            <w:r>
              <w:t xml:space="preserve">0.00</w:t>
            </w:r>
          </w:p>
        </w:tc>
        <w:tc>
          <w:p>
            <w:pPr>
              <w:pStyle w:val="Compact"/>
              <w:jc w:val="right"/>
            </w:pPr>
            <w:r>
              <w:t xml:space="preserve">30.64</w:t>
            </w:r>
          </w:p>
        </w:tc>
        <w:tc>
          <w:p>
            <w:pPr>
              <w:pStyle w:val="Compact"/>
              <w:jc w:val="right"/>
            </w:pPr>
            <w:r>
              <w:t xml:space="preserve">62.97</w:t>
            </w:r>
          </w:p>
        </w:tc>
      </w:tr>
      <w:tr>
        <w:tc>
          <w:p>
            <w:pPr>
              <w:pStyle w:val="Compact"/>
              <w:jc w:val="left"/>
            </w:pPr>
            <w:r>
              <w:t xml:space="preserve">Iconic Places &amp; Species</w:t>
            </w:r>
          </w:p>
        </w:tc>
        <w:tc>
          <w:p>
            <w:pStyle w:val="Compact"/>
          </w:p>
        </w:tc>
        <w:tc>
          <w:p>
            <w:pPr>
              <w:pStyle w:val="Compact"/>
              <w:jc w:val="right"/>
            </w:pPr>
            <w:r>
              <w:t xml:space="preserve">84.91</w:t>
            </w:r>
          </w:p>
        </w:tc>
        <w:tc>
          <w:p>
            <w:pPr>
              <w:pStyle w:val="Compact"/>
              <w:jc w:val="right"/>
            </w:pPr>
            <w:r>
              <w:t xml:space="preserve">80.00</w:t>
            </w:r>
          </w:p>
        </w:tc>
        <w:tc>
          <w:p>
            <w:pPr>
              <w:pStyle w:val="Compact"/>
              <w:jc w:val="right"/>
            </w:pPr>
            <w:r>
              <w:t xml:space="preserve">89.81</w:t>
            </w:r>
          </w:p>
        </w:tc>
        <w:tc>
          <w:p>
            <w:pPr>
              <w:pStyle w:val="Compact"/>
              <w:jc w:val="right"/>
            </w:pPr>
            <w:r>
              <w:t xml:space="preserve">-0.10</w:t>
            </w:r>
          </w:p>
        </w:tc>
        <w:tc>
          <w:p>
            <w:pPr>
              <w:pStyle w:val="Compact"/>
              <w:jc w:val="right"/>
            </w:pPr>
            <w:r>
              <w:t xml:space="preserve">16.99</w:t>
            </w:r>
          </w:p>
        </w:tc>
        <w:tc>
          <w:p>
            <w:pPr>
              <w:pStyle w:val="Compact"/>
              <w:jc w:val="right"/>
            </w:pPr>
            <w:r>
              <w:t xml:space="preserve">74.46</w:t>
            </w:r>
          </w:p>
        </w:tc>
      </w:tr>
      <w:tr>
        <w:tc>
          <w:p>
            <w:pPr>
              <w:pStyle w:val="Compact"/>
              <w:jc w:val="left"/>
            </w:pPr>
            <w:r>
              <w:t xml:space="preserve">Iconic Places &amp; Species</w:t>
            </w:r>
          </w:p>
        </w:tc>
        <w:tc>
          <w:p>
            <w:pPr>
              <w:pStyle w:val="Compact"/>
              <w:jc w:val="left"/>
            </w:pPr>
            <w:r>
              <w:t xml:space="preserve">LSP</w:t>
            </w:r>
          </w:p>
        </w:tc>
        <w:tc>
          <w:p>
            <w:pPr>
              <w:pStyle w:val="Compact"/>
              <w:jc w:val="right"/>
            </w:pPr>
            <w:r>
              <w:t xml:space="preserve">33.89</w:t>
            </w:r>
          </w:p>
        </w:tc>
        <w:tc>
          <w:p>
            <w:pPr>
              <w:pStyle w:val="Compact"/>
              <w:jc w:val="right"/>
            </w:pPr>
            <w:r>
              <w:t xml:space="preserve">25.27</w:t>
            </w:r>
          </w:p>
        </w:tc>
        <w:tc>
          <w:p>
            <w:pPr>
              <w:pStyle w:val="Compact"/>
              <w:jc w:val="right"/>
            </w:pPr>
            <w:r>
              <w:t xml:space="preserve">42.52</w:t>
            </w:r>
          </w:p>
        </w:tc>
        <w:tc>
          <w:p>
            <w:pPr>
              <w:pStyle w:val="Compact"/>
              <w:jc w:val="right"/>
            </w:pPr>
            <w:r>
              <w:t xml:space="preserve">0.78</w:t>
            </w:r>
          </w:p>
        </w:tc>
        <w:tc>
          <w:p>
            <w:pPr>
              <w:pStyle w:val="Compact"/>
              <w:jc w:val="right"/>
            </w:pPr>
            <w:r>
              <w:t xml:space="preserve">22.84</w:t>
            </w:r>
          </w:p>
        </w:tc>
        <w:tc>
          <w:p>
            <w:pPr>
              <w:pStyle w:val="Compact"/>
              <w:jc w:val="right"/>
            </w:pPr>
            <w:r>
              <w:t xml:space="preserve">72.06</w:t>
            </w:r>
          </w:p>
        </w:tc>
      </w:tr>
      <w:tr>
        <w:tc>
          <w:p>
            <w:pPr>
              <w:pStyle w:val="Compact"/>
              <w:jc w:val="left"/>
            </w:pPr>
            <w:r>
              <w:t xml:space="preserve">Iconic Places &amp; Species</w:t>
            </w:r>
          </w:p>
        </w:tc>
        <w:tc>
          <w:p>
            <w:pPr>
              <w:pStyle w:val="Compact"/>
              <w:jc w:val="left"/>
            </w:pPr>
            <w:r>
              <w:t xml:space="preserve">SP</w:t>
            </w:r>
          </w:p>
        </w:tc>
        <w:tc>
          <w:p>
            <w:pPr>
              <w:pStyle w:val="Compact"/>
              <w:jc w:val="right"/>
            </w:pPr>
            <w:r>
              <w:t xml:space="preserve">59.40</w:t>
            </w:r>
          </w:p>
        </w:tc>
        <w:tc>
          <w:p>
            <w:pPr>
              <w:pStyle w:val="Compact"/>
              <w:jc w:val="right"/>
            </w:pPr>
            <w:r>
              <w:t xml:space="preserve">52.63</w:t>
            </w:r>
          </w:p>
        </w:tc>
        <w:tc>
          <w:p>
            <w:pPr>
              <w:pStyle w:val="Compact"/>
              <w:jc w:val="right"/>
            </w:pPr>
            <w:r>
              <w:t xml:space="preserve">66.17</w:t>
            </w:r>
          </w:p>
        </w:tc>
        <w:tc>
          <w:p>
            <w:pPr>
              <w:pStyle w:val="Compact"/>
              <w:jc w:val="right"/>
            </w:pPr>
            <w:r>
              <w:t xml:space="preserve">0.34</w:t>
            </w:r>
          </w:p>
        </w:tc>
        <w:tc>
          <w:p>
            <w:pPr>
              <w:pStyle w:val="Compact"/>
              <w:jc w:val="right"/>
            </w:pPr>
            <w:r>
              <w:t xml:space="preserve">NA</w:t>
            </w:r>
          </w:p>
        </w:tc>
        <w:tc>
          <w:p>
            <w:pPr>
              <w:pStyle w:val="Compact"/>
              <w:jc w:val="right"/>
            </w:pPr>
            <w:r>
              <w:t xml:space="preserve">NA</w:t>
            </w:r>
          </w:p>
        </w:tc>
      </w:tr>
      <w:tr>
        <w:tc>
          <w:p>
            <w:pPr>
              <w:pStyle w:val="Compact"/>
              <w:jc w:val="left"/>
            </w:pPr>
            <w:r>
              <w:t xml:space="preserve">Clean Waters</w:t>
            </w:r>
          </w:p>
        </w:tc>
        <w:tc>
          <w:p>
            <w:pStyle w:val="Compact"/>
          </w:p>
        </w:tc>
        <w:tc>
          <w:p>
            <w:pPr>
              <w:pStyle w:val="Compact"/>
              <w:jc w:val="right"/>
            </w:pPr>
            <w:r>
              <w:t xml:space="preserve">78.70</w:t>
            </w:r>
          </w:p>
        </w:tc>
        <w:tc>
          <w:p>
            <w:pPr>
              <w:pStyle w:val="Compact"/>
              <w:jc w:val="right"/>
            </w:pPr>
            <w:r>
              <w:t xml:space="preserve">84.31</w:t>
            </w:r>
          </w:p>
        </w:tc>
        <w:tc>
          <w:p>
            <w:pPr>
              <w:pStyle w:val="Compact"/>
              <w:jc w:val="right"/>
            </w:pPr>
            <w:r>
              <w:t xml:space="preserve">73.09</w:t>
            </w:r>
          </w:p>
        </w:tc>
        <w:tc>
          <w:p>
            <w:pPr>
              <w:pStyle w:val="Compact"/>
              <w:jc w:val="right"/>
            </w:pPr>
            <w:r>
              <w:t xml:space="preserve">-0.32</w:t>
            </w:r>
          </w:p>
        </w:tc>
        <w:tc>
          <w:p>
            <w:pPr>
              <w:pStyle w:val="Compact"/>
              <w:jc w:val="right"/>
            </w:pPr>
            <w:r>
              <w:t xml:space="preserve">38.19</w:t>
            </w:r>
          </w:p>
        </w:tc>
        <w:tc>
          <w:p>
            <w:pPr>
              <w:pStyle w:val="Compact"/>
              <w:jc w:val="right"/>
            </w:pPr>
            <w:r>
              <w:t xml:space="preserve">62.97</w:t>
            </w:r>
          </w:p>
        </w:tc>
      </w:tr>
      <w:tr>
        <w:tc>
          <w:p>
            <w:pPr>
              <w:pStyle w:val="Compact"/>
              <w:jc w:val="left"/>
            </w:pPr>
            <w:r>
              <w:t xml:space="preserve">Biodiversity</w:t>
            </w:r>
          </w:p>
        </w:tc>
        <w:tc>
          <w:p>
            <w:pStyle w:val="Compact"/>
          </w:p>
        </w:tc>
        <w:tc>
          <w:p>
            <w:pPr>
              <w:pStyle w:val="Compact"/>
              <w:jc w:val="right"/>
            </w:pPr>
            <w:r>
              <w:t xml:space="preserve">91.05</w:t>
            </w:r>
          </w:p>
        </w:tc>
        <w:tc>
          <w:p>
            <w:pPr>
              <w:pStyle w:val="Compact"/>
              <w:jc w:val="right"/>
            </w:pPr>
            <w:r>
              <w:t xml:space="preserve">84.83</w:t>
            </w:r>
          </w:p>
        </w:tc>
        <w:tc>
          <w:p>
            <w:pPr>
              <w:pStyle w:val="Compact"/>
              <w:jc w:val="right"/>
            </w:pPr>
            <w:r>
              <w:t xml:space="preserve">97.28</w:t>
            </w:r>
          </w:p>
        </w:tc>
        <w:tc>
          <w:p>
            <w:pPr>
              <w:pStyle w:val="Compact"/>
              <w:jc w:val="right"/>
            </w:pPr>
            <w:r>
              <w:t xml:space="preserve">-0.04</w:t>
            </w:r>
          </w:p>
        </w:tc>
        <w:tc>
          <w:p>
            <w:pPr>
              <w:pStyle w:val="Compact"/>
              <w:jc w:val="right"/>
            </w:pPr>
            <w:r>
              <w:t xml:space="preserve">NA</w:t>
            </w:r>
          </w:p>
        </w:tc>
        <w:tc>
          <w:p>
            <w:pPr>
              <w:pStyle w:val="Compact"/>
              <w:jc w:val="right"/>
            </w:pPr>
            <w:r>
              <w:t xml:space="preserve">NA</w:t>
            </w:r>
          </w:p>
        </w:tc>
      </w:tr>
      <w:tr>
        <w:tc>
          <w:p>
            <w:pPr>
              <w:pStyle w:val="Compact"/>
              <w:jc w:val="left"/>
            </w:pPr>
            <w:r>
              <w:t xml:space="preserve">Biodiversity</w:t>
            </w:r>
          </w:p>
        </w:tc>
        <w:tc>
          <w:p>
            <w:pPr>
              <w:pStyle w:val="Compact"/>
              <w:jc w:val="left"/>
            </w:pPr>
            <w:r>
              <w:t xml:space="preserve">HAB</w:t>
            </w:r>
          </w:p>
        </w:tc>
        <w:tc>
          <w:p>
            <w:pPr>
              <w:pStyle w:val="Compact"/>
              <w:jc w:val="right"/>
            </w:pPr>
            <w:r>
              <w:t xml:space="preserve">92.72</w:t>
            </w:r>
          </w:p>
        </w:tc>
        <w:tc>
          <w:p>
            <w:pPr>
              <w:pStyle w:val="Compact"/>
              <w:jc w:val="right"/>
            </w:pPr>
            <w:r>
              <w:t xml:space="preserve">85.43</w:t>
            </w:r>
          </w:p>
        </w:tc>
        <w:tc>
          <w:p>
            <w:pPr>
              <w:pStyle w:val="Compact"/>
              <w:jc w:val="right"/>
            </w:pPr>
            <w:r>
              <w:t xml:space="preserve">100.00</w:t>
            </w:r>
          </w:p>
        </w:tc>
        <w:tc>
          <w:p>
            <w:pPr>
              <w:pStyle w:val="Compact"/>
              <w:jc w:val="right"/>
            </w:pPr>
            <w:r>
              <w:t xml:space="preserve">0.00</w:t>
            </w:r>
          </w:p>
        </w:tc>
        <w:tc>
          <w:p>
            <w:pPr>
              <w:pStyle w:val="Compact"/>
              <w:jc w:val="right"/>
            </w:pPr>
            <w:r>
              <w:t xml:space="preserve">14.73</w:t>
            </w:r>
          </w:p>
        </w:tc>
        <w:tc>
          <w:p>
            <w:pPr>
              <w:pStyle w:val="Compact"/>
              <w:jc w:val="right"/>
            </w:pPr>
            <w:r>
              <w:t xml:space="preserve">75.38</w:t>
            </w:r>
          </w:p>
        </w:tc>
      </w:tr>
      <w:tr>
        <w:tc>
          <w:p>
            <w:pPr>
              <w:pStyle w:val="Compact"/>
              <w:jc w:val="left"/>
            </w:pPr>
            <w:r>
              <w:t xml:space="preserve">Biodiversity</w:t>
            </w:r>
          </w:p>
        </w:tc>
        <w:tc>
          <w:p>
            <w:pPr>
              <w:pStyle w:val="Compact"/>
              <w:jc w:val="left"/>
            </w:pPr>
            <w:r>
              <w:t xml:space="preserve">SPP</w:t>
            </w:r>
          </w:p>
        </w:tc>
        <w:tc>
          <w:p>
            <w:pPr>
              <w:pStyle w:val="Compact"/>
              <w:jc w:val="right"/>
            </w:pPr>
            <w:r>
              <w:t xml:space="preserve">89.39</w:t>
            </w:r>
          </w:p>
        </w:tc>
        <w:tc>
          <w:p>
            <w:pPr>
              <w:pStyle w:val="Compact"/>
              <w:jc w:val="right"/>
            </w:pPr>
            <w:r>
              <w:t xml:space="preserve">84.22</w:t>
            </w:r>
          </w:p>
        </w:tc>
        <w:tc>
          <w:p>
            <w:pPr>
              <w:pStyle w:val="Compact"/>
              <w:jc w:val="right"/>
            </w:pPr>
            <w:r>
              <w:t xml:space="preserve">94.55</w:t>
            </w:r>
          </w:p>
        </w:tc>
        <w:tc>
          <w:p>
            <w:pPr>
              <w:pStyle w:val="Compact"/>
              <w:jc w:val="right"/>
            </w:pPr>
            <w:r>
              <w:t xml:space="preserve">-0.08</w:t>
            </w:r>
          </w:p>
        </w:tc>
        <w:tc>
          <w:p>
            <w:pPr>
              <w:pStyle w:val="Compact"/>
              <w:jc w:val="right"/>
            </w:pPr>
            <w:r>
              <w:t xml:space="preserve">19.67</w:t>
            </w:r>
          </w:p>
        </w:tc>
        <w:tc>
          <w:p>
            <w:pPr>
              <w:pStyle w:val="Compact"/>
              <w:jc w:val="right"/>
            </w:pPr>
            <w:r>
              <w:t xml:space="preserve">72.83</w:t>
            </w:r>
          </w:p>
        </w:tc>
      </w:tr>
      <w:tr>
        <w:tc>
          <w:p>
            <w:pPr>
              <w:pStyle w:val="Compact"/>
              <w:jc w:val="left"/>
            </w:pPr>
            <w:r>
              <w:t xml:space="preserve">OHI</w:t>
            </w:r>
          </w:p>
        </w:tc>
        <w:tc>
          <w:p>
            <w:pStyle w:val="Compact"/>
          </w:p>
        </w:tc>
        <w:tc>
          <w:p>
            <w:pPr>
              <w:pStyle w:val="Compact"/>
              <w:jc w:val="right"/>
            </w:pPr>
            <w:r>
              <w:t xml:space="preserve">64.55</w:t>
            </w:r>
          </w:p>
        </w:tc>
        <w:tc>
          <w:p>
            <w:pPr>
              <w:pStyle w:val="Compact"/>
              <w:jc w:val="right"/>
            </w:pPr>
            <w:r>
              <w:t xml:space="preserve">NA</w:t>
            </w:r>
          </w:p>
        </w:tc>
        <w:tc>
          <w:p>
            <w:pPr>
              <w:pStyle w:val="Compact"/>
              <w:jc w:val="right"/>
            </w:pPr>
            <w:r>
              <w:t xml:space="preserve">67.65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a3d1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paper</dc:title>
  <dc:creator>Remi Daigle</dc:creator>
</cp:coreProperties>
</file>