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009AB" w14:textId="0C4D2403" w:rsidR="00BB7C58" w:rsidRPr="00EE7AE9" w:rsidRDefault="00324CB9" w:rsidP="00662E7E">
      <w:pPr>
        <w:pStyle w:val="Heading1"/>
        <w:rPr>
          <w:vertAlign w:val="subscript"/>
        </w:rPr>
      </w:pPr>
      <w:r>
        <w:t>OHI 201</w:t>
      </w:r>
      <w:r w:rsidR="006F1231">
        <w:t>9</w:t>
      </w:r>
      <w:r w:rsidR="00EF671B">
        <w:t>: Updates to data and methods</w:t>
      </w:r>
    </w:p>
    <w:p w14:paraId="42687F4E" w14:textId="77777777" w:rsidR="008B7D12" w:rsidRDefault="008B7D12" w:rsidP="00B726F0">
      <w:pPr>
        <w:pStyle w:val="Heading2"/>
      </w:pPr>
    </w:p>
    <w:p w14:paraId="3E3AB7D0" w14:textId="30798ED0" w:rsidR="00B726F0" w:rsidRPr="00256DD1" w:rsidRDefault="00B726F0" w:rsidP="00B726F0">
      <w:pPr>
        <w:pStyle w:val="Heading2"/>
      </w:pPr>
      <w:r>
        <w:t>Global Fellows</w:t>
      </w:r>
    </w:p>
    <w:p w14:paraId="3AFAAFE5" w14:textId="2C4FB560" w:rsidR="00B726F0" w:rsidRDefault="00B726F0" w:rsidP="00B726F0">
      <w:r>
        <w:t xml:space="preserve">Global Fellows </w:t>
      </w:r>
      <w:r w:rsidR="006F1231">
        <w:t>Molly Williams and Gage Clawson</w:t>
      </w:r>
      <w:r>
        <w:t xml:space="preserve"> </w:t>
      </w:r>
      <w:r w:rsidR="001E5D53">
        <w:t>conducted</w:t>
      </w:r>
      <w:r>
        <w:t xml:space="preserve"> the 201</w:t>
      </w:r>
      <w:r w:rsidR="006F1231">
        <w:t>9</w:t>
      </w:r>
      <w:r>
        <w:t xml:space="preserve"> global OHI assessment.  </w:t>
      </w:r>
      <w:r w:rsidR="006F1231">
        <w:t xml:space="preserve">They were able to improve several data layers and have continued to improve </w:t>
      </w:r>
      <w:r w:rsidR="00281D3B">
        <w:t>our</w:t>
      </w:r>
      <w:r w:rsidR="006F1231">
        <w:t xml:space="preserve"> documentation.  </w:t>
      </w:r>
      <w:r w:rsidR="00281D3B">
        <w:t>One major accomplishment is that w</w:t>
      </w:r>
      <w:r w:rsidR="006F1231">
        <w:t xml:space="preserve">e have begun writing a </w:t>
      </w:r>
      <w:r w:rsidR="00ED05B9">
        <w:t>guide</w:t>
      </w:r>
      <w:r w:rsidR="00AA3639">
        <w:t>, the OHI Global Guide,</w:t>
      </w:r>
      <w:r w:rsidR="006F1231">
        <w:t xml:space="preserve"> that describes the </w:t>
      </w:r>
      <w:r w:rsidR="00281D3B">
        <w:t xml:space="preserve">step by step </w:t>
      </w:r>
      <w:r w:rsidR="006F1231">
        <w:t xml:space="preserve">process of updating OHI global scores.  This will be helpful to future OHI endeavors, global and otherwise. </w:t>
      </w:r>
      <w:r>
        <w:t xml:space="preserve"> </w:t>
      </w:r>
      <w:r w:rsidR="006F1231">
        <w:t>Thanks to the work of the Fellows, the global OHI 2019 assessment has been a success</w:t>
      </w:r>
      <w:r>
        <w:t>.</w:t>
      </w:r>
      <w:r w:rsidR="006F1231">
        <w:t xml:space="preserve">  Go Fellows!!!</w:t>
      </w:r>
      <w:r>
        <w:t xml:space="preserve">  </w:t>
      </w:r>
    </w:p>
    <w:p w14:paraId="7EAC54A6" w14:textId="77777777" w:rsidR="008B7D12" w:rsidRDefault="008B7D12" w:rsidP="00B726F0"/>
    <w:p w14:paraId="34E9D829" w14:textId="77777777" w:rsidR="00256DD1" w:rsidRPr="00256DD1" w:rsidRDefault="000C4AC9" w:rsidP="00256DD1">
      <w:pPr>
        <w:pStyle w:val="Heading2"/>
      </w:pPr>
      <w:r>
        <w:t xml:space="preserve">Goals status and trend </w:t>
      </w:r>
      <w:r w:rsidR="003024DB">
        <w:t>updates</w:t>
      </w:r>
    </w:p>
    <w:p w14:paraId="51492F6F" w14:textId="5DC315F6" w:rsidR="006F1231" w:rsidRPr="00EE7AE9" w:rsidRDefault="00D43BB4" w:rsidP="001C1753">
      <w:r>
        <w:t xml:space="preserve">We updated </w:t>
      </w:r>
      <w:r w:rsidR="00B6355C">
        <w:t>9</w:t>
      </w:r>
      <w:r w:rsidR="001F4D18">
        <w:t xml:space="preserve"> of the </w:t>
      </w:r>
      <w:r>
        <w:t>10</w:t>
      </w:r>
      <w:r w:rsidR="001F4D18">
        <w:t xml:space="preserve"> goals with </w:t>
      </w:r>
      <w:r>
        <w:t xml:space="preserve">additional years of </w:t>
      </w:r>
      <w:r w:rsidR="001F4D18">
        <w:t>data.  The livelihoods and economies</w:t>
      </w:r>
      <w:r w:rsidR="00F96C23">
        <w:t xml:space="preserve"> </w:t>
      </w:r>
      <w:r w:rsidR="001F4D18">
        <w:t>goal</w:t>
      </w:r>
      <w:r w:rsidR="00B6355C">
        <w:t xml:space="preserve"> </w:t>
      </w:r>
      <w:proofErr w:type="gramStart"/>
      <w:r w:rsidR="00B6355C">
        <w:t>was</w:t>
      </w:r>
      <w:proofErr w:type="gramEnd"/>
      <w:r w:rsidR="001F4D18">
        <w:t xml:space="preserve"> not updated because </w:t>
      </w:r>
      <w:r w:rsidR="00362AE5">
        <w:t>original</w:t>
      </w:r>
      <w:r w:rsidR="001F4D18">
        <w:t xml:space="preserve"> data </w:t>
      </w:r>
      <w:r w:rsidR="001E5D53">
        <w:t xml:space="preserve">sources </w:t>
      </w:r>
      <w:r w:rsidR="001F4D18">
        <w:t xml:space="preserve">are </w:t>
      </w:r>
      <w:r w:rsidR="00B277B6">
        <w:t>no</w:t>
      </w:r>
      <w:r w:rsidR="00362AE5">
        <w:t xml:space="preserve"> longer</w:t>
      </w:r>
      <w:r w:rsidR="00B726F0">
        <w:t xml:space="preserve"> updated</w:t>
      </w:r>
      <w:r w:rsidR="001F4D18">
        <w:t xml:space="preserve"> and new data sources are unavailable</w:t>
      </w:r>
      <w:r w:rsidR="003024DB">
        <w:t>.</w:t>
      </w:r>
      <w:r w:rsidR="00863541">
        <w:t xml:space="preserve">  </w:t>
      </w:r>
      <w:r w:rsidR="00015E73">
        <w:t xml:space="preserve">We also ensure, for several data layers, that uninhabited regions are given an NA value when the data is related to humans (e.g., economic need). </w:t>
      </w:r>
    </w:p>
    <w:p w14:paraId="15147E9B" w14:textId="132FB958" w:rsidR="001E5D53" w:rsidRDefault="00D43BB4" w:rsidP="001E5D53">
      <w:pPr>
        <w:rPr>
          <w:i/>
        </w:rPr>
      </w:pPr>
      <w:r w:rsidRPr="00D72497">
        <w:rPr>
          <w:i/>
        </w:rPr>
        <w:t>New methods</w:t>
      </w:r>
      <w:r w:rsidR="00C52047">
        <w:rPr>
          <w:i/>
        </w:rPr>
        <w:t>/data</w:t>
      </w:r>
    </w:p>
    <w:p w14:paraId="1F39C68D" w14:textId="1969CA62" w:rsidR="00685331" w:rsidRDefault="00A453DB" w:rsidP="00685331">
      <w:r>
        <w:t xml:space="preserve">Mariculture: </w:t>
      </w:r>
      <w:r w:rsidR="006F1231">
        <w:t xml:space="preserve">We have updated reference points </w:t>
      </w:r>
      <w:r w:rsidR="00685331">
        <w:t>so they are based on the biological potential for marine aquaculture given</w:t>
      </w:r>
      <w:r w:rsidR="006F1231">
        <w:t xml:space="preserve"> the work of Gentry et al. 2017.</w:t>
      </w:r>
    </w:p>
    <w:p w14:paraId="0A85D4D1" w14:textId="6A81968F" w:rsidR="00685331" w:rsidRPr="006B7ACB" w:rsidRDefault="00685331" w:rsidP="00685331">
      <w:r>
        <w:t>Fisheries: For catch we include 90 more RAM data estimates of B/</w:t>
      </w:r>
      <w:proofErr w:type="spellStart"/>
      <w:r>
        <w:t>Bmsy</w:t>
      </w:r>
      <w:proofErr w:type="spellEnd"/>
      <w:r>
        <w:t xml:space="preserve"> by including management target estimates of B/</w:t>
      </w:r>
      <w:proofErr w:type="spellStart"/>
      <w:r>
        <w:t>Bmsy</w:t>
      </w:r>
      <w:proofErr w:type="spellEnd"/>
      <w:r>
        <w:t xml:space="preserve"> (we previously included only TB/</w:t>
      </w:r>
      <w:proofErr w:type="spellStart"/>
      <w:r>
        <w:t>TBmsy</w:t>
      </w:r>
      <w:proofErr w:type="spellEnd"/>
      <w:r>
        <w:t xml:space="preserve"> and SSB/</w:t>
      </w:r>
      <w:proofErr w:type="spellStart"/>
      <w:r>
        <w:t>SSBmsy</w:t>
      </w:r>
      <w:proofErr w:type="spellEnd"/>
      <w:r>
        <w:t xml:space="preserve">). We now also exclude bycatch from our estimates of total catch. </w:t>
      </w:r>
    </w:p>
    <w:p w14:paraId="0879CB69" w14:textId="314BA845" w:rsidR="00476AAA" w:rsidRDefault="00476AAA" w:rsidP="00685331">
      <w:r>
        <w:t>Natural Products: Exclude products if there are &lt;5 years of harvest data within the past 10 years (previously, we used all years of data).  This should make this model more stable and not penalize countries for not producing products with no recent history of production.</w:t>
      </w:r>
    </w:p>
    <w:p w14:paraId="637C674A" w14:textId="77777777" w:rsidR="00685331" w:rsidRDefault="00685331" w:rsidP="00773716">
      <w:pPr>
        <w:pStyle w:val="Heading2"/>
      </w:pPr>
    </w:p>
    <w:p w14:paraId="4A60FE1B" w14:textId="0682D044" w:rsidR="00256DD1" w:rsidRDefault="000C4AC9" w:rsidP="00773716">
      <w:pPr>
        <w:pStyle w:val="Heading2"/>
      </w:pPr>
      <w:r>
        <w:t>Pressures</w:t>
      </w:r>
    </w:p>
    <w:p w14:paraId="06012E80" w14:textId="6359BE30" w:rsidR="00256DD1" w:rsidRDefault="00D43BB4" w:rsidP="00B61B2E">
      <w:r>
        <w:t>We updated 1</w:t>
      </w:r>
      <w:r w:rsidR="00080581">
        <w:t>3</w:t>
      </w:r>
      <w:r w:rsidR="0060173E">
        <w:t xml:space="preserve"> </w:t>
      </w:r>
      <w:r>
        <w:t>of the 20 pressures with additional years of data.</w:t>
      </w:r>
      <w:r w:rsidR="00256DD1">
        <w:t xml:space="preserve"> </w:t>
      </w:r>
      <w:r w:rsidR="00F87FB1">
        <w:t>Trash</w:t>
      </w:r>
      <w:r w:rsidR="006C43A6">
        <w:t>, subtidal hard-bottom</w:t>
      </w:r>
      <w:r w:rsidR="00F87FB1">
        <w:t xml:space="preserve"> </w:t>
      </w:r>
      <w:r w:rsidR="006C43A6">
        <w:t xml:space="preserve">habitat destruction, </w:t>
      </w:r>
      <w:r w:rsidR="00F87FB1">
        <w:t xml:space="preserve">and invasive species data </w:t>
      </w:r>
      <w:r w:rsidR="00362AE5">
        <w:t xml:space="preserve">sources </w:t>
      </w:r>
      <w:r w:rsidR="00F87FB1">
        <w:t xml:space="preserve">are not being </w:t>
      </w:r>
      <w:r w:rsidR="006C43A6">
        <w:t xml:space="preserve">updated and we have not found </w:t>
      </w:r>
      <w:r w:rsidR="00F87FB1">
        <w:t>good replacement</w:t>
      </w:r>
      <w:r w:rsidR="006C43A6">
        <w:t>s</w:t>
      </w:r>
      <w:r w:rsidR="00F87FB1">
        <w:t xml:space="preserve">.  Nutrient and chemical pollution data were updated by FAO but we did not have the resources to process these data.  </w:t>
      </w:r>
    </w:p>
    <w:p w14:paraId="761BB047" w14:textId="76000D81" w:rsidR="00C52047" w:rsidRDefault="00C52047" w:rsidP="00C52047">
      <w:pPr>
        <w:rPr>
          <w:i/>
        </w:rPr>
      </w:pPr>
      <w:r w:rsidRPr="00D72497">
        <w:rPr>
          <w:i/>
        </w:rPr>
        <w:t>New methods</w:t>
      </w:r>
      <w:r>
        <w:rPr>
          <w:i/>
        </w:rPr>
        <w:t>/data</w:t>
      </w:r>
    </w:p>
    <w:p w14:paraId="664F0E43" w14:textId="0929BB4B" w:rsidR="00D43BB4" w:rsidRDefault="00362AE5">
      <w:r>
        <w:t>We f</w:t>
      </w:r>
      <w:r w:rsidR="00C52047">
        <w:t>ixed an error in our coastal raster which was causing much of Russia’s coastline to be eliminated (influenced the intertidal habitat destruction pressure layer).</w:t>
      </w:r>
    </w:p>
    <w:p w14:paraId="2A0AA9AA" w14:textId="77777777" w:rsidR="00C52047" w:rsidRDefault="00C52047"/>
    <w:p w14:paraId="1D72ADA0" w14:textId="77777777" w:rsidR="00893172" w:rsidRDefault="001C1753" w:rsidP="00FF2B46">
      <w:pPr>
        <w:pStyle w:val="Heading2"/>
      </w:pPr>
      <w:r>
        <w:lastRenderedPageBreak/>
        <w:t>Resilience</w:t>
      </w:r>
    </w:p>
    <w:p w14:paraId="2326B71D" w14:textId="35B6AB85" w:rsidR="00B277B6" w:rsidRDefault="00B277B6" w:rsidP="00B277B6">
      <w:r>
        <w:t xml:space="preserve">We updated </w:t>
      </w:r>
      <w:r w:rsidR="0046710C">
        <w:t>6</w:t>
      </w:r>
      <w:r>
        <w:t xml:space="preserve"> of the 1</w:t>
      </w:r>
      <w:r w:rsidR="005D06E4">
        <w:t>4</w:t>
      </w:r>
      <w:r>
        <w:t xml:space="preserve"> resilience measures with additional years of data.  </w:t>
      </w:r>
      <w:r w:rsidR="005A0A22">
        <w:t xml:space="preserve">There were no updates to the CITES signatories.  </w:t>
      </w:r>
      <w:r>
        <w:t>The other resilience measures were not upda</w:t>
      </w:r>
      <w:r w:rsidR="00863541">
        <w:t>ted because these data are dis</w:t>
      </w:r>
      <w:r>
        <w:t>continued and new data sources are unavailable.  This includes the responses to the CBD survey which quantifies region’s measures to protect diversity against pressures such as habitat destruction, mariculture, tourism, and water pollut</w:t>
      </w:r>
      <w:r w:rsidR="007929C6">
        <w:t>ion, global measures</w:t>
      </w:r>
      <w:r>
        <w:t xml:space="preserve"> of how well regions regulate artisanal fishing practices (</w:t>
      </w:r>
      <w:r w:rsidR="007929C6">
        <w:t>Mora</w:t>
      </w:r>
      <w:r>
        <w:t>), and mariculture (</w:t>
      </w:r>
      <w:r w:rsidR="007929C6">
        <w:t>Trujillo</w:t>
      </w:r>
      <w:r>
        <w:t>).</w:t>
      </w:r>
    </w:p>
    <w:p w14:paraId="6B53F704" w14:textId="106089BF" w:rsidR="00015E73" w:rsidRDefault="00015E73" w:rsidP="00015E73">
      <w:pPr>
        <w:rPr>
          <w:i/>
        </w:rPr>
      </w:pPr>
      <w:r w:rsidRPr="00D72497">
        <w:rPr>
          <w:i/>
        </w:rPr>
        <w:t>New methods</w:t>
      </w:r>
      <w:r w:rsidR="00C52047">
        <w:rPr>
          <w:i/>
        </w:rPr>
        <w:t>/data</w:t>
      </w:r>
    </w:p>
    <w:p w14:paraId="721126A9" w14:textId="2C10A204" w:rsidR="00FE6971" w:rsidRDefault="00015E73" w:rsidP="00015E73">
      <w:r>
        <w:t xml:space="preserve">Fisheries Management Index: We have replaced the Mora data for fisheries management with data from </w:t>
      </w:r>
      <w:proofErr w:type="spellStart"/>
      <w:r>
        <w:t>Melnychuck</w:t>
      </w:r>
      <w:proofErr w:type="spellEnd"/>
      <w:r>
        <w:t xml:space="preserve"> et al</w:t>
      </w:r>
      <w:r w:rsidR="00BC1CC9">
        <w:t>.</w:t>
      </w:r>
      <w:r>
        <w:t xml:space="preserve"> 2017. </w:t>
      </w:r>
    </w:p>
    <w:p w14:paraId="0A9B7CC1" w14:textId="77777777" w:rsidR="00273D6A" w:rsidRDefault="00273D6A" w:rsidP="00F96C23">
      <w:pPr>
        <w:pStyle w:val="Heading2"/>
      </w:pPr>
    </w:p>
    <w:p w14:paraId="64FCBC99" w14:textId="77777777" w:rsidR="008D2EA1" w:rsidRDefault="008D2EA1" w:rsidP="00773716"/>
    <w:p w14:paraId="1ECE6008" w14:textId="205B2DE7" w:rsidR="00204A61" w:rsidRDefault="00204A61" w:rsidP="00773716">
      <w:pPr>
        <w:sectPr w:rsidR="00204A61">
          <w:pgSz w:w="12240" w:h="15840"/>
          <w:pgMar w:top="1440" w:right="1440" w:bottom="1440" w:left="1440" w:header="720" w:footer="720" w:gutter="0"/>
          <w:cols w:space="720"/>
          <w:docGrid w:linePitch="360"/>
        </w:sectPr>
      </w:pPr>
    </w:p>
    <w:p w14:paraId="77E513BD" w14:textId="0AD4FD62" w:rsidR="00773716" w:rsidRDefault="00773716" w:rsidP="00773716">
      <w:r w:rsidRPr="002149B1">
        <w:rPr>
          <w:b/>
        </w:rPr>
        <w:lastRenderedPageBreak/>
        <w:t>Table 1</w:t>
      </w:r>
      <w:r w:rsidR="002149B1" w:rsidRPr="002149B1">
        <w:rPr>
          <w:b/>
        </w:rPr>
        <w:t xml:space="preserve"> Goal/subgoal status and trend</w:t>
      </w:r>
      <w:r w:rsidRPr="002149B1">
        <w:rPr>
          <w:b/>
        </w:rPr>
        <w:t>:</w:t>
      </w:r>
      <w:r>
        <w:t xml:space="preserve"> Description of updates to data and models</w:t>
      </w:r>
      <w:r w:rsidR="00F70DD0">
        <w:t>.</w:t>
      </w:r>
    </w:p>
    <w:tbl>
      <w:tblPr>
        <w:tblStyle w:val="TableGrid"/>
        <w:tblW w:w="12685" w:type="dxa"/>
        <w:tblLayout w:type="fixed"/>
        <w:tblLook w:val="04A0" w:firstRow="1" w:lastRow="0" w:firstColumn="1" w:lastColumn="0" w:noHBand="0" w:noVBand="1"/>
      </w:tblPr>
      <w:tblGrid>
        <w:gridCol w:w="1705"/>
        <w:gridCol w:w="3240"/>
        <w:gridCol w:w="3960"/>
        <w:gridCol w:w="3780"/>
      </w:tblGrid>
      <w:tr w:rsidR="00773716" w14:paraId="61B5A32D" w14:textId="77777777" w:rsidTr="00F345DF">
        <w:tc>
          <w:tcPr>
            <w:tcW w:w="1705" w:type="dxa"/>
          </w:tcPr>
          <w:p w14:paraId="72488D21" w14:textId="77777777" w:rsidR="00773716" w:rsidRDefault="00773716" w:rsidP="001F4D18">
            <w:pPr>
              <w:rPr>
                <w:b/>
              </w:rPr>
            </w:pPr>
            <w:r w:rsidRPr="004D0249">
              <w:rPr>
                <w:b/>
              </w:rPr>
              <w:t>Goal/subgoal</w:t>
            </w:r>
          </w:p>
          <w:p w14:paraId="2A3341F5" w14:textId="14E5F2F8" w:rsidR="007D56F3" w:rsidRPr="004D0249" w:rsidRDefault="007D56F3" w:rsidP="001F4D18">
            <w:pPr>
              <w:rPr>
                <w:b/>
              </w:rPr>
            </w:pPr>
            <w:r>
              <w:rPr>
                <w:b/>
              </w:rPr>
              <w:t>(Issues)</w:t>
            </w:r>
          </w:p>
        </w:tc>
        <w:tc>
          <w:tcPr>
            <w:tcW w:w="3240" w:type="dxa"/>
          </w:tcPr>
          <w:p w14:paraId="0B761711" w14:textId="77777777" w:rsidR="00773716" w:rsidRPr="004D0249" w:rsidRDefault="00773716" w:rsidP="001F4D18">
            <w:pPr>
              <w:rPr>
                <w:b/>
              </w:rPr>
            </w:pPr>
            <w:r w:rsidRPr="004D0249">
              <w:rPr>
                <w:b/>
              </w:rPr>
              <w:t>Updates to data</w:t>
            </w:r>
          </w:p>
        </w:tc>
        <w:tc>
          <w:tcPr>
            <w:tcW w:w="3960" w:type="dxa"/>
          </w:tcPr>
          <w:p w14:paraId="4C5FB075" w14:textId="77777777" w:rsidR="00773716" w:rsidRPr="004D0249" w:rsidRDefault="00773716" w:rsidP="001F4D18">
            <w:pPr>
              <w:rPr>
                <w:b/>
              </w:rPr>
            </w:pPr>
            <w:r w:rsidRPr="004D0249">
              <w:rPr>
                <w:b/>
              </w:rPr>
              <w:t>Updates to data preparation or model</w:t>
            </w:r>
          </w:p>
        </w:tc>
        <w:tc>
          <w:tcPr>
            <w:tcW w:w="3780" w:type="dxa"/>
          </w:tcPr>
          <w:p w14:paraId="0E0144B6" w14:textId="77777777" w:rsidR="00773716" w:rsidRPr="004D0249" w:rsidRDefault="00773716" w:rsidP="001F4D18">
            <w:pPr>
              <w:rPr>
                <w:b/>
              </w:rPr>
            </w:pPr>
            <w:r w:rsidRPr="004D0249">
              <w:rPr>
                <w:b/>
              </w:rPr>
              <w:t>Notes</w:t>
            </w:r>
          </w:p>
        </w:tc>
      </w:tr>
      <w:tr w:rsidR="00773716" w14:paraId="4A1651D0" w14:textId="77777777" w:rsidTr="00F345DF">
        <w:tc>
          <w:tcPr>
            <w:tcW w:w="1705" w:type="dxa"/>
          </w:tcPr>
          <w:p w14:paraId="4ACF926A" w14:textId="514B0547" w:rsidR="00773716" w:rsidRPr="002004D5" w:rsidRDefault="00773716" w:rsidP="001F4D18">
            <w:r w:rsidRPr="002004D5">
              <w:t>Artisanal opportunities</w:t>
            </w:r>
          </w:p>
        </w:tc>
        <w:tc>
          <w:tcPr>
            <w:tcW w:w="3240" w:type="dxa"/>
          </w:tcPr>
          <w:p w14:paraId="1830D363" w14:textId="46164C89" w:rsidR="00773716" w:rsidRPr="002004D5" w:rsidRDefault="00773716" w:rsidP="001F4D18">
            <w:r w:rsidRPr="002004D5">
              <w:rPr>
                <w:i/>
              </w:rPr>
              <w:t>Need</w:t>
            </w:r>
            <w:r w:rsidRPr="002004D5">
              <w:t>: Additional year of data</w:t>
            </w:r>
          </w:p>
          <w:p w14:paraId="242A3F81" w14:textId="77777777" w:rsidR="00773716" w:rsidRPr="002004D5" w:rsidRDefault="00773716" w:rsidP="001F4D18"/>
          <w:p w14:paraId="03D2F6BB" w14:textId="77777777" w:rsidR="00773716" w:rsidRPr="002004D5" w:rsidRDefault="00773716" w:rsidP="001F4D18">
            <w:r w:rsidRPr="002004D5">
              <w:rPr>
                <w:i/>
              </w:rPr>
              <w:t>Opportunity</w:t>
            </w:r>
            <w:r w:rsidRPr="002004D5">
              <w:t>: None</w:t>
            </w:r>
          </w:p>
        </w:tc>
        <w:tc>
          <w:tcPr>
            <w:tcW w:w="3960" w:type="dxa"/>
          </w:tcPr>
          <w:p w14:paraId="4F50269F" w14:textId="462B7D8B" w:rsidR="00773716" w:rsidRPr="002004D5" w:rsidRDefault="008D2EA1" w:rsidP="001F4D18">
            <w:r w:rsidRPr="002004D5">
              <w:t>Uninhabited</w:t>
            </w:r>
            <w:r w:rsidR="003D3408" w:rsidRPr="002004D5">
              <w:t>/low population (&lt;3000)</w:t>
            </w:r>
            <w:r w:rsidRPr="002004D5">
              <w:t xml:space="preserve"> regions given an NA for need.</w:t>
            </w:r>
          </w:p>
        </w:tc>
        <w:tc>
          <w:tcPr>
            <w:tcW w:w="3780" w:type="dxa"/>
          </w:tcPr>
          <w:p w14:paraId="332C6B1F" w14:textId="4179C2FA" w:rsidR="00773716" w:rsidRPr="002004D5" w:rsidRDefault="008D2EA1" w:rsidP="00863541">
            <w:r w:rsidRPr="002004D5">
              <w:t>10 additional regions now receive NA score.</w:t>
            </w:r>
            <w:r w:rsidR="00316039" w:rsidRPr="002004D5">
              <w:t xml:space="preserve">  </w:t>
            </w:r>
            <w:r w:rsidR="00476AAA" w:rsidRPr="002004D5">
              <w:t>Scores tended to decrease overall (&lt;5 points) due to changes in source data.</w:t>
            </w:r>
            <w:r w:rsidR="00430968" w:rsidRPr="002004D5">
              <w:t xml:space="preserve"> </w:t>
            </w:r>
          </w:p>
        </w:tc>
      </w:tr>
      <w:tr w:rsidR="00773716" w14:paraId="369AAF37" w14:textId="77777777" w:rsidTr="00F345DF">
        <w:tc>
          <w:tcPr>
            <w:tcW w:w="1705" w:type="dxa"/>
          </w:tcPr>
          <w:p w14:paraId="554D7253" w14:textId="77777777" w:rsidR="00773716" w:rsidRPr="002004D5" w:rsidRDefault="00773716" w:rsidP="001F4D18">
            <w:r w:rsidRPr="002004D5">
              <w:t>Species condition</w:t>
            </w:r>
          </w:p>
          <w:p w14:paraId="6CAC00DA" w14:textId="346B866E" w:rsidR="00773716" w:rsidRPr="002004D5" w:rsidRDefault="00773716" w:rsidP="001F4D18">
            <w:r w:rsidRPr="002004D5">
              <w:t xml:space="preserve">(subgoal </w:t>
            </w:r>
            <w:proofErr w:type="gramStart"/>
            <w:r w:rsidRPr="002004D5">
              <w:t>of  biodiversity</w:t>
            </w:r>
            <w:proofErr w:type="gramEnd"/>
            <w:r w:rsidRPr="002004D5">
              <w:t xml:space="preserve"> goal)</w:t>
            </w:r>
          </w:p>
        </w:tc>
        <w:tc>
          <w:tcPr>
            <w:tcW w:w="3240" w:type="dxa"/>
          </w:tcPr>
          <w:p w14:paraId="1DA99F69" w14:textId="1524382A" w:rsidR="00773716" w:rsidRPr="002004D5" w:rsidRDefault="00B94340" w:rsidP="00E56A67">
            <w:r w:rsidRPr="002004D5">
              <w:t>Additional year of IUCN</w:t>
            </w:r>
            <w:r w:rsidR="001D3B49" w:rsidRPr="002004D5">
              <w:t xml:space="preserve"> </w:t>
            </w:r>
            <w:r w:rsidRPr="002004D5">
              <w:t xml:space="preserve">and </w:t>
            </w:r>
            <w:proofErr w:type="spellStart"/>
            <w:r w:rsidR="001D3B49" w:rsidRPr="002004D5">
              <w:t>BirdLife</w:t>
            </w:r>
            <w:proofErr w:type="spellEnd"/>
            <w:r w:rsidR="00773716" w:rsidRPr="002004D5">
              <w:t xml:space="preserve"> data</w:t>
            </w:r>
          </w:p>
        </w:tc>
        <w:tc>
          <w:tcPr>
            <w:tcW w:w="3960" w:type="dxa"/>
          </w:tcPr>
          <w:p w14:paraId="195990C7" w14:textId="2D84EF56" w:rsidR="00773716" w:rsidRPr="002004D5" w:rsidRDefault="008D2EA1" w:rsidP="00B94340">
            <w:r w:rsidRPr="002004D5">
              <w:t>None</w:t>
            </w:r>
          </w:p>
        </w:tc>
        <w:tc>
          <w:tcPr>
            <w:tcW w:w="3780" w:type="dxa"/>
          </w:tcPr>
          <w:p w14:paraId="3FD3ACD8" w14:textId="4275ACDC" w:rsidR="00773716" w:rsidRPr="002004D5" w:rsidRDefault="00B95FE0" w:rsidP="00B47488">
            <w:r w:rsidRPr="002004D5">
              <w:t>Status scores generally increased for most regions (&lt;2.5).</w:t>
            </w:r>
            <w:r w:rsidR="003D3408" w:rsidRPr="002004D5">
              <w:t xml:space="preserve"> </w:t>
            </w:r>
            <w:r w:rsidR="003D3408" w:rsidRPr="002004D5">
              <w:rPr>
                <w:rFonts w:ascii="Segoe UI" w:hAnsi="Segoe UI" w:cs="Segoe UI"/>
                <w:color w:val="24292E"/>
                <w:sz w:val="21"/>
                <w:szCs w:val="21"/>
                <w:shd w:val="clear" w:color="auto" w:fill="FFFFFF"/>
              </w:rPr>
              <w:t>However, Ukraine and Romania had increases of ~7.5.</w:t>
            </w:r>
          </w:p>
        </w:tc>
      </w:tr>
      <w:tr w:rsidR="00773716" w14:paraId="73F8453B" w14:textId="77777777" w:rsidTr="00F345DF">
        <w:tc>
          <w:tcPr>
            <w:tcW w:w="1705" w:type="dxa"/>
          </w:tcPr>
          <w:p w14:paraId="6740952A" w14:textId="77777777" w:rsidR="00773716" w:rsidRPr="002004D5" w:rsidRDefault="00773716" w:rsidP="001F4D18">
            <w:r w:rsidRPr="002004D5">
              <w:t>Habitat</w:t>
            </w:r>
          </w:p>
          <w:p w14:paraId="33A75156" w14:textId="77777777" w:rsidR="00773716" w:rsidRPr="002004D5" w:rsidRDefault="00773716" w:rsidP="001F4D18">
            <w:r w:rsidRPr="002004D5">
              <w:t>(subgoal of biodiversity goal)</w:t>
            </w:r>
          </w:p>
        </w:tc>
        <w:tc>
          <w:tcPr>
            <w:tcW w:w="3240" w:type="dxa"/>
          </w:tcPr>
          <w:p w14:paraId="34E82B5B" w14:textId="77777777" w:rsidR="00773716" w:rsidRPr="002004D5" w:rsidRDefault="00773716" w:rsidP="001F4D18">
            <w:r w:rsidRPr="002004D5">
              <w:rPr>
                <w:i/>
              </w:rPr>
              <w:t>Sea ice edge</w:t>
            </w:r>
            <w:r w:rsidRPr="002004D5">
              <w:t>: additional year of data (trend and condition updated)</w:t>
            </w:r>
          </w:p>
          <w:p w14:paraId="49D4171A" w14:textId="77777777" w:rsidR="00773716" w:rsidRPr="002004D5" w:rsidRDefault="00773716" w:rsidP="001F4D18"/>
          <w:p w14:paraId="68872080" w14:textId="77777777" w:rsidR="00773716" w:rsidRPr="002004D5" w:rsidRDefault="00773716" w:rsidP="001F4D18">
            <w:r w:rsidRPr="002004D5">
              <w:rPr>
                <w:i/>
              </w:rPr>
              <w:t>Mangrove</w:t>
            </w:r>
            <w:r w:rsidRPr="002004D5">
              <w:t>: no updates</w:t>
            </w:r>
          </w:p>
          <w:p w14:paraId="22F6C976" w14:textId="77777777" w:rsidR="00773716" w:rsidRPr="002004D5" w:rsidRDefault="00773716" w:rsidP="001F4D18"/>
          <w:p w14:paraId="709B6A1D" w14:textId="55598409" w:rsidR="00773716" w:rsidRPr="002004D5" w:rsidRDefault="00773716" w:rsidP="001F4D18">
            <w:r w:rsidRPr="002004D5">
              <w:rPr>
                <w:i/>
              </w:rPr>
              <w:t>Saltmarsh</w:t>
            </w:r>
            <w:r w:rsidRPr="002004D5">
              <w:t xml:space="preserve">: </w:t>
            </w:r>
            <w:r w:rsidR="00BC1CC9">
              <w:t>no updates</w:t>
            </w:r>
          </w:p>
          <w:p w14:paraId="1542C7DC" w14:textId="77777777" w:rsidR="00773716" w:rsidRPr="002004D5" w:rsidRDefault="00773716" w:rsidP="001F4D18"/>
          <w:p w14:paraId="3DF9F6FF" w14:textId="0876B5EB" w:rsidR="00773716" w:rsidRPr="002004D5" w:rsidRDefault="00773716" w:rsidP="001F4D18">
            <w:r w:rsidRPr="002004D5">
              <w:rPr>
                <w:i/>
              </w:rPr>
              <w:t>Seagrass</w:t>
            </w:r>
            <w:r w:rsidRPr="002004D5">
              <w:t xml:space="preserve">: </w:t>
            </w:r>
            <w:r w:rsidR="00BC1CC9">
              <w:t>no updates</w:t>
            </w:r>
          </w:p>
          <w:p w14:paraId="398577B1" w14:textId="77777777" w:rsidR="00773716" w:rsidRPr="002004D5" w:rsidRDefault="00773716" w:rsidP="001F4D18"/>
          <w:p w14:paraId="504DA016" w14:textId="7C45CDE3" w:rsidR="00773716" w:rsidRPr="002004D5" w:rsidRDefault="00773716" w:rsidP="001F4D18">
            <w:r w:rsidRPr="002004D5">
              <w:rPr>
                <w:i/>
              </w:rPr>
              <w:t>Coral</w:t>
            </w:r>
            <w:r w:rsidRPr="002004D5">
              <w:t xml:space="preserve">: </w:t>
            </w:r>
            <w:r w:rsidR="00BC1CC9">
              <w:t>no updates</w:t>
            </w:r>
          </w:p>
          <w:p w14:paraId="4D033D37" w14:textId="77777777" w:rsidR="00773716" w:rsidRPr="002004D5" w:rsidRDefault="00773716" w:rsidP="001F4D18"/>
          <w:p w14:paraId="10503CED" w14:textId="2D558BC3" w:rsidR="00773716" w:rsidRPr="002004D5" w:rsidRDefault="00773716" w:rsidP="004B046B">
            <w:r w:rsidRPr="002004D5">
              <w:rPr>
                <w:i/>
              </w:rPr>
              <w:t>Softbottom</w:t>
            </w:r>
            <w:r w:rsidR="001727E6" w:rsidRPr="002004D5">
              <w:t xml:space="preserve">: </w:t>
            </w:r>
            <w:r w:rsidR="00BC1CC9">
              <w:t>no updates</w:t>
            </w:r>
          </w:p>
        </w:tc>
        <w:tc>
          <w:tcPr>
            <w:tcW w:w="3960" w:type="dxa"/>
          </w:tcPr>
          <w:p w14:paraId="713E10AF" w14:textId="68E1940C" w:rsidR="00773716" w:rsidRDefault="008D2EA1" w:rsidP="009E653E">
            <w:r>
              <w:t>None</w:t>
            </w:r>
          </w:p>
        </w:tc>
        <w:tc>
          <w:tcPr>
            <w:tcW w:w="3780" w:type="dxa"/>
          </w:tcPr>
          <w:p w14:paraId="7512F970" w14:textId="28A8F9F6" w:rsidR="007E05A2" w:rsidRDefault="00BC1CC9" w:rsidP="00E56A67">
            <w:r>
              <w:t>New data are available for saltmarsh, seagrass, and coral extent.  We have prepared these data, but did not include them in this year’s assessment because we must first develop the methods to obtain corresponding trend and condition information.</w:t>
            </w:r>
          </w:p>
        </w:tc>
      </w:tr>
      <w:tr w:rsidR="00773716" w14:paraId="49EAFAED" w14:textId="77777777" w:rsidTr="00F345DF">
        <w:tc>
          <w:tcPr>
            <w:tcW w:w="1705" w:type="dxa"/>
          </w:tcPr>
          <w:p w14:paraId="778488E0" w14:textId="77777777" w:rsidR="00773716" w:rsidRDefault="00773716" w:rsidP="001F4D18">
            <w:r>
              <w:t>Fisheries</w:t>
            </w:r>
          </w:p>
          <w:p w14:paraId="0A8F0596" w14:textId="00882F60" w:rsidR="00773716" w:rsidRDefault="0081555C" w:rsidP="001F4D18">
            <w:r>
              <w:t>(subgoal of food provision goal)</w:t>
            </w:r>
          </w:p>
        </w:tc>
        <w:tc>
          <w:tcPr>
            <w:tcW w:w="3240" w:type="dxa"/>
          </w:tcPr>
          <w:p w14:paraId="2BD60C62" w14:textId="4001F777" w:rsidR="00773716" w:rsidRDefault="00773716" w:rsidP="001F4D18">
            <w:r w:rsidRPr="00662E7E">
              <w:rPr>
                <w:i/>
              </w:rPr>
              <w:t>Catch</w:t>
            </w:r>
            <w:r>
              <w:t xml:space="preserve">: </w:t>
            </w:r>
            <w:r w:rsidR="008D2EA1">
              <w:t>Watson data updated, but no additional year of data</w:t>
            </w:r>
          </w:p>
          <w:p w14:paraId="4DA5CA9E" w14:textId="77777777" w:rsidR="00773716" w:rsidRDefault="00773716" w:rsidP="001F4D18"/>
          <w:p w14:paraId="6C5AE005" w14:textId="6D459AE0" w:rsidR="00773716" w:rsidRDefault="00773716" w:rsidP="00E56A67">
            <w:r w:rsidRPr="00662E7E">
              <w:rPr>
                <w:i/>
              </w:rPr>
              <w:t>B/</w:t>
            </w:r>
            <w:proofErr w:type="spellStart"/>
            <w:r w:rsidRPr="00662E7E">
              <w:rPr>
                <w:i/>
              </w:rPr>
              <w:t>Bmsy</w:t>
            </w:r>
            <w:proofErr w:type="spellEnd"/>
            <w:r>
              <w:t xml:space="preserve">: </w:t>
            </w:r>
            <w:r w:rsidR="00FA6D7F">
              <w:t>Additional year of RAM data</w:t>
            </w:r>
            <w:r w:rsidR="008D2EA1">
              <w:t xml:space="preserve"> with an additional 90 species included</w:t>
            </w:r>
            <w:r w:rsidR="00E56A67">
              <w:t>;</w:t>
            </w:r>
            <w:r w:rsidR="001D3B49">
              <w:t xml:space="preserve"> updated catch data for CMSY estimates of B/</w:t>
            </w:r>
            <w:proofErr w:type="spellStart"/>
            <w:r w:rsidR="001D3B49">
              <w:t>Bmsy</w:t>
            </w:r>
            <w:proofErr w:type="spellEnd"/>
            <w:r w:rsidR="001D3B49">
              <w:t xml:space="preserve"> </w:t>
            </w:r>
            <w:r>
              <w:t xml:space="preserve"> </w:t>
            </w:r>
          </w:p>
        </w:tc>
        <w:tc>
          <w:tcPr>
            <w:tcW w:w="3960" w:type="dxa"/>
          </w:tcPr>
          <w:p w14:paraId="7DCAC8CB" w14:textId="292D3980" w:rsidR="007A7872" w:rsidRDefault="008D2EA1" w:rsidP="007E05A2">
            <w:r>
              <w:t>Now exclude bycatch from catch totals used to estimate catch values used to weight species condition scores and calculate B/</w:t>
            </w:r>
            <w:proofErr w:type="spellStart"/>
            <w:r>
              <w:t>Bmsy</w:t>
            </w:r>
            <w:proofErr w:type="spellEnd"/>
            <w:r>
              <w:t xml:space="preserve"> with CMSY method.</w:t>
            </w:r>
          </w:p>
        </w:tc>
        <w:tc>
          <w:tcPr>
            <w:tcW w:w="3780" w:type="dxa"/>
          </w:tcPr>
          <w:p w14:paraId="4C9652F0" w14:textId="0958CEE7" w:rsidR="007E05A2" w:rsidRDefault="00E56A67" w:rsidP="00E56A67">
            <w:r>
              <w:t>The new catch data and B/</w:t>
            </w:r>
            <w:proofErr w:type="spellStart"/>
            <w:r>
              <w:t>Bmsy</w:t>
            </w:r>
            <w:proofErr w:type="spellEnd"/>
            <w:r>
              <w:t xml:space="preserve"> scores caused the scores </w:t>
            </w:r>
            <w:r w:rsidR="0081555C">
              <w:t>to change fairly dramatically</w:t>
            </w:r>
            <w:r>
              <w:t>.</w:t>
            </w:r>
          </w:p>
          <w:p w14:paraId="4DE0F384" w14:textId="18B2C1FE" w:rsidR="007E05A2" w:rsidRDefault="007E05A2" w:rsidP="001D3B49"/>
        </w:tc>
      </w:tr>
      <w:tr w:rsidR="00773716" w14:paraId="0D079A97" w14:textId="77777777" w:rsidTr="002004D5">
        <w:tc>
          <w:tcPr>
            <w:tcW w:w="1705" w:type="dxa"/>
          </w:tcPr>
          <w:p w14:paraId="32284CCD" w14:textId="35E15C51" w:rsidR="00773716" w:rsidRPr="002004D5" w:rsidRDefault="00773716" w:rsidP="001F4D18">
            <w:r w:rsidRPr="002004D5">
              <w:lastRenderedPageBreak/>
              <w:t>Mariculture (subgoal of food provision goal)</w:t>
            </w:r>
          </w:p>
        </w:tc>
        <w:tc>
          <w:tcPr>
            <w:tcW w:w="3240" w:type="dxa"/>
          </w:tcPr>
          <w:p w14:paraId="4F1730A2" w14:textId="39C9443D" w:rsidR="00773716" w:rsidRPr="002004D5" w:rsidRDefault="00773716" w:rsidP="001F4D18">
            <w:r w:rsidRPr="002004D5">
              <w:rPr>
                <w:i/>
              </w:rPr>
              <w:t>Production</w:t>
            </w:r>
            <w:r w:rsidRPr="002004D5">
              <w:t xml:space="preserve">: additional year of FAO </w:t>
            </w:r>
            <w:r w:rsidR="00E56A67" w:rsidRPr="002004D5">
              <w:t xml:space="preserve">harvest </w:t>
            </w:r>
            <w:r w:rsidRPr="002004D5">
              <w:t>data</w:t>
            </w:r>
          </w:p>
          <w:p w14:paraId="47B1A0BA" w14:textId="77777777" w:rsidR="00773716" w:rsidRPr="002004D5" w:rsidRDefault="00773716" w:rsidP="001F4D18"/>
          <w:p w14:paraId="046FCC4D" w14:textId="77777777" w:rsidR="00773716" w:rsidRPr="002004D5" w:rsidRDefault="00773716" w:rsidP="001F4D18">
            <w:r w:rsidRPr="002004D5">
              <w:rPr>
                <w:i/>
              </w:rPr>
              <w:t>Sustainability</w:t>
            </w:r>
            <w:r w:rsidRPr="002004D5">
              <w:t>: no updates</w:t>
            </w:r>
          </w:p>
          <w:p w14:paraId="4FFD5973" w14:textId="77777777" w:rsidR="00773716" w:rsidRPr="002004D5" w:rsidRDefault="00773716" w:rsidP="001F4D18"/>
          <w:p w14:paraId="455D6273" w14:textId="4571BD2A" w:rsidR="00773716" w:rsidRPr="002004D5" w:rsidRDefault="00F85B60" w:rsidP="00E56A67">
            <w:r w:rsidRPr="002004D5">
              <w:rPr>
                <w:i/>
              </w:rPr>
              <w:t>Harvest capacity</w:t>
            </w:r>
            <w:r w:rsidR="00773716" w:rsidRPr="002004D5">
              <w:t xml:space="preserve">: </w:t>
            </w:r>
            <w:r w:rsidR="001D3B49" w:rsidRPr="002004D5">
              <w:t xml:space="preserve">new </w:t>
            </w:r>
            <w:r w:rsidRPr="002004D5">
              <w:t>data source</w:t>
            </w:r>
          </w:p>
        </w:tc>
        <w:tc>
          <w:tcPr>
            <w:tcW w:w="3960" w:type="dxa"/>
            <w:shd w:val="clear" w:color="auto" w:fill="auto"/>
          </w:tcPr>
          <w:p w14:paraId="2A96AF2B" w14:textId="34C32007" w:rsidR="00A20BCE" w:rsidRPr="00F85B60" w:rsidRDefault="00F85B60" w:rsidP="001F4D18">
            <w:pPr>
              <w:rPr>
                <w:highlight w:val="yellow"/>
              </w:rPr>
            </w:pPr>
            <w:r w:rsidRPr="002004D5">
              <w:t xml:space="preserve">We now use a biologically relevant reference point based on production capacity of </w:t>
            </w:r>
            <w:r w:rsidR="00D94C92" w:rsidRPr="002004D5">
              <w:t xml:space="preserve">aquaculture </w:t>
            </w:r>
            <w:r w:rsidRPr="002004D5">
              <w:t>within each region (Gentry et al. 2017)</w:t>
            </w:r>
          </w:p>
        </w:tc>
        <w:tc>
          <w:tcPr>
            <w:tcW w:w="3780" w:type="dxa"/>
            <w:shd w:val="clear" w:color="auto" w:fill="auto"/>
          </w:tcPr>
          <w:p w14:paraId="71CAD2D8" w14:textId="10C347C7" w:rsidR="00D03D41" w:rsidRPr="00F85B60" w:rsidRDefault="00F85B60" w:rsidP="00A20BCE">
            <w:pPr>
              <w:rPr>
                <w:highlight w:val="yellow"/>
              </w:rPr>
            </w:pPr>
            <w:r w:rsidRPr="002004D5">
              <w:t>The new reference point had a dramatic effect on scores.  Many more regions receive a 100 score and NA scores.  But overall, there was a general decrease in scores because countries are not producing at capacity.</w:t>
            </w:r>
          </w:p>
        </w:tc>
      </w:tr>
      <w:tr w:rsidR="00773716" w14:paraId="48766499" w14:textId="77777777" w:rsidTr="00F345DF">
        <w:tc>
          <w:tcPr>
            <w:tcW w:w="1705" w:type="dxa"/>
          </w:tcPr>
          <w:p w14:paraId="77C2388B" w14:textId="77777777" w:rsidR="00773716" w:rsidRPr="002004D5" w:rsidRDefault="00773716" w:rsidP="001F4D18">
            <w:r w:rsidRPr="002004D5">
              <w:t>Coastal protection</w:t>
            </w:r>
          </w:p>
        </w:tc>
        <w:tc>
          <w:tcPr>
            <w:tcW w:w="3240" w:type="dxa"/>
          </w:tcPr>
          <w:p w14:paraId="71001458" w14:textId="77777777" w:rsidR="00773716" w:rsidRPr="002004D5" w:rsidRDefault="00773716" w:rsidP="001F4D18">
            <w:r w:rsidRPr="002004D5">
              <w:rPr>
                <w:i/>
              </w:rPr>
              <w:t>Sea ice shoreline</w:t>
            </w:r>
            <w:r w:rsidRPr="002004D5">
              <w:t>: additional year of data (trend and condition updated)</w:t>
            </w:r>
          </w:p>
          <w:p w14:paraId="2B196AE2" w14:textId="77777777" w:rsidR="00773716" w:rsidRPr="002004D5" w:rsidRDefault="00773716" w:rsidP="001F4D18"/>
          <w:p w14:paraId="09261DC5" w14:textId="77777777" w:rsidR="00773716" w:rsidRPr="002004D5" w:rsidRDefault="00773716" w:rsidP="001F4D18">
            <w:r w:rsidRPr="002004D5">
              <w:rPr>
                <w:i/>
              </w:rPr>
              <w:t>Mangrove</w:t>
            </w:r>
            <w:r w:rsidRPr="002004D5">
              <w:t>: no updates</w:t>
            </w:r>
          </w:p>
          <w:p w14:paraId="1650D4DA" w14:textId="77777777" w:rsidR="00773716" w:rsidRPr="002004D5" w:rsidRDefault="00773716" w:rsidP="001F4D18"/>
          <w:p w14:paraId="36027135" w14:textId="3E3FFCDA" w:rsidR="00773716" w:rsidRPr="002004D5" w:rsidRDefault="00773716" w:rsidP="001F4D18">
            <w:r w:rsidRPr="002004D5">
              <w:rPr>
                <w:i/>
              </w:rPr>
              <w:t>Saltmarsh</w:t>
            </w:r>
            <w:r w:rsidRPr="002004D5">
              <w:t xml:space="preserve">: </w:t>
            </w:r>
            <w:r w:rsidR="00BC1CC9">
              <w:t xml:space="preserve"> no updates</w:t>
            </w:r>
          </w:p>
          <w:p w14:paraId="16BDD912" w14:textId="77777777" w:rsidR="00773716" w:rsidRPr="002004D5" w:rsidRDefault="00773716" w:rsidP="001F4D18"/>
          <w:p w14:paraId="0C3D40B6" w14:textId="6B8B7CD4" w:rsidR="00773716" w:rsidRPr="002004D5" w:rsidRDefault="00773716" w:rsidP="001F4D18">
            <w:r w:rsidRPr="002004D5">
              <w:rPr>
                <w:i/>
              </w:rPr>
              <w:t>Seagrass</w:t>
            </w:r>
            <w:r w:rsidRPr="002004D5">
              <w:t xml:space="preserve">: </w:t>
            </w:r>
            <w:r w:rsidR="00BC1CC9">
              <w:t>no updates</w:t>
            </w:r>
          </w:p>
          <w:p w14:paraId="24E8504C" w14:textId="77777777" w:rsidR="00773716" w:rsidRPr="002004D5" w:rsidRDefault="00773716" w:rsidP="001F4D18"/>
          <w:p w14:paraId="7F5D46B4" w14:textId="2D4716E1" w:rsidR="00773716" w:rsidRPr="002004D5" w:rsidRDefault="00773716" w:rsidP="001F4D18">
            <w:r w:rsidRPr="002004D5">
              <w:rPr>
                <w:i/>
              </w:rPr>
              <w:t>Coral</w:t>
            </w:r>
            <w:r w:rsidRPr="002004D5">
              <w:t xml:space="preserve">: </w:t>
            </w:r>
            <w:r w:rsidR="00BC1CC9">
              <w:t>no updates</w:t>
            </w:r>
          </w:p>
        </w:tc>
        <w:tc>
          <w:tcPr>
            <w:tcW w:w="3960" w:type="dxa"/>
          </w:tcPr>
          <w:p w14:paraId="386E5217" w14:textId="77777777" w:rsidR="00773716" w:rsidRDefault="00773716" w:rsidP="001F4D18">
            <w:r>
              <w:t>None</w:t>
            </w:r>
          </w:p>
        </w:tc>
        <w:tc>
          <w:tcPr>
            <w:tcW w:w="3780" w:type="dxa"/>
          </w:tcPr>
          <w:p w14:paraId="7B500901" w14:textId="4581827E" w:rsidR="00BC1CC9" w:rsidRDefault="001D3B49" w:rsidP="001F4D18">
            <w:r>
              <w:t>None</w:t>
            </w:r>
            <w:r w:rsidR="00BC1CC9">
              <w:t>, see notes for habitat subgoal.</w:t>
            </w:r>
          </w:p>
        </w:tc>
      </w:tr>
      <w:tr w:rsidR="00773716" w14:paraId="04AB2851" w14:textId="77777777" w:rsidTr="00F345DF">
        <w:tc>
          <w:tcPr>
            <w:tcW w:w="1705" w:type="dxa"/>
          </w:tcPr>
          <w:p w14:paraId="00FE1787" w14:textId="77777777" w:rsidR="00773716" w:rsidRDefault="00773716" w:rsidP="001F4D18">
            <w:r>
              <w:t>Carbon storage</w:t>
            </w:r>
          </w:p>
        </w:tc>
        <w:tc>
          <w:tcPr>
            <w:tcW w:w="3240" w:type="dxa"/>
          </w:tcPr>
          <w:p w14:paraId="2ED956A2" w14:textId="77777777" w:rsidR="00773716" w:rsidRDefault="00773716" w:rsidP="001F4D18">
            <w:r w:rsidRPr="00464324">
              <w:rPr>
                <w:i/>
              </w:rPr>
              <w:t>Mangrove</w:t>
            </w:r>
            <w:r>
              <w:t>: no updates</w:t>
            </w:r>
          </w:p>
          <w:p w14:paraId="62DD4E5B" w14:textId="77777777" w:rsidR="00773716" w:rsidRDefault="00773716" w:rsidP="001F4D18"/>
          <w:p w14:paraId="5F13E5AA" w14:textId="09D11668" w:rsidR="00773716" w:rsidRDefault="00773716" w:rsidP="001F4D18">
            <w:r w:rsidRPr="00464324">
              <w:rPr>
                <w:i/>
              </w:rPr>
              <w:t>Saltmarsh</w:t>
            </w:r>
            <w:r>
              <w:t xml:space="preserve">: </w:t>
            </w:r>
            <w:r w:rsidR="00BC1CC9">
              <w:t>no updates</w:t>
            </w:r>
          </w:p>
          <w:p w14:paraId="195EA2CC" w14:textId="77777777" w:rsidR="00773716" w:rsidRDefault="00773716" w:rsidP="001F4D18"/>
          <w:p w14:paraId="5E981F22" w14:textId="36AA4A0F" w:rsidR="00773716" w:rsidRDefault="00773716" w:rsidP="001F4D18">
            <w:r w:rsidRPr="00464324">
              <w:rPr>
                <w:i/>
              </w:rPr>
              <w:t>Seagrass</w:t>
            </w:r>
            <w:r>
              <w:t xml:space="preserve">: </w:t>
            </w:r>
            <w:r w:rsidR="00BC1CC9">
              <w:t>no updates</w:t>
            </w:r>
          </w:p>
        </w:tc>
        <w:tc>
          <w:tcPr>
            <w:tcW w:w="3960" w:type="dxa"/>
          </w:tcPr>
          <w:p w14:paraId="0CEF4FF2" w14:textId="77777777" w:rsidR="00773716" w:rsidRDefault="00773716" w:rsidP="001F4D18">
            <w:r>
              <w:t>None</w:t>
            </w:r>
          </w:p>
        </w:tc>
        <w:tc>
          <w:tcPr>
            <w:tcW w:w="3780" w:type="dxa"/>
          </w:tcPr>
          <w:p w14:paraId="53DA9C4D" w14:textId="1477E8E1" w:rsidR="00773716" w:rsidRDefault="00773716" w:rsidP="001F4D18">
            <w:r>
              <w:t>None</w:t>
            </w:r>
            <w:r w:rsidR="00BC1CC9">
              <w:t>, see notes for habitat subgoal.</w:t>
            </w:r>
          </w:p>
        </w:tc>
      </w:tr>
      <w:tr w:rsidR="00773716" w14:paraId="742DDB29" w14:textId="77777777" w:rsidTr="002004D5">
        <w:tc>
          <w:tcPr>
            <w:tcW w:w="1705" w:type="dxa"/>
            <w:shd w:val="clear" w:color="auto" w:fill="auto"/>
          </w:tcPr>
          <w:p w14:paraId="02F1C970" w14:textId="538CE145" w:rsidR="00773716" w:rsidRPr="002004D5" w:rsidRDefault="00773716" w:rsidP="001F4D18">
            <w:r w:rsidRPr="002004D5">
              <w:t>Clean waters</w:t>
            </w:r>
          </w:p>
        </w:tc>
        <w:tc>
          <w:tcPr>
            <w:tcW w:w="3240" w:type="dxa"/>
            <w:shd w:val="clear" w:color="auto" w:fill="auto"/>
          </w:tcPr>
          <w:p w14:paraId="10C97CF8" w14:textId="7EBCA4AF" w:rsidR="00773716" w:rsidRPr="002004D5" w:rsidRDefault="00773716" w:rsidP="001F4D18">
            <w:r w:rsidRPr="002004D5">
              <w:rPr>
                <w:i/>
              </w:rPr>
              <w:t>Nutrient pollution</w:t>
            </w:r>
            <w:r w:rsidRPr="002004D5">
              <w:t xml:space="preserve">: </w:t>
            </w:r>
            <w:r w:rsidR="00B60A41" w:rsidRPr="002004D5">
              <w:t>None</w:t>
            </w:r>
          </w:p>
          <w:p w14:paraId="1CCC012D" w14:textId="77777777" w:rsidR="00773716" w:rsidRPr="002004D5" w:rsidRDefault="00773716" w:rsidP="001F4D18"/>
          <w:p w14:paraId="5955E5FA" w14:textId="77777777" w:rsidR="00773716" w:rsidRPr="002004D5" w:rsidRDefault="00773716" w:rsidP="001F4D18">
            <w:r w:rsidRPr="002004D5">
              <w:rPr>
                <w:i/>
              </w:rPr>
              <w:t>Chemical pollution</w:t>
            </w:r>
            <w:r w:rsidRPr="002004D5">
              <w:t xml:space="preserve">: </w:t>
            </w:r>
          </w:p>
          <w:p w14:paraId="5D5087C1" w14:textId="6AE0C1C4" w:rsidR="00773716" w:rsidRPr="002004D5" w:rsidRDefault="00773716" w:rsidP="00B60A41">
            <w:r w:rsidRPr="002004D5">
              <w:t xml:space="preserve">   </w:t>
            </w:r>
            <w:r w:rsidRPr="002004D5">
              <w:rPr>
                <w:u w:val="single"/>
              </w:rPr>
              <w:t>Shipping and ports</w:t>
            </w:r>
            <w:r w:rsidRPr="002004D5">
              <w:t xml:space="preserve">: </w:t>
            </w:r>
            <w:r w:rsidR="00B60A41" w:rsidRPr="002004D5">
              <w:t>None</w:t>
            </w:r>
          </w:p>
          <w:p w14:paraId="7574EC60" w14:textId="4B76700B" w:rsidR="00773716" w:rsidRPr="002004D5" w:rsidRDefault="00773716" w:rsidP="001F4D18">
            <w:r w:rsidRPr="002004D5">
              <w:t xml:space="preserve">   </w:t>
            </w:r>
            <w:r w:rsidRPr="002004D5">
              <w:rPr>
                <w:u w:val="single"/>
              </w:rPr>
              <w:t>Land-based inorganic</w:t>
            </w:r>
            <w:r w:rsidRPr="002004D5">
              <w:t xml:space="preserve">: </w:t>
            </w:r>
            <w:r w:rsidR="00B60A41" w:rsidRPr="002004D5">
              <w:t>None</w:t>
            </w:r>
            <w:r w:rsidRPr="002004D5">
              <w:t xml:space="preserve">   </w:t>
            </w:r>
          </w:p>
          <w:p w14:paraId="44EA9A94" w14:textId="06C40BF6" w:rsidR="00773716" w:rsidRPr="002004D5" w:rsidRDefault="00773716" w:rsidP="00B60A41">
            <w:r w:rsidRPr="002004D5">
              <w:t xml:space="preserve">   </w:t>
            </w:r>
            <w:r w:rsidRPr="002004D5">
              <w:rPr>
                <w:u w:val="single"/>
              </w:rPr>
              <w:t>Land-based organic</w:t>
            </w:r>
            <w:r w:rsidRPr="002004D5">
              <w:t xml:space="preserve">: </w:t>
            </w:r>
            <w:r w:rsidR="00B60A41" w:rsidRPr="002004D5">
              <w:t>None</w:t>
            </w:r>
          </w:p>
          <w:p w14:paraId="7738FAF3" w14:textId="77777777" w:rsidR="00773716" w:rsidRPr="002004D5" w:rsidRDefault="00773716" w:rsidP="001F4D18"/>
          <w:p w14:paraId="60003EA7" w14:textId="58BA9AEB" w:rsidR="00773716" w:rsidRPr="002004D5" w:rsidRDefault="00773716" w:rsidP="001F4D18">
            <w:r w:rsidRPr="002004D5">
              <w:rPr>
                <w:i/>
              </w:rPr>
              <w:t>Pathogens:</w:t>
            </w:r>
            <w:r w:rsidR="00B60A41" w:rsidRPr="002004D5">
              <w:t xml:space="preserve"> </w:t>
            </w:r>
            <w:r w:rsidR="00DC06DE" w:rsidRPr="002004D5">
              <w:t>Two additional years of data</w:t>
            </w:r>
          </w:p>
          <w:p w14:paraId="0470689C" w14:textId="77777777" w:rsidR="00773716" w:rsidRPr="002004D5" w:rsidRDefault="00773716" w:rsidP="001F4D18"/>
          <w:p w14:paraId="6769D746" w14:textId="435DD49C" w:rsidR="00773716" w:rsidRPr="002004D5" w:rsidRDefault="00773716" w:rsidP="00B60A41">
            <w:r w:rsidRPr="002004D5">
              <w:rPr>
                <w:i/>
              </w:rPr>
              <w:t>Trash</w:t>
            </w:r>
            <w:r w:rsidRPr="002004D5">
              <w:t xml:space="preserve">: </w:t>
            </w:r>
            <w:r w:rsidR="00B60A41" w:rsidRPr="002004D5">
              <w:t>None</w:t>
            </w:r>
          </w:p>
        </w:tc>
        <w:tc>
          <w:tcPr>
            <w:tcW w:w="3960" w:type="dxa"/>
          </w:tcPr>
          <w:p w14:paraId="627497E2" w14:textId="406BF121" w:rsidR="00773716" w:rsidRPr="002004D5" w:rsidRDefault="00DC06DE" w:rsidP="001F4D18">
            <w:r w:rsidRPr="002004D5">
              <w:t>None</w:t>
            </w:r>
          </w:p>
        </w:tc>
        <w:tc>
          <w:tcPr>
            <w:tcW w:w="3780" w:type="dxa"/>
          </w:tcPr>
          <w:p w14:paraId="2DF391D1" w14:textId="10216D33" w:rsidR="00773716" w:rsidRPr="002004D5" w:rsidRDefault="00993363" w:rsidP="00993363">
            <w:r w:rsidRPr="002004D5">
              <w:t>There were some changes to scores, primarily due to updates in source data.  Most of these were relatively small (&lt;10), but a few regions had relatively large changes</w:t>
            </w:r>
            <w:r w:rsidR="00F86710" w:rsidRPr="002004D5">
              <w:t>.</w:t>
            </w:r>
            <w:r w:rsidRPr="002004D5">
              <w:t xml:space="preserve"> </w:t>
            </w:r>
          </w:p>
        </w:tc>
      </w:tr>
      <w:tr w:rsidR="002F5C31" w14:paraId="405994D6" w14:textId="77777777" w:rsidTr="00F345DF">
        <w:tc>
          <w:tcPr>
            <w:tcW w:w="1705" w:type="dxa"/>
          </w:tcPr>
          <w:p w14:paraId="1E3DA4BD" w14:textId="77777777" w:rsidR="002F5C31" w:rsidRPr="002004D5" w:rsidRDefault="002F5C31" w:rsidP="002F5C31">
            <w:r w:rsidRPr="002004D5">
              <w:lastRenderedPageBreak/>
              <w:t>Iconic species</w:t>
            </w:r>
          </w:p>
          <w:p w14:paraId="2F875DA9" w14:textId="3B91CA25" w:rsidR="002F5C31" w:rsidRPr="002004D5" w:rsidRDefault="002F5C31" w:rsidP="002F5C31">
            <w:r w:rsidRPr="002004D5">
              <w:t>(subgoal of sense of place goal)</w:t>
            </w:r>
          </w:p>
        </w:tc>
        <w:tc>
          <w:tcPr>
            <w:tcW w:w="3240" w:type="dxa"/>
          </w:tcPr>
          <w:p w14:paraId="7720E24D" w14:textId="0E4AF5BD" w:rsidR="002F5C31" w:rsidRPr="002004D5" w:rsidRDefault="00993363" w:rsidP="00993363">
            <w:r w:rsidRPr="002004D5">
              <w:t>Additional year of IUCN status data</w:t>
            </w:r>
          </w:p>
        </w:tc>
        <w:tc>
          <w:tcPr>
            <w:tcW w:w="3960" w:type="dxa"/>
          </w:tcPr>
          <w:p w14:paraId="43968FDF" w14:textId="7426CB8B" w:rsidR="002F5C31" w:rsidRPr="002004D5" w:rsidRDefault="00AC7142" w:rsidP="00985ACD">
            <w:r w:rsidRPr="002004D5">
              <w:t>None</w:t>
            </w:r>
          </w:p>
        </w:tc>
        <w:tc>
          <w:tcPr>
            <w:tcW w:w="3780" w:type="dxa"/>
          </w:tcPr>
          <w:p w14:paraId="021A2712" w14:textId="3D9D1A88" w:rsidR="002F5C31" w:rsidRPr="002004D5" w:rsidRDefault="00AC7142" w:rsidP="00BA5E61">
            <w:r w:rsidRPr="002004D5">
              <w:t>Some variation in status scores from last year.  A couple regions had increases &gt; 20 and &lt;50 due to changes in source data. In particular, a few species had status changes from Data Deficient.</w:t>
            </w:r>
          </w:p>
        </w:tc>
      </w:tr>
      <w:tr w:rsidR="00773716" w14:paraId="56CEDF40" w14:textId="77777777" w:rsidTr="00F345DF">
        <w:tc>
          <w:tcPr>
            <w:tcW w:w="1705" w:type="dxa"/>
          </w:tcPr>
          <w:p w14:paraId="3A3A8C71" w14:textId="3BF1D97F" w:rsidR="00773716" w:rsidRPr="002004D5" w:rsidRDefault="00773716" w:rsidP="001F4D18">
            <w:r w:rsidRPr="002004D5">
              <w:t>Lasting special places (subgoal of s</w:t>
            </w:r>
            <w:r w:rsidR="00F345DF" w:rsidRPr="002004D5">
              <w:t>ense of place</w:t>
            </w:r>
            <w:r w:rsidRPr="002004D5">
              <w:t>)</w:t>
            </w:r>
          </w:p>
        </w:tc>
        <w:tc>
          <w:tcPr>
            <w:tcW w:w="3240" w:type="dxa"/>
          </w:tcPr>
          <w:p w14:paraId="732AA350" w14:textId="77777777" w:rsidR="00773716" w:rsidRPr="002004D5" w:rsidRDefault="00773716" w:rsidP="001F4D18">
            <w:r w:rsidRPr="002004D5">
              <w:t>Additional year of WDPA data</w:t>
            </w:r>
          </w:p>
          <w:p w14:paraId="2C61A843" w14:textId="4831B9F9" w:rsidR="00773716" w:rsidRPr="002004D5" w:rsidRDefault="00773716" w:rsidP="001F4D18"/>
        </w:tc>
        <w:tc>
          <w:tcPr>
            <w:tcW w:w="3960" w:type="dxa"/>
          </w:tcPr>
          <w:p w14:paraId="3980DFAB" w14:textId="77777777" w:rsidR="00773716" w:rsidRPr="002004D5" w:rsidRDefault="00773716" w:rsidP="001F4D18">
            <w:r w:rsidRPr="002004D5">
              <w:t>None</w:t>
            </w:r>
          </w:p>
        </w:tc>
        <w:tc>
          <w:tcPr>
            <w:tcW w:w="3780" w:type="dxa"/>
          </w:tcPr>
          <w:p w14:paraId="201167FC" w14:textId="2819F430" w:rsidR="00773716" w:rsidRPr="002004D5" w:rsidRDefault="002F5C31" w:rsidP="006C04EA">
            <w:r w:rsidRPr="002004D5">
              <w:t xml:space="preserve">Some </w:t>
            </w:r>
            <w:r w:rsidR="00AC7142" w:rsidRPr="002004D5">
              <w:t xml:space="preserve">large </w:t>
            </w:r>
            <w:r w:rsidRPr="002004D5">
              <w:t xml:space="preserve">changes </w:t>
            </w:r>
            <w:r w:rsidR="00AC7142" w:rsidRPr="002004D5">
              <w:t xml:space="preserve">in a few regions </w:t>
            </w:r>
            <w:r w:rsidRPr="002004D5">
              <w:t>due to changes in source data</w:t>
            </w:r>
            <w:r w:rsidR="00430968" w:rsidRPr="002004D5">
              <w:t>.</w:t>
            </w:r>
          </w:p>
        </w:tc>
      </w:tr>
      <w:tr w:rsidR="00773716" w14:paraId="74BA6342" w14:textId="77777777" w:rsidTr="00F345DF">
        <w:tc>
          <w:tcPr>
            <w:tcW w:w="1705" w:type="dxa"/>
          </w:tcPr>
          <w:p w14:paraId="595776A3" w14:textId="77777777" w:rsidR="00773716" w:rsidRPr="002004D5" w:rsidRDefault="00773716" w:rsidP="001F4D18">
            <w:r w:rsidRPr="002004D5">
              <w:t>Natural products</w:t>
            </w:r>
          </w:p>
        </w:tc>
        <w:tc>
          <w:tcPr>
            <w:tcW w:w="3240" w:type="dxa"/>
          </w:tcPr>
          <w:p w14:paraId="428750FD" w14:textId="77777777" w:rsidR="00773716" w:rsidRPr="002004D5" w:rsidRDefault="00E56A67" w:rsidP="001F4D18">
            <w:r w:rsidRPr="002004D5">
              <w:t>Additional two years of FAO harvest data</w:t>
            </w:r>
          </w:p>
          <w:p w14:paraId="5C3AD70B" w14:textId="77777777" w:rsidR="0081555C" w:rsidRPr="002004D5" w:rsidRDefault="0081555C" w:rsidP="001F4D18"/>
          <w:p w14:paraId="0B6F23A2" w14:textId="71A86A96" w:rsidR="0081555C" w:rsidRPr="002004D5" w:rsidRDefault="0081555C" w:rsidP="001F4D18">
            <w:r w:rsidRPr="002004D5">
              <w:t xml:space="preserve">Sustainability: </w:t>
            </w:r>
            <w:r w:rsidR="008D2EA1" w:rsidRPr="002004D5">
              <w:t>None</w:t>
            </w:r>
          </w:p>
        </w:tc>
        <w:tc>
          <w:tcPr>
            <w:tcW w:w="3960" w:type="dxa"/>
          </w:tcPr>
          <w:p w14:paraId="41B6BE37" w14:textId="75804F8E" w:rsidR="00773716" w:rsidRPr="002004D5" w:rsidRDefault="00F85B60" w:rsidP="001F4D18">
            <w:r w:rsidRPr="002004D5">
              <w:t>Now exclude products with &lt;5 years of production within the past 10 years.</w:t>
            </w:r>
          </w:p>
        </w:tc>
        <w:tc>
          <w:tcPr>
            <w:tcW w:w="3780" w:type="dxa"/>
          </w:tcPr>
          <w:p w14:paraId="2B3393D0" w14:textId="06B9AA1C" w:rsidR="00A20B2F" w:rsidRPr="002004D5" w:rsidRDefault="00F85B60" w:rsidP="001F4D18">
            <w:r w:rsidRPr="002004D5">
              <w:t>A few regions changed fairly dramatically due to changes in source data and changes to model.</w:t>
            </w:r>
          </w:p>
        </w:tc>
      </w:tr>
      <w:tr w:rsidR="00773716" w14:paraId="3C3C7EC8" w14:textId="77777777" w:rsidTr="00F345DF">
        <w:tc>
          <w:tcPr>
            <w:tcW w:w="1705" w:type="dxa"/>
          </w:tcPr>
          <w:p w14:paraId="2D7ECCDE" w14:textId="77777777" w:rsidR="00773716" w:rsidRPr="002004D5" w:rsidRDefault="00773716" w:rsidP="001F4D18">
            <w:r w:rsidRPr="002004D5">
              <w:t>Tourism and recreation</w:t>
            </w:r>
          </w:p>
        </w:tc>
        <w:tc>
          <w:tcPr>
            <w:tcW w:w="3240" w:type="dxa"/>
          </w:tcPr>
          <w:p w14:paraId="74863E15" w14:textId="723D8B41" w:rsidR="00773716" w:rsidRPr="002004D5" w:rsidRDefault="00773716" w:rsidP="001F4D18">
            <w:r w:rsidRPr="002004D5">
              <w:rPr>
                <w:i/>
              </w:rPr>
              <w:t>Tourism sustainability</w:t>
            </w:r>
            <w:r w:rsidRPr="002004D5">
              <w:t xml:space="preserve">: </w:t>
            </w:r>
            <w:r w:rsidR="00A20B2F" w:rsidRPr="002004D5">
              <w:t>No update</w:t>
            </w:r>
          </w:p>
          <w:p w14:paraId="5D0898DF" w14:textId="77777777" w:rsidR="00773716" w:rsidRPr="002004D5" w:rsidRDefault="00773716" w:rsidP="001F4D18"/>
          <w:p w14:paraId="2DDD9CEC" w14:textId="5AF1770E" w:rsidR="00773716" w:rsidRPr="002004D5" w:rsidRDefault="00773716" w:rsidP="001F4D18">
            <w:r w:rsidRPr="002004D5">
              <w:rPr>
                <w:i/>
              </w:rPr>
              <w:t>Employment</w:t>
            </w:r>
            <w:r w:rsidRPr="002004D5">
              <w:t xml:space="preserve">: </w:t>
            </w:r>
            <w:r w:rsidR="00476AAA" w:rsidRPr="002004D5">
              <w:t xml:space="preserve">2 additional </w:t>
            </w:r>
            <w:r w:rsidRPr="002004D5">
              <w:t>year</w:t>
            </w:r>
            <w:r w:rsidR="00476AAA" w:rsidRPr="002004D5">
              <w:t>s</w:t>
            </w:r>
            <w:r w:rsidRPr="002004D5">
              <w:t xml:space="preserve"> of WEF data</w:t>
            </w:r>
            <w:r w:rsidR="00476AAA" w:rsidRPr="002004D5">
              <w:t xml:space="preserve"> added</w:t>
            </w:r>
          </w:p>
          <w:p w14:paraId="29D9D184" w14:textId="77777777" w:rsidR="00773716" w:rsidRPr="002004D5" w:rsidRDefault="00773716" w:rsidP="001F4D18"/>
          <w:p w14:paraId="24478F3E" w14:textId="42730D7A" w:rsidR="00773716" w:rsidRPr="002004D5" w:rsidRDefault="00773716" w:rsidP="00660E39">
            <w:r w:rsidRPr="002004D5">
              <w:rPr>
                <w:i/>
              </w:rPr>
              <w:t>Travel warnings</w:t>
            </w:r>
            <w:r w:rsidRPr="002004D5">
              <w:t>: new year of data</w:t>
            </w:r>
          </w:p>
        </w:tc>
        <w:tc>
          <w:tcPr>
            <w:tcW w:w="3960" w:type="dxa"/>
          </w:tcPr>
          <w:p w14:paraId="684F12A4" w14:textId="6F185249" w:rsidR="002C0807" w:rsidRPr="002004D5" w:rsidRDefault="00476AAA" w:rsidP="001F4D18">
            <w:r w:rsidRPr="002004D5">
              <w:t>None</w:t>
            </w:r>
          </w:p>
        </w:tc>
        <w:tc>
          <w:tcPr>
            <w:tcW w:w="3780" w:type="dxa"/>
          </w:tcPr>
          <w:p w14:paraId="3C8B049B" w14:textId="334A1C59" w:rsidR="00773716" w:rsidRPr="002004D5" w:rsidRDefault="00476AAA" w:rsidP="001F4D18">
            <w:r w:rsidRPr="002004D5">
              <w:t>Scores overall decreased for most regions, and some regions had fairly significant changes to scores (&gt;=+/- 20 points)</w:t>
            </w:r>
            <w:r w:rsidR="00F70DD0">
              <w:t>.</w:t>
            </w:r>
          </w:p>
        </w:tc>
      </w:tr>
      <w:tr w:rsidR="00773716" w14:paraId="6B473CE0" w14:textId="77777777" w:rsidTr="00F345DF">
        <w:tc>
          <w:tcPr>
            <w:tcW w:w="1705" w:type="dxa"/>
          </w:tcPr>
          <w:p w14:paraId="77D89BA4" w14:textId="77777777" w:rsidR="00773716" w:rsidRPr="002004D5" w:rsidRDefault="00773716" w:rsidP="001F4D18">
            <w:r w:rsidRPr="002004D5">
              <w:t>Livelihoods and economies</w:t>
            </w:r>
          </w:p>
        </w:tc>
        <w:tc>
          <w:tcPr>
            <w:tcW w:w="3240" w:type="dxa"/>
          </w:tcPr>
          <w:p w14:paraId="4BD7CC60" w14:textId="77777777" w:rsidR="00773716" w:rsidRPr="002004D5" w:rsidRDefault="00773716" w:rsidP="001F4D18">
            <w:r w:rsidRPr="002004D5">
              <w:t>None</w:t>
            </w:r>
          </w:p>
        </w:tc>
        <w:tc>
          <w:tcPr>
            <w:tcW w:w="3960" w:type="dxa"/>
          </w:tcPr>
          <w:p w14:paraId="30C86AFF" w14:textId="77777777" w:rsidR="00773716" w:rsidRPr="002004D5" w:rsidRDefault="00773716" w:rsidP="001F4D18">
            <w:r w:rsidRPr="002004D5">
              <w:t>None</w:t>
            </w:r>
          </w:p>
        </w:tc>
        <w:tc>
          <w:tcPr>
            <w:tcW w:w="3780" w:type="dxa"/>
          </w:tcPr>
          <w:p w14:paraId="13BD969A" w14:textId="77777777" w:rsidR="00773716" w:rsidRPr="002004D5" w:rsidRDefault="00773716" w:rsidP="001F4D18">
            <w:r w:rsidRPr="002004D5">
              <w:t>None</w:t>
            </w:r>
          </w:p>
        </w:tc>
      </w:tr>
    </w:tbl>
    <w:p w14:paraId="7B43A322" w14:textId="77777777" w:rsidR="00653649" w:rsidRDefault="00653649" w:rsidP="00773716"/>
    <w:p w14:paraId="6CD63F97" w14:textId="77777777" w:rsidR="00653649" w:rsidRDefault="00653649" w:rsidP="00773716">
      <w:r>
        <w:br w:type="page"/>
      </w:r>
    </w:p>
    <w:p w14:paraId="725287F4" w14:textId="79C7C3EF" w:rsidR="00773716" w:rsidRDefault="00773716" w:rsidP="00773716">
      <w:r w:rsidRPr="002149B1">
        <w:rPr>
          <w:b/>
        </w:rPr>
        <w:lastRenderedPageBreak/>
        <w:t>Table 2</w:t>
      </w:r>
      <w:r w:rsidR="002149B1" w:rsidRPr="002149B1">
        <w:rPr>
          <w:b/>
        </w:rPr>
        <w:t xml:space="preserve"> Pressures</w:t>
      </w:r>
      <w:r w:rsidRPr="002149B1">
        <w:rPr>
          <w:b/>
        </w:rPr>
        <w:t>:</w:t>
      </w:r>
      <w:r>
        <w:t xml:space="preserve"> Description of updates to data and methods.</w:t>
      </w:r>
    </w:p>
    <w:tbl>
      <w:tblPr>
        <w:tblStyle w:val="TableGrid"/>
        <w:tblW w:w="0" w:type="auto"/>
        <w:tblLook w:val="04A0" w:firstRow="1" w:lastRow="0" w:firstColumn="1" w:lastColumn="0" w:noHBand="0" w:noVBand="1"/>
      </w:tblPr>
      <w:tblGrid>
        <w:gridCol w:w="3145"/>
        <w:gridCol w:w="2520"/>
        <w:gridCol w:w="2880"/>
        <w:gridCol w:w="4140"/>
      </w:tblGrid>
      <w:tr w:rsidR="00773716" w14:paraId="1C9FF99A" w14:textId="77777777" w:rsidTr="00F345DF">
        <w:tc>
          <w:tcPr>
            <w:tcW w:w="3145" w:type="dxa"/>
          </w:tcPr>
          <w:p w14:paraId="63367E78" w14:textId="4E4CA3F3" w:rsidR="00773716" w:rsidRPr="004D0249" w:rsidRDefault="00D72497" w:rsidP="001F4D18">
            <w:pPr>
              <w:rPr>
                <w:b/>
              </w:rPr>
            </w:pPr>
            <w:r>
              <w:rPr>
                <w:b/>
              </w:rPr>
              <w:t>Pressure</w:t>
            </w:r>
          </w:p>
        </w:tc>
        <w:tc>
          <w:tcPr>
            <w:tcW w:w="2520" w:type="dxa"/>
          </w:tcPr>
          <w:p w14:paraId="3C9EB1E9" w14:textId="77777777" w:rsidR="00773716" w:rsidRPr="004D0249" w:rsidRDefault="00773716" w:rsidP="001F4D18">
            <w:pPr>
              <w:rPr>
                <w:b/>
              </w:rPr>
            </w:pPr>
            <w:r w:rsidRPr="004D0249">
              <w:rPr>
                <w:b/>
              </w:rPr>
              <w:t>Updates to data</w:t>
            </w:r>
          </w:p>
        </w:tc>
        <w:tc>
          <w:tcPr>
            <w:tcW w:w="2880" w:type="dxa"/>
          </w:tcPr>
          <w:p w14:paraId="2F1C1C33" w14:textId="77777777" w:rsidR="00773716" w:rsidRPr="004D0249" w:rsidRDefault="00773716" w:rsidP="001F4D18">
            <w:pPr>
              <w:rPr>
                <w:b/>
              </w:rPr>
            </w:pPr>
            <w:r w:rsidRPr="004D0249">
              <w:rPr>
                <w:b/>
              </w:rPr>
              <w:t>Updates to data preparation or model</w:t>
            </w:r>
          </w:p>
        </w:tc>
        <w:tc>
          <w:tcPr>
            <w:tcW w:w="4140" w:type="dxa"/>
          </w:tcPr>
          <w:p w14:paraId="6472A139" w14:textId="77777777" w:rsidR="00773716" w:rsidRPr="004D0249" w:rsidRDefault="00773716" w:rsidP="001F4D18">
            <w:pPr>
              <w:rPr>
                <w:b/>
              </w:rPr>
            </w:pPr>
            <w:r w:rsidRPr="004D0249">
              <w:rPr>
                <w:b/>
              </w:rPr>
              <w:t>Notes</w:t>
            </w:r>
          </w:p>
        </w:tc>
      </w:tr>
      <w:tr w:rsidR="00773716" w14:paraId="68647894" w14:textId="77777777" w:rsidTr="002004D5">
        <w:tc>
          <w:tcPr>
            <w:tcW w:w="3145" w:type="dxa"/>
            <w:shd w:val="clear" w:color="auto" w:fill="auto"/>
          </w:tcPr>
          <w:p w14:paraId="40374005" w14:textId="77777777" w:rsidR="00773716" w:rsidRPr="002004D5" w:rsidRDefault="00773716" w:rsidP="001F4D18">
            <w:r w:rsidRPr="002004D5">
              <w:t>Social: World Governance Index</w:t>
            </w:r>
          </w:p>
        </w:tc>
        <w:tc>
          <w:tcPr>
            <w:tcW w:w="2520" w:type="dxa"/>
            <w:shd w:val="clear" w:color="auto" w:fill="auto"/>
          </w:tcPr>
          <w:p w14:paraId="229FC6B3" w14:textId="408937DE" w:rsidR="00773716" w:rsidRPr="002004D5" w:rsidRDefault="00985ACD" w:rsidP="001F4D18">
            <w:r w:rsidRPr="002004D5">
              <w:t xml:space="preserve">Additional year </w:t>
            </w:r>
            <w:r w:rsidR="00773716" w:rsidRPr="002004D5">
              <w:t>data</w:t>
            </w:r>
          </w:p>
        </w:tc>
        <w:tc>
          <w:tcPr>
            <w:tcW w:w="2880" w:type="dxa"/>
            <w:shd w:val="clear" w:color="auto" w:fill="auto"/>
          </w:tcPr>
          <w:p w14:paraId="6696946C" w14:textId="06C8232E" w:rsidR="00773716" w:rsidRPr="002004D5" w:rsidRDefault="00E16BE1" w:rsidP="001F4D18">
            <w:r w:rsidRPr="002004D5">
              <w:t>None</w:t>
            </w:r>
          </w:p>
        </w:tc>
        <w:tc>
          <w:tcPr>
            <w:tcW w:w="4140" w:type="dxa"/>
            <w:shd w:val="clear" w:color="auto" w:fill="auto"/>
          </w:tcPr>
          <w:p w14:paraId="39C8D371" w14:textId="5E23B727" w:rsidR="00773716" w:rsidRPr="002004D5" w:rsidRDefault="00BA5E61" w:rsidP="001F4D18">
            <w:r w:rsidRPr="002004D5">
              <w:t xml:space="preserve">Changes to source data resulted in very small changes to pressure scores (&lt; </w:t>
            </w:r>
            <w:r w:rsidRPr="002004D5">
              <w:rPr>
                <w:rFonts w:cstheme="minorHAnsi"/>
              </w:rPr>
              <w:t>±</w:t>
            </w:r>
            <w:r w:rsidRPr="002004D5">
              <w:t>0.5)</w:t>
            </w:r>
            <w:r w:rsidR="00F70DD0">
              <w:t>.</w:t>
            </w:r>
          </w:p>
        </w:tc>
      </w:tr>
      <w:tr w:rsidR="00773716" w14:paraId="12B297A2" w14:textId="77777777" w:rsidTr="002004D5">
        <w:tc>
          <w:tcPr>
            <w:tcW w:w="3145" w:type="dxa"/>
            <w:shd w:val="clear" w:color="auto" w:fill="auto"/>
          </w:tcPr>
          <w:p w14:paraId="5A4FB635" w14:textId="16B9444C" w:rsidR="00773716" w:rsidRPr="002004D5" w:rsidRDefault="00773716" w:rsidP="001F4D18">
            <w:r w:rsidRPr="002004D5">
              <w:t xml:space="preserve">Social: Social Progress Index </w:t>
            </w:r>
          </w:p>
        </w:tc>
        <w:tc>
          <w:tcPr>
            <w:tcW w:w="2520" w:type="dxa"/>
            <w:shd w:val="clear" w:color="auto" w:fill="auto"/>
          </w:tcPr>
          <w:p w14:paraId="3F0DE2A6" w14:textId="468598DD" w:rsidR="00773716" w:rsidRPr="002004D5" w:rsidRDefault="00D94C92" w:rsidP="00F65A5A">
            <w:r w:rsidRPr="002004D5">
              <w:t>Additional year data</w:t>
            </w:r>
            <w:r w:rsidR="00E16BE1" w:rsidRPr="002004D5">
              <w:t xml:space="preserve"> </w:t>
            </w:r>
          </w:p>
        </w:tc>
        <w:tc>
          <w:tcPr>
            <w:tcW w:w="2880" w:type="dxa"/>
            <w:shd w:val="clear" w:color="auto" w:fill="auto"/>
          </w:tcPr>
          <w:p w14:paraId="12BCDA84" w14:textId="0033A88B" w:rsidR="00773716" w:rsidRPr="002004D5" w:rsidRDefault="00F65A5A" w:rsidP="001F4D18">
            <w:r w:rsidRPr="002004D5">
              <w:t>None</w:t>
            </w:r>
          </w:p>
        </w:tc>
        <w:tc>
          <w:tcPr>
            <w:tcW w:w="4140" w:type="dxa"/>
            <w:shd w:val="clear" w:color="auto" w:fill="auto"/>
          </w:tcPr>
          <w:p w14:paraId="7217B61E" w14:textId="3F436901" w:rsidR="00E06211" w:rsidRPr="002004D5" w:rsidRDefault="00AC7142" w:rsidP="004762D1">
            <w:r w:rsidRPr="002004D5">
              <w:t>None</w:t>
            </w:r>
          </w:p>
        </w:tc>
      </w:tr>
      <w:tr w:rsidR="00773716" w14:paraId="6D4D3A52" w14:textId="77777777" w:rsidTr="002004D5">
        <w:tc>
          <w:tcPr>
            <w:tcW w:w="3145" w:type="dxa"/>
            <w:shd w:val="clear" w:color="auto" w:fill="auto"/>
          </w:tcPr>
          <w:p w14:paraId="2865A603" w14:textId="68ACEA19" w:rsidR="00773716" w:rsidRPr="002004D5" w:rsidRDefault="00773716" w:rsidP="001F4D18">
            <w:r w:rsidRPr="002004D5">
              <w:t>Climate change: Ocean acidification</w:t>
            </w:r>
          </w:p>
        </w:tc>
        <w:tc>
          <w:tcPr>
            <w:tcW w:w="2520" w:type="dxa"/>
            <w:shd w:val="clear" w:color="auto" w:fill="auto"/>
          </w:tcPr>
          <w:p w14:paraId="5E9E9216" w14:textId="6143E46E" w:rsidR="00773716" w:rsidRPr="002004D5" w:rsidRDefault="00995860" w:rsidP="001F4D18">
            <w:r w:rsidRPr="002004D5">
              <w:t>None</w:t>
            </w:r>
            <w:r w:rsidR="00B061E2" w:rsidRPr="002004D5">
              <w:t>, but additional year of data because there were projections to 2020</w:t>
            </w:r>
          </w:p>
        </w:tc>
        <w:tc>
          <w:tcPr>
            <w:tcW w:w="2880" w:type="dxa"/>
            <w:shd w:val="clear" w:color="auto" w:fill="auto"/>
          </w:tcPr>
          <w:p w14:paraId="04573D66" w14:textId="39082C32" w:rsidR="00773716" w:rsidRPr="002004D5" w:rsidRDefault="00B60A41" w:rsidP="006C04EA">
            <w:r w:rsidRPr="002004D5">
              <w:t>None</w:t>
            </w:r>
          </w:p>
        </w:tc>
        <w:tc>
          <w:tcPr>
            <w:tcW w:w="4140" w:type="dxa"/>
            <w:shd w:val="clear" w:color="auto" w:fill="auto"/>
          </w:tcPr>
          <w:p w14:paraId="21DB18A5" w14:textId="1790315B" w:rsidR="00773716" w:rsidRPr="002004D5" w:rsidRDefault="00F85B60" w:rsidP="001F4D18">
            <w:r w:rsidRPr="002004D5">
              <w:t>None</w:t>
            </w:r>
          </w:p>
        </w:tc>
      </w:tr>
      <w:tr w:rsidR="00773716" w14:paraId="6597E24E" w14:textId="77777777" w:rsidTr="002004D5">
        <w:tc>
          <w:tcPr>
            <w:tcW w:w="3145" w:type="dxa"/>
            <w:shd w:val="clear" w:color="auto" w:fill="auto"/>
          </w:tcPr>
          <w:p w14:paraId="4C995474" w14:textId="1381F7AD" w:rsidR="00773716" w:rsidRPr="002004D5" w:rsidRDefault="00773716" w:rsidP="001F4D18">
            <w:r w:rsidRPr="002004D5">
              <w:t>Climate change: UV</w:t>
            </w:r>
            <w:r w:rsidR="00920069" w:rsidRPr="002004D5">
              <w:t xml:space="preserve"> </w:t>
            </w:r>
          </w:p>
        </w:tc>
        <w:tc>
          <w:tcPr>
            <w:tcW w:w="2520" w:type="dxa"/>
            <w:shd w:val="clear" w:color="auto" w:fill="auto"/>
          </w:tcPr>
          <w:p w14:paraId="3149D722" w14:textId="5EE5CC55" w:rsidR="002B23CA" w:rsidRPr="002004D5" w:rsidRDefault="00985ACD" w:rsidP="00985ACD">
            <w:r w:rsidRPr="002004D5">
              <w:t>Additional year data</w:t>
            </w:r>
          </w:p>
        </w:tc>
        <w:tc>
          <w:tcPr>
            <w:tcW w:w="2880" w:type="dxa"/>
            <w:shd w:val="clear" w:color="auto" w:fill="auto"/>
          </w:tcPr>
          <w:p w14:paraId="78CF09E4" w14:textId="30DCC1DB" w:rsidR="00985ACD" w:rsidRPr="002004D5" w:rsidRDefault="00985ACD" w:rsidP="0016410F"/>
        </w:tc>
        <w:tc>
          <w:tcPr>
            <w:tcW w:w="4140" w:type="dxa"/>
            <w:shd w:val="clear" w:color="auto" w:fill="auto"/>
          </w:tcPr>
          <w:p w14:paraId="39BB682A" w14:textId="4D6CB941" w:rsidR="00773716" w:rsidRPr="002004D5" w:rsidRDefault="0062639B" w:rsidP="00650399">
            <w:r w:rsidRPr="002004D5">
              <w:t xml:space="preserve">Very small changes </w:t>
            </w:r>
            <w:r w:rsidR="004762D1" w:rsidRPr="002004D5">
              <w:t>in pressures</w:t>
            </w:r>
            <w:r w:rsidRPr="002004D5">
              <w:t xml:space="preserve"> (&lt; </w:t>
            </w:r>
            <w:r w:rsidRPr="002004D5">
              <w:rPr>
                <w:rFonts w:cstheme="minorHAnsi"/>
              </w:rPr>
              <w:t>±</w:t>
            </w:r>
            <w:r w:rsidR="00F85B60" w:rsidRPr="002004D5">
              <w:rPr>
                <w:rFonts w:cstheme="minorHAnsi"/>
              </w:rPr>
              <w:t>0.5</w:t>
            </w:r>
            <w:r w:rsidRPr="002004D5">
              <w:t>)</w:t>
            </w:r>
            <w:r w:rsidR="00F70DD0">
              <w:t>.</w:t>
            </w:r>
          </w:p>
        </w:tc>
      </w:tr>
      <w:tr w:rsidR="00773716" w14:paraId="669E6998" w14:textId="77777777" w:rsidTr="002004D5">
        <w:tc>
          <w:tcPr>
            <w:tcW w:w="3145" w:type="dxa"/>
            <w:shd w:val="clear" w:color="auto" w:fill="auto"/>
          </w:tcPr>
          <w:p w14:paraId="1F349A40" w14:textId="0C004A30" w:rsidR="00773716" w:rsidRPr="002004D5" w:rsidRDefault="00773716" w:rsidP="001F4D18">
            <w:r w:rsidRPr="002004D5">
              <w:t>Climate change: Sea level rise</w:t>
            </w:r>
          </w:p>
        </w:tc>
        <w:tc>
          <w:tcPr>
            <w:tcW w:w="2520" w:type="dxa"/>
            <w:shd w:val="clear" w:color="auto" w:fill="auto"/>
          </w:tcPr>
          <w:p w14:paraId="400E47E4" w14:textId="3D6077D1" w:rsidR="00773716" w:rsidRPr="002004D5" w:rsidRDefault="00B60A41" w:rsidP="001F4D18">
            <w:r w:rsidRPr="002004D5">
              <w:t>Additional year data</w:t>
            </w:r>
          </w:p>
        </w:tc>
        <w:tc>
          <w:tcPr>
            <w:tcW w:w="2880" w:type="dxa"/>
            <w:shd w:val="clear" w:color="auto" w:fill="auto"/>
          </w:tcPr>
          <w:p w14:paraId="7EE8C9F8" w14:textId="61A3DC65" w:rsidR="002B23CA" w:rsidRPr="002004D5" w:rsidRDefault="00B60A41" w:rsidP="001F4D18">
            <w:r w:rsidRPr="002004D5">
              <w:t>None</w:t>
            </w:r>
          </w:p>
        </w:tc>
        <w:tc>
          <w:tcPr>
            <w:tcW w:w="4140" w:type="dxa"/>
            <w:shd w:val="clear" w:color="auto" w:fill="auto"/>
          </w:tcPr>
          <w:p w14:paraId="43992E9F" w14:textId="64C47CB2" w:rsidR="00773716" w:rsidRPr="002004D5" w:rsidRDefault="00F85B60" w:rsidP="001F4D18">
            <w:r w:rsidRPr="002004D5">
              <w:t>None</w:t>
            </w:r>
          </w:p>
        </w:tc>
      </w:tr>
      <w:tr w:rsidR="00773716" w14:paraId="4FB8CE83" w14:textId="77777777" w:rsidTr="002004D5">
        <w:tc>
          <w:tcPr>
            <w:tcW w:w="3145" w:type="dxa"/>
            <w:shd w:val="clear" w:color="auto" w:fill="auto"/>
          </w:tcPr>
          <w:p w14:paraId="1FA08A0B" w14:textId="4D72C52C" w:rsidR="00773716" w:rsidRPr="002004D5" w:rsidRDefault="00773716" w:rsidP="001F4D18">
            <w:r w:rsidRPr="002004D5">
              <w:t>Climate</w:t>
            </w:r>
            <w:r w:rsidR="00E16BE1" w:rsidRPr="002004D5">
              <w:t xml:space="preserve"> change: Sea surface temperature</w:t>
            </w:r>
          </w:p>
        </w:tc>
        <w:tc>
          <w:tcPr>
            <w:tcW w:w="2520" w:type="dxa"/>
            <w:shd w:val="clear" w:color="auto" w:fill="auto"/>
          </w:tcPr>
          <w:p w14:paraId="6CDC8DD4" w14:textId="695512E9" w:rsidR="00773716" w:rsidRPr="002004D5" w:rsidRDefault="00B6355C" w:rsidP="001F4D18">
            <w:r w:rsidRPr="002004D5">
              <w:t>None</w:t>
            </w:r>
          </w:p>
        </w:tc>
        <w:tc>
          <w:tcPr>
            <w:tcW w:w="2880" w:type="dxa"/>
            <w:shd w:val="clear" w:color="auto" w:fill="auto"/>
          </w:tcPr>
          <w:p w14:paraId="6439E2F1" w14:textId="5AA9DDA6" w:rsidR="00773716" w:rsidRPr="002004D5" w:rsidRDefault="00E16BE1" w:rsidP="001F4D18">
            <w:r w:rsidRPr="002004D5">
              <w:t>None</w:t>
            </w:r>
          </w:p>
        </w:tc>
        <w:tc>
          <w:tcPr>
            <w:tcW w:w="4140" w:type="dxa"/>
            <w:shd w:val="clear" w:color="auto" w:fill="auto"/>
          </w:tcPr>
          <w:p w14:paraId="1BC42B2B" w14:textId="45B878A5" w:rsidR="00773716" w:rsidRPr="002004D5" w:rsidRDefault="00B6355C" w:rsidP="001F4D18">
            <w:r w:rsidRPr="002004D5">
              <w:t>None</w:t>
            </w:r>
          </w:p>
        </w:tc>
      </w:tr>
      <w:tr w:rsidR="00773716" w14:paraId="4CF04726" w14:textId="77777777" w:rsidTr="002004D5">
        <w:tc>
          <w:tcPr>
            <w:tcW w:w="3145" w:type="dxa"/>
            <w:shd w:val="clear" w:color="auto" w:fill="auto"/>
          </w:tcPr>
          <w:p w14:paraId="7FD752C6" w14:textId="77777777" w:rsidR="00773716" w:rsidRPr="002004D5" w:rsidRDefault="00773716" w:rsidP="001F4D18">
            <w:r w:rsidRPr="002004D5">
              <w:t>Pollution: Land-based nutrient pollution</w:t>
            </w:r>
          </w:p>
        </w:tc>
        <w:tc>
          <w:tcPr>
            <w:tcW w:w="2520" w:type="dxa"/>
            <w:shd w:val="clear" w:color="auto" w:fill="auto"/>
          </w:tcPr>
          <w:p w14:paraId="028F784F" w14:textId="5B3E2E0A" w:rsidR="00773716" w:rsidRPr="002004D5" w:rsidRDefault="00B60A41" w:rsidP="001F4D18">
            <w:r w:rsidRPr="002004D5">
              <w:t>None</w:t>
            </w:r>
          </w:p>
        </w:tc>
        <w:tc>
          <w:tcPr>
            <w:tcW w:w="2880" w:type="dxa"/>
            <w:shd w:val="clear" w:color="auto" w:fill="auto"/>
          </w:tcPr>
          <w:p w14:paraId="55072446" w14:textId="77777777" w:rsidR="00773716" w:rsidRPr="002004D5" w:rsidRDefault="00773716" w:rsidP="001F4D18">
            <w:r w:rsidRPr="002004D5">
              <w:t>None</w:t>
            </w:r>
          </w:p>
        </w:tc>
        <w:tc>
          <w:tcPr>
            <w:tcW w:w="4140" w:type="dxa"/>
            <w:shd w:val="clear" w:color="auto" w:fill="auto"/>
          </w:tcPr>
          <w:p w14:paraId="0E076667" w14:textId="6E4C8F1A" w:rsidR="00773716" w:rsidRPr="002004D5" w:rsidRDefault="00AC7142" w:rsidP="001F4D18">
            <w:r w:rsidRPr="002004D5">
              <w:t>None</w:t>
            </w:r>
          </w:p>
        </w:tc>
      </w:tr>
      <w:tr w:rsidR="00773716" w14:paraId="01716858" w14:textId="77777777" w:rsidTr="002004D5">
        <w:tc>
          <w:tcPr>
            <w:tcW w:w="3145" w:type="dxa"/>
            <w:shd w:val="clear" w:color="auto" w:fill="auto"/>
          </w:tcPr>
          <w:p w14:paraId="38E64C74" w14:textId="77777777" w:rsidR="00773716" w:rsidRPr="002004D5" w:rsidRDefault="00773716" w:rsidP="001F4D18">
            <w:r w:rsidRPr="002004D5">
              <w:t>Pollution: Chemical pollution</w:t>
            </w:r>
          </w:p>
        </w:tc>
        <w:tc>
          <w:tcPr>
            <w:tcW w:w="2520" w:type="dxa"/>
            <w:shd w:val="clear" w:color="auto" w:fill="auto"/>
          </w:tcPr>
          <w:p w14:paraId="760FDB33" w14:textId="2C434775" w:rsidR="00773716" w:rsidRPr="002004D5" w:rsidRDefault="00773716" w:rsidP="001F4D18">
            <w:r w:rsidRPr="002004D5">
              <w:t xml:space="preserve">Organic land-based: </w:t>
            </w:r>
            <w:r w:rsidR="00B60A41" w:rsidRPr="002004D5">
              <w:t>None</w:t>
            </w:r>
          </w:p>
          <w:p w14:paraId="5959244B" w14:textId="77777777" w:rsidR="00773716" w:rsidRPr="002004D5" w:rsidRDefault="00773716" w:rsidP="001F4D18"/>
          <w:p w14:paraId="4BD23952" w14:textId="77777777" w:rsidR="00773716" w:rsidRPr="002004D5" w:rsidRDefault="00773716" w:rsidP="001F4D18">
            <w:r w:rsidRPr="002004D5">
              <w:t>Shipping ports: None</w:t>
            </w:r>
          </w:p>
          <w:p w14:paraId="5AEDE417" w14:textId="77777777" w:rsidR="00773716" w:rsidRPr="002004D5" w:rsidRDefault="00773716" w:rsidP="001F4D18"/>
          <w:p w14:paraId="7354365F" w14:textId="015377E1" w:rsidR="00773716" w:rsidRPr="002004D5" w:rsidRDefault="00773716" w:rsidP="001F4D18">
            <w:r w:rsidRPr="002004D5">
              <w:t>Inorganic land</w:t>
            </w:r>
            <w:r w:rsidR="006C04EA" w:rsidRPr="002004D5">
              <w:t>-</w:t>
            </w:r>
            <w:r w:rsidRPr="002004D5">
              <w:t xml:space="preserve">based: None </w:t>
            </w:r>
          </w:p>
        </w:tc>
        <w:tc>
          <w:tcPr>
            <w:tcW w:w="2880" w:type="dxa"/>
            <w:shd w:val="clear" w:color="auto" w:fill="auto"/>
          </w:tcPr>
          <w:p w14:paraId="00B6C98F" w14:textId="77777777" w:rsidR="00773716" w:rsidRPr="002004D5" w:rsidRDefault="00773716" w:rsidP="001F4D18">
            <w:r w:rsidRPr="002004D5">
              <w:t>None</w:t>
            </w:r>
          </w:p>
        </w:tc>
        <w:tc>
          <w:tcPr>
            <w:tcW w:w="4140" w:type="dxa"/>
            <w:shd w:val="clear" w:color="auto" w:fill="auto"/>
          </w:tcPr>
          <w:p w14:paraId="7F5F2DEA" w14:textId="5AAB83FE" w:rsidR="00773716" w:rsidRPr="002004D5" w:rsidRDefault="00AC7142" w:rsidP="001F4D18">
            <w:r w:rsidRPr="002004D5">
              <w:t>None</w:t>
            </w:r>
          </w:p>
        </w:tc>
      </w:tr>
      <w:tr w:rsidR="00773716" w14:paraId="252FAA53" w14:textId="77777777" w:rsidTr="002004D5">
        <w:tc>
          <w:tcPr>
            <w:tcW w:w="3145" w:type="dxa"/>
            <w:shd w:val="clear" w:color="auto" w:fill="auto"/>
          </w:tcPr>
          <w:p w14:paraId="76BC9A0F" w14:textId="77777777" w:rsidR="00773716" w:rsidRPr="002004D5" w:rsidRDefault="00773716" w:rsidP="001F4D18">
            <w:r w:rsidRPr="002004D5">
              <w:t>Pollution: Trash</w:t>
            </w:r>
          </w:p>
        </w:tc>
        <w:tc>
          <w:tcPr>
            <w:tcW w:w="2520" w:type="dxa"/>
            <w:shd w:val="clear" w:color="auto" w:fill="auto"/>
          </w:tcPr>
          <w:p w14:paraId="3C6F2417" w14:textId="77777777" w:rsidR="00773716" w:rsidRPr="002004D5" w:rsidRDefault="00773716" w:rsidP="001F4D18">
            <w:r w:rsidRPr="002004D5">
              <w:t>None</w:t>
            </w:r>
          </w:p>
        </w:tc>
        <w:tc>
          <w:tcPr>
            <w:tcW w:w="2880" w:type="dxa"/>
            <w:shd w:val="clear" w:color="auto" w:fill="auto"/>
          </w:tcPr>
          <w:p w14:paraId="0EC8684A" w14:textId="77777777" w:rsidR="00773716" w:rsidRPr="002004D5" w:rsidRDefault="00773716" w:rsidP="001F4D18">
            <w:r w:rsidRPr="002004D5">
              <w:t>None</w:t>
            </w:r>
          </w:p>
        </w:tc>
        <w:tc>
          <w:tcPr>
            <w:tcW w:w="4140" w:type="dxa"/>
            <w:shd w:val="clear" w:color="auto" w:fill="auto"/>
          </w:tcPr>
          <w:p w14:paraId="3955A1DF" w14:textId="7FB4B31D" w:rsidR="00773716" w:rsidRPr="002004D5" w:rsidRDefault="00AC7142" w:rsidP="001F4D18">
            <w:r w:rsidRPr="002004D5">
              <w:t>None</w:t>
            </w:r>
          </w:p>
        </w:tc>
      </w:tr>
      <w:tr w:rsidR="00773716" w14:paraId="2BB232F2" w14:textId="77777777" w:rsidTr="002004D5">
        <w:tc>
          <w:tcPr>
            <w:tcW w:w="3145" w:type="dxa"/>
            <w:shd w:val="clear" w:color="auto" w:fill="auto"/>
          </w:tcPr>
          <w:p w14:paraId="30A6027A" w14:textId="77777777" w:rsidR="00773716" w:rsidRPr="002004D5" w:rsidRDefault="00773716" w:rsidP="001F4D18">
            <w:r w:rsidRPr="002004D5">
              <w:t>Pollution: Pathogens</w:t>
            </w:r>
          </w:p>
        </w:tc>
        <w:tc>
          <w:tcPr>
            <w:tcW w:w="2520" w:type="dxa"/>
            <w:shd w:val="clear" w:color="auto" w:fill="auto"/>
          </w:tcPr>
          <w:p w14:paraId="6BB9D15E" w14:textId="75B3733A" w:rsidR="00773716" w:rsidRPr="002004D5" w:rsidRDefault="00DC06DE" w:rsidP="001F4D18">
            <w:r w:rsidRPr="002004D5">
              <w:t>Additional 2 years of data</w:t>
            </w:r>
          </w:p>
        </w:tc>
        <w:tc>
          <w:tcPr>
            <w:tcW w:w="2880" w:type="dxa"/>
            <w:shd w:val="clear" w:color="auto" w:fill="auto"/>
          </w:tcPr>
          <w:p w14:paraId="52A1F530" w14:textId="00586D7D" w:rsidR="00773716" w:rsidRPr="002004D5" w:rsidRDefault="00773716" w:rsidP="001F4D18"/>
        </w:tc>
        <w:tc>
          <w:tcPr>
            <w:tcW w:w="4140" w:type="dxa"/>
            <w:shd w:val="clear" w:color="auto" w:fill="auto"/>
          </w:tcPr>
          <w:p w14:paraId="2A481DF6" w14:textId="3BAABD22" w:rsidR="00773716" w:rsidRPr="002004D5" w:rsidRDefault="004762D1" w:rsidP="001F4D18">
            <w:r w:rsidRPr="002004D5">
              <w:t>Small changes to pressures</w:t>
            </w:r>
          </w:p>
        </w:tc>
      </w:tr>
      <w:tr w:rsidR="00773716" w14:paraId="42DCEF80" w14:textId="77777777" w:rsidTr="002004D5">
        <w:tc>
          <w:tcPr>
            <w:tcW w:w="3145" w:type="dxa"/>
            <w:shd w:val="clear" w:color="auto" w:fill="auto"/>
          </w:tcPr>
          <w:p w14:paraId="6E5939D0" w14:textId="77777777" w:rsidR="00773716" w:rsidRPr="002004D5" w:rsidRDefault="00773716" w:rsidP="001F4D18">
            <w:r w:rsidRPr="002004D5">
              <w:t>Species: Genetic escapes</w:t>
            </w:r>
          </w:p>
        </w:tc>
        <w:tc>
          <w:tcPr>
            <w:tcW w:w="2520" w:type="dxa"/>
            <w:shd w:val="clear" w:color="auto" w:fill="auto"/>
          </w:tcPr>
          <w:p w14:paraId="700BE0D6" w14:textId="7731861A" w:rsidR="00773716" w:rsidRPr="002004D5" w:rsidRDefault="00773716" w:rsidP="004762D1">
            <w:r w:rsidRPr="002004D5">
              <w:t xml:space="preserve">Additional year </w:t>
            </w:r>
            <w:r w:rsidR="00006A6F" w:rsidRPr="002004D5">
              <w:t>mariculture data, no updates to probability of invasiveness (Tru</w:t>
            </w:r>
            <w:r w:rsidR="00F0726C" w:rsidRPr="002004D5">
              <w:t>j</w:t>
            </w:r>
            <w:r w:rsidR="00006A6F" w:rsidRPr="002004D5">
              <w:t>illo data)</w:t>
            </w:r>
          </w:p>
        </w:tc>
        <w:tc>
          <w:tcPr>
            <w:tcW w:w="2880" w:type="dxa"/>
            <w:shd w:val="clear" w:color="auto" w:fill="auto"/>
          </w:tcPr>
          <w:p w14:paraId="12BD70C0" w14:textId="5D9D95C9" w:rsidR="00773716" w:rsidRPr="002004D5" w:rsidRDefault="00B95FE0" w:rsidP="001F4D18">
            <w:r w:rsidRPr="002004D5">
              <w:t>None</w:t>
            </w:r>
          </w:p>
        </w:tc>
        <w:tc>
          <w:tcPr>
            <w:tcW w:w="4140" w:type="dxa"/>
            <w:shd w:val="clear" w:color="auto" w:fill="auto"/>
          </w:tcPr>
          <w:p w14:paraId="089B24BC" w14:textId="055B8A1F" w:rsidR="00773716" w:rsidRPr="002004D5" w:rsidRDefault="00B95FE0" w:rsidP="004762D1">
            <w:r w:rsidRPr="002004D5">
              <w:t>All changes to pressure scores &lt;2 due to changes to mariculture source data</w:t>
            </w:r>
          </w:p>
        </w:tc>
      </w:tr>
      <w:tr w:rsidR="00773716" w14:paraId="5EBE25A4" w14:textId="77777777" w:rsidTr="002004D5">
        <w:tc>
          <w:tcPr>
            <w:tcW w:w="3145" w:type="dxa"/>
            <w:shd w:val="clear" w:color="auto" w:fill="auto"/>
          </w:tcPr>
          <w:p w14:paraId="30DCEBF9" w14:textId="77777777" w:rsidR="00773716" w:rsidRPr="002004D5" w:rsidRDefault="00773716" w:rsidP="001F4D18">
            <w:r w:rsidRPr="002004D5">
              <w:t>Species: Targeted harvest</w:t>
            </w:r>
          </w:p>
        </w:tc>
        <w:tc>
          <w:tcPr>
            <w:tcW w:w="2520" w:type="dxa"/>
            <w:shd w:val="clear" w:color="auto" w:fill="auto"/>
          </w:tcPr>
          <w:p w14:paraId="26558D92" w14:textId="77777777" w:rsidR="00773716" w:rsidRPr="002004D5" w:rsidRDefault="00773716" w:rsidP="001F4D18">
            <w:r w:rsidRPr="002004D5">
              <w:t>Additional year data</w:t>
            </w:r>
          </w:p>
        </w:tc>
        <w:tc>
          <w:tcPr>
            <w:tcW w:w="2880" w:type="dxa"/>
            <w:shd w:val="clear" w:color="auto" w:fill="auto"/>
          </w:tcPr>
          <w:p w14:paraId="3B24D2E9" w14:textId="77777777" w:rsidR="00773716" w:rsidRPr="002004D5" w:rsidRDefault="00773716" w:rsidP="001F4D18">
            <w:r w:rsidRPr="002004D5">
              <w:t>None</w:t>
            </w:r>
          </w:p>
        </w:tc>
        <w:tc>
          <w:tcPr>
            <w:tcW w:w="4140" w:type="dxa"/>
            <w:shd w:val="clear" w:color="auto" w:fill="auto"/>
          </w:tcPr>
          <w:p w14:paraId="0EBC0951" w14:textId="23CE7D36" w:rsidR="00773716" w:rsidRPr="002004D5" w:rsidRDefault="0062639B" w:rsidP="004762D1">
            <w:r w:rsidRPr="002004D5">
              <w:t xml:space="preserve">Small changes to </w:t>
            </w:r>
            <w:r w:rsidR="004762D1" w:rsidRPr="002004D5">
              <w:t>pressure scores</w:t>
            </w:r>
            <w:r w:rsidRPr="002004D5">
              <w:t xml:space="preserve"> (</w:t>
            </w:r>
            <w:r w:rsidR="00B95FE0" w:rsidRPr="002004D5">
              <w:t>&lt;&lt;</w:t>
            </w:r>
            <w:r w:rsidRPr="002004D5">
              <w:t>&lt;</w:t>
            </w:r>
            <w:r w:rsidRPr="002004D5">
              <w:rPr>
                <w:rFonts w:cstheme="minorHAnsi"/>
              </w:rPr>
              <w:t>±</w:t>
            </w:r>
            <w:r w:rsidRPr="002004D5">
              <w:t xml:space="preserve"> </w:t>
            </w:r>
            <w:r w:rsidR="00B95FE0" w:rsidRPr="002004D5">
              <w:t>1</w:t>
            </w:r>
            <w:r w:rsidRPr="002004D5">
              <w:t xml:space="preserve">) due to changes in source </w:t>
            </w:r>
            <w:r w:rsidR="00B95FE0" w:rsidRPr="002004D5">
              <w:t>data</w:t>
            </w:r>
          </w:p>
        </w:tc>
      </w:tr>
      <w:tr w:rsidR="00773716" w14:paraId="11C967B3" w14:textId="77777777" w:rsidTr="002004D5">
        <w:tc>
          <w:tcPr>
            <w:tcW w:w="3145" w:type="dxa"/>
            <w:shd w:val="clear" w:color="auto" w:fill="auto"/>
          </w:tcPr>
          <w:p w14:paraId="3FB6EDC7" w14:textId="77777777" w:rsidR="00773716" w:rsidRPr="002004D5" w:rsidRDefault="00773716" w:rsidP="001F4D18">
            <w:r w:rsidRPr="002004D5">
              <w:t>Species: Invasive species</w:t>
            </w:r>
          </w:p>
        </w:tc>
        <w:tc>
          <w:tcPr>
            <w:tcW w:w="2520" w:type="dxa"/>
            <w:shd w:val="clear" w:color="auto" w:fill="auto"/>
          </w:tcPr>
          <w:p w14:paraId="67CCC607" w14:textId="77777777" w:rsidR="00773716" w:rsidRPr="002004D5" w:rsidRDefault="00773716" w:rsidP="001F4D18">
            <w:r w:rsidRPr="002004D5">
              <w:t>None</w:t>
            </w:r>
          </w:p>
        </w:tc>
        <w:tc>
          <w:tcPr>
            <w:tcW w:w="2880" w:type="dxa"/>
            <w:shd w:val="clear" w:color="auto" w:fill="auto"/>
          </w:tcPr>
          <w:p w14:paraId="35D5F979" w14:textId="77777777" w:rsidR="00773716" w:rsidRPr="002004D5" w:rsidRDefault="00773716" w:rsidP="001F4D18">
            <w:r w:rsidRPr="002004D5">
              <w:t>None</w:t>
            </w:r>
          </w:p>
        </w:tc>
        <w:tc>
          <w:tcPr>
            <w:tcW w:w="4140" w:type="dxa"/>
            <w:shd w:val="clear" w:color="auto" w:fill="auto"/>
          </w:tcPr>
          <w:p w14:paraId="6CD06541" w14:textId="3B8F0EF5" w:rsidR="00773716" w:rsidRPr="002004D5" w:rsidRDefault="00B95FE0" w:rsidP="001F4D18">
            <w:r w:rsidRPr="002004D5">
              <w:t>None</w:t>
            </w:r>
          </w:p>
        </w:tc>
      </w:tr>
      <w:tr w:rsidR="00773716" w14:paraId="0B08BC22" w14:textId="77777777" w:rsidTr="00F345DF">
        <w:tc>
          <w:tcPr>
            <w:tcW w:w="3145" w:type="dxa"/>
          </w:tcPr>
          <w:p w14:paraId="769C05E1" w14:textId="77777777" w:rsidR="00773716" w:rsidRDefault="00773716" w:rsidP="001F4D18">
            <w:r>
              <w:lastRenderedPageBreak/>
              <w:t>Commercial fisheries: high bycatch</w:t>
            </w:r>
          </w:p>
          <w:p w14:paraId="5A9A905B" w14:textId="39DB2823" w:rsidR="00773716" w:rsidRDefault="00773716" w:rsidP="001F4D18"/>
        </w:tc>
        <w:tc>
          <w:tcPr>
            <w:tcW w:w="2520" w:type="dxa"/>
          </w:tcPr>
          <w:p w14:paraId="24025B4A" w14:textId="31D6E00C" w:rsidR="00773716" w:rsidRDefault="00B60A41" w:rsidP="00B60A41">
            <w:r>
              <w:t>Catch</w:t>
            </w:r>
            <w:r w:rsidR="0062639B">
              <w:t>:</w:t>
            </w:r>
            <w:r>
              <w:t xml:space="preserve"> </w:t>
            </w:r>
            <w:r w:rsidR="00AC7142">
              <w:t>Updates to Watson data, but no additional year of data</w:t>
            </w:r>
          </w:p>
          <w:p w14:paraId="0974F9CE" w14:textId="77777777" w:rsidR="00B60A41" w:rsidRDefault="00B60A41" w:rsidP="00B60A41"/>
          <w:p w14:paraId="76A0EA91" w14:textId="1BA62F21" w:rsidR="00B60A41" w:rsidRDefault="00B60A41" w:rsidP="00B60A41">
            <w:r>
              <w:t xml:space="preserve">NPP: </w:t>
            </w:r>
            <w:r w:rsidR="00AC7142">
              <w:t>None</w:t>
            </w:r>
          </w:p>
        </w:tc>
        <w:tc>
          <w:tcPr>
            <w:tcW w:w="2880" w:type="dxa"/>
          </w:tcPr>
          <w:p w14:paraId="1653B204" w14:textId="5245DC5F" w:rsidR="00773716" w:rsidRDefault="00F70DD0" w:rsidP="00AE5260">
            <w:r>
              <w:t>None</w:t>
            </w:r>
          </w:p>
        </w:tc>
        <w:tc>
          <w:tcPr>
            <w:tcW w:w="4140" w:type="dxa"/>
          </w:tcPr>
          <w:p w14:paraId="23E10850" w14:textId="45EF333D" w:rsidR="00773716" w:rsidRDefault="00E4455B" w:rsidP="001F4D18">
            <w:r>
              <w:t xml:space="preserve"> </w:t>
            </w:r>
            <w:r w:rsidR="00F70DD0">
              <w:t>Small changes</w:t>
            </w:r>
          </w:p>
        </w:tc>
      </w:tr>
      <w:tr w:rsidR="00773716" w14:paraId="411300FB" w14:textId="77777777" w:rsidTr="00F345DF">
        <w:tc>
          <w:tcPr>
            <w:tcW w:w="3145" w:type="dxa"/>
          </w:tcPr>
          <w:p w14:paraId="75CEAD4A" w14:textId="3C5400C2" w:rsidR="00773716" w:rsidRDefault="00773716" w:rsidP="001F4D18">
            <w:r>
              <w:t>Commercial fisheries: low bycatch</w:t>
            </w:r>
          </w:p>
        </w:tc>
        <w:tc>
          <w:tcPr>
            <w:tcW w:w="2520" w:type="dxa"/>
          </w:tcPr>
          <w:p w14:paraId="31F5BB9D" w14:textId="77777777" w:rsidR="00AC7142" w:rsidRDefault="00AC7142" w:rsidP="00AC7142">
            <w:r>
              <w:t>Catch: Updates to Watson data, but no additional year of data</w:t>
            </w:r>
          </w:p>
          <w:p w14:paraId="3B2B460F" w14:textId="77777777" w:rsidR="00AC7142" w:rsidRDefault="00AC7142" w:rsidP="00AC7142"/>
          <w:p w14:paraId="14DAD69D" w14:textId="062B86FE" w:rsidR="00B60A41" w:rsidRDefault="00AC7142" w:rsidP="00AC7142">
            <w:r>
              <w:t>NPP: None</w:t>
            </w:r>
          </w:p>
        </w:tc>
        <w:tc>
          <w:tcPr>
            <w:tcW w:w="2880" w:type="dxa"/>
          </w:tcPr>
          <w:p w14:paraId="2A67F9B6" w14:textId="35BC8323" w:rsidR="00773716" w:rsidRDefault="00F70DD0" w:rsidP="002B23CA">
            <w:r>
              <w:t>None</w:t>
            </w:r>
          </w:p>
        </w:tc>
        <w:tc>
          <w:tcPr>
            <w:tcW w:w="4140" w:type="dxa"/>
          </w:tcPr>
          <w:p w14:paraId="71E38931" w14:textId="45C3B0B2" w:rsidR="00773716" w:rsidRDefault="00E4455B" w:rsidP="001F4D18">
            <w:r>
              <w:t xml:space="preserve"> </w:t>
            </w:r>
            <w:r w:rsidR="00F70DD0">
              <w:t>Small changes</w:t>
            </w:r>
          </w:p>
        </w:tc>
      </w:tr>
      <w:tr w:rsidR="00773716" w14:paraId="63DC368E" w14:textId="77777777" w:rsidTr="00F345DF">
        <w:tc>
          <w:tcPr>
            <w:tcW w:w="3145" w:type="dxa"/>
          </w:tcPr>
          <w:p w14:paraId="18233C6D" w14:textId="09931D19" w:rsidR="00773716" w:rsidRDefault="00773716" w:rsidP="001F4D18">
            <w:r>
              <w:t>Artisanal fisheries: low bycatch</w:t>
            </w:r>
          </w:p>
        </w:tc>
        <w:tc>
          <w:tcPr>
            <w:tcW w:w="2520" w:type="dxa"/>
          </w:tcPr>
          <w:p w14:paraId="79FFC069" w14:textId="77777777" w:rsidR="00AC7142" w:rsidRDefault="00AC7142" w:rsidP="00AC7142">
            <w:r>
              <w:t>Catch: Updates to Watson data, but no additional year of data</w:t>
            </w:r>
          </w:p>
          <w:p w14:paraId="63856F3C" w14:textId="77777777" w:rsidR="00AC7142" w:rsidRDefault="00AC7142" w:rsidP="00AC7142"/>
          <w:p w14:paraId="1AD1D2AE" w14:textId="11092AA4" w:rsidR="00B60A41" w:rsidRDefault="00AC7142" w:rsidP="00AC7142">
            <w:r>
              <w:t>NPP: None</w:t>
            </w:r>
          </w:p>
        </w:tc>
        <w:tc>
          <w:tcPr>
            <w:tcW w:w="2880" w:type="dxa"/>
          </w:tcPr>
          <w:p w14:paraId="7E8C0FB6" w14:textId="5D01AF41" w:rsidR="00773716" w:rsidRDefault="00F70DD0" w:rsidP="00AE5260">
            <w:r>
              <w:t>None</w:t>
            </w:r>
          </w:p>
        </w:tc>
        <w:tc>
          <w:tcPr>
            <w:tcW w:w="4140" w:type="dxa"/>
          </w:tcPr>
          <w:p w14:paraId="5E43A34A" w14:textId="7F5E78AC" w:rsidR="00773716" w:rsidRDefault="00F70DD0" w:rsidP="001F4D18">
            <w:r>
              <w:t>Small changes</w:t>
            </w:r>
          </w:p>
        </w:tc>
      </w:tr>
      <w:tr w:rsidR="00773716" w14:paraId="0B31739E" w14:textId="77777777" w:rsidTr="00F345DF">
        <w:tc>
          <w:tcPr>
            <w:tcW w:w="3145" w:type="dxa"/>
          </w:tcPr>
          <w:p w14:paraId="5180387A" w14:textId="306E155A" w:rsidR="00773716" w:rsidRDefault="00773716" w:rsidP="001F4D18">
            <w:r>
              <w:t xml:space="preserve">Artisanal fisheries: high bycatch </w:t>
            </w:r>
          </w:p>
        </w:tc>
        <w:tc>
          <w:tcPr>
            <w:tcW w:w="2520" w:type="dxa"/>
          </w:tcPr>
          <w:p w14:paraId="791E5DDA" w14:textId="77777777" w:rsidR="00AC7142" w:rsidRDefault="00AC7142" w:rsidP="00AC7142">
            <w:r>
              <w:t>Catch: Updates to Watson data, but no additional year of data</w:t>
            </w:r>
          </w:p>
          <w:p w14:paraId="1D0368C9" w14:textId="77777777" w:rsidR="00AC7142" w:rsidRDefault="00AC7142" w:rsidP="00AC7142"/>
          <w:p w14:paraId="3F03925D" w14:textId="26D7B2C6" w:rsidR="00F65A5A" w:rsidRDefault="00AC7142" w:rsidP="00AC7142">
            <w:r>
              <w:t>NPP: None</w:t>
            </w:r>
          </w:p>
        </w:tc>
        <w:tc>
          <w:tcPr>
            <w:tcW w:w="2880" w:type="dxa"/>
          </w:tcPr>
          <w:p w14:paraId="0DC2D7E6" w14:textId="12DCFCD4" w:rsidR="00773716" w:rsidRDefault="00F70DD0" w:rsidP="00F65A5A">
            <w:r>
              <w:t>None</w:t>
            </w:r>
          </w:p>
        </w:tc>
        <w:tc>
          <w:tcPr>
            <w:tcW w:w="4140" w:type="dxa"/>
          </w:tcPr>
          <w:p w14:paraId="06E1456F" w14:textId="664860C8" w:rsidR="00773716" w:rsidRDefault="00F70DD0" w:rsidP="001F4D18">
            <w:r>
              <w:t>Small changes</w:t>
            </w:r>
          </w:p>
        </w:tc>
      </w:tr>
      <w:tr w:rsidR="00773716" w14:paraId="20FAF91D" w14:textId="77777777" w:rsidTr="00F345DF">
        <w:tc>
          <w:tcPr>
            <w:tcW w:w="3145" w:type="dxa"/>
          </w:tcPr>
          <w:p w14:paraId="757F5822" w14:textId="3CAB8889" w:rsidR="00773716" w:rsidRDefault="00773716" w:rsidP="00B60A41">
            <w:r>
              <w:t>Habitat destruction: soft-bottom subtidal</w:t>
            </w:r>
          </w:p>
        </w:tc>
        <w:tc>
          <w:tcPr>
            <w:tcW w:w="2520" w:type="dxa"/>
          </w:tcPr>
          <w:p w14:paraId="5253022B" w14:textId="77777777" w:rsidR="00F86710" w:rsidRDefault="00F86710" w:rsidP="00F86710">
            <w:r>
              <w:t>Catch: Updates to Watson data, but no additional year of data</w:t>
            </w:r>
          </w:p>
          <w:p w14:paraId="55870396" w14:textId="77777777" w:rsidR="00F86710" w:rsidRDefault="00F86710" w:rsidP="00F86710"/>
          <w:p w14:paraId="3164F848" w14:textId="48099D41" w:rsidR="00773716" w:rsidRDefault="00F86710" w:rsidP="00F86710">
            <w:r>
              <w:t xml:space="preserve">NPP: None </w:t>
            </w:r>
          </w:p>
        </w:tc>
        <w:tc>
          <w:tcPr>
            <w:tcW w:w="2880" w:type="dxa"/>
          </w:tcPr>
          <w:p w14:paraId="0995AA2A" w14:textId="16E8597B" w:rsidR="00773716" w:rsidRDefault="00F70DD0" w:rsidP="00B60A41">
            <w:r>
              <w:t>None</w:t>
            </w:r>
          </w:p>
        </w:tc>
        <w:tc>
          <w:tcPr>
            <w:tcW w:w="4140" w:type="dxa"/>
          </w:tcPr>
          <w:p w14:paraId="4DADD616" w14:textId="01B5D411" w:rsidR="00773716" w:rsidRDefault="00F70DD0" w:rsidP="0062639B">
            <w:r>
              <w:t>Small changes</w:t>
            </w:r>
          </w:p>
        </w:tc>
      </w:tr>
      <w:tr w:rsidR="00773716" w14:paraId="1EA3E2B3" w14:textId="77777777" w:rsidTr="00F345DF">
        <w:tc>
          <w:tcPr>
            <w:tcW w:w="3145" w:type="dxa"/>
          </w:tcPr>
          <w:p w14:paraId="57338F52" w14:textId="77777777" w:rsidR="00773716" w:rsidRPr="002004D5" w:rsidRDefault="00773716" w:rsidP="001F4D18">
            <w:r w:rsidRPr="002004D5">
              <w:t>Habitat destruction:</w:t>
            </w:r>
          </w:p>
          <w:p w14:paraId="6A4A1058" w14:textId="78FA4A05" w:rsidR="00773716" w:rsidRPr="002004D5" w:rsidRDefault="00773716" w:rsidP="001F4D18">
            <w:r w:rsidRPr="002004D5">
              <w:t>Intertidal (nearshore population used as proxy)</w:t>
            </w:r>
          </w:p>
        </w:tc>
        <w:tc>
          <w:tcPr>
            <w:tcW w:w="2520" w:type="dxa"/>
          </w:tcPr>
          <w:p w14:paraId="78361A7B" w14:textId="37982DEE" w:rsidR="00995860" w:rsidRPr="002004D5" w:rsidRDefault="00B60A41" w:rsidP="00995860">
            <w:r w:rsidRPr="002004D5">
              <w:t>Additional year of data</w:t>
            </w:r>
            <w:r w:rsidR="00C06B7D" w:rsidRPr="002004D5">
              <w:t xml:space="preserve"> </w:t>
            </w:r>
          </w:p>
          <w:p w14:paraId="3661EF63" w14:textId="15865033" w:rsidR="00B60A41" w:rsidRPr="002004D5" w:rsidRDefault="00B60A41" w:rsidP="001F4D18"/>
        </w:tc>
        <w:tc>
          <w:tcPr>
            <w:tcW w:w="2880" w:type="dxa"/>
          </w:tcPr>
          <w:p w14:paraId="47B76F0A" w14:textId="7D257A42" w:rsidR="00773716" w:rsidRPr="002004D5" w:rsidRDefault="00C52047" w:rsidP="001F4D18">
            <w:r w:rsidRPr="002004D5">
              <w:t>Correction to our coastal spatial file (some coastline was not showing up)</w:t>
            </w:r>
          </w:p>
        </w:tc>
        <w:tc>
          <w:tcPr>
            <w:tcW w:w="4140" w:type="dxa"/>
          </w:tcPr>
          <w:p w14:paraId="632BB3F6" w14:textId="379549DF" w:rsidR="00773716" w:rsidRPr="002004D5" w:rsidRDefault="00B95FE0" w:rsidP="001F4D18">
            <w:r w:rsidRPr="002004D5">
              <w:t>Most pressure scores decreased due to changes in source data, but in nearly all cases change was &lt;2 points.</w:t>
            </w:r>
            <w:r w:rsidR="00C52047" w:rsidRPr="002004D5">
              <w:t xml:space="preserve">  The one larger change was due to improvements to our coastal raster file.</w:t>
            </w:r>
          </w:p>
        </w:tc>
      </w:tr>
      <w:tr w:rsidR="00773716" w14:paraId="72315682" w14:textId="77777777" w:rsidTr="00F345DF">
        <w:tc>
          <w:tcPr>
            <w:tcW w:w="3145" w:type="dxa"/>
          </w:tcPr>
          <w:p w14:paraId="103CA9F3" w14:textId="4EA2EAC7" w:rsidR="00773716" w:rsidRPr="002004D5" w:rsidRDefault="00773716" w:rsidP="001F4D18">
            <w:r w:rsidRPr="002004D5">
              <w:t>Habitat destruction: subtidal hard-bottom</w:t>
            </w:r>
          </w:p>
        </w:tc>
        <w:tc>
          <w:tcPr>
            <w:tcW w:w="2520" w:type="dxa"/>
          </w:tcPr>
          <w:p w14:paraId="0250763F" w14:textId="77777777" w:rsidR="00773716" w:rsidRPr="002004D5" w:rsidRDefault="00773716" w:rsidP="001F4D18">
            <w:r w:rsidRPr="002004D5">
              <w:t>None</w:t>
            </w:r>
          </w:p>
        </w:tc>
        <w:tc>
          <w:tcPr>
            <w:tcW w:w="2880" w:type="dxa"/>
          </w:tcPr>
          <w:p w14:paraId="63D4ED61" w14:textId="77777777" w:rsidR="00773716" w:rsidRPr="002004D5" w:rsidRDefault="00773716" w:rsidP="001F4D18">
            <w:r w:rsidRPr="002004D5">
              <w:t>None</w:t>
            </w:r>
          </w:p>
        </w:tc>
        <w:tc>
          <w:tcPr>
            <w:tcW w:w="4140" w:type="dxa"/>
          </w:tcPr>
          <w:p w14:paraId="7AA39FAB" w14:textId="5465693E" w:rsidR="00773716" w:rsidRPr="002004D5" w:rsidRDefault="00B95FE0" w:rsidP="001F4D18">
            <w:r w:rsidRPr="002004D5">
              <w:t>None</w:t>
            </w:r>
          </w:p>
        </w:tc>
      </w:tr>
    </w:tbl>
    <w:p w14:paraId="69D0AEF0" w14:textId="76EC53A8" w:rsidR="00773716" w:rsidRDefault="00773716" w:rsidP="00773716"/>
    <w:p w14:paraId="2511EB66" w14:textId="50156274" w:rsidR="00FD7FE8" w:rsidRDefault="004762D1" w:rsidP="00FD7FE8">
      <w:r w:rsidRPr="004762D1">
        <w:rPr>
          <w:b/>
        </w:rPr>
        <w:lastRenderedPageBreak/>
        <w:t>Table 3</w:t>
      </w:r>
      <w:r w:rsidR="00FD7FE8" w:rsidRPr="004762D1">
        <w:rPr>
          <w:b/>
        </w:rPr>
        <w:t xml:space="preserve"> </w:t>
      </w:r>
      <w:r w:rsidRPr="004762D1">
        <w:rPr>
          <w:b/>
        </w:rPr>
        <w:t>Resilience:</w:t>
      </w:r>
      <w:r>
        <w:t xml:space="preserve"> </w:t>
      </w:r>
      <w:r w:rsidR="00FD7FE8">
        <w:t>Description of updates to data and methods.</w:t>
      </w:r>
    </w:p>
    <w:tbl>
      <w:tblPr>
        <w:tblStyle w:val="TableGrid"/>
        <w:tblW w:w="0" w:type="auto"/>
        <w:tblLook w:val="04A0" w:firstRow="1" w:lastRow="0" w:firstColumn="1" w:lastColumn="0" w:noHBand="0" w:noVBand="1"/>
      </w:tblPr>
      <w:tblGrid>
        <w:gridCol w:w="3145"/>
        <w:gridCol w:w="2520"/>
        <w:gridCol w:w="2880"/>
        <w:gridCol w:w="4140"/>
      </w:tblGrid>
      <w:tr w:rsidR="00FD7FE8" w14:paraId="269E7FEB" w14:textId="77777777" w:rsidTr="001F4D18">
        <w:tc>
          <w:tcPr>
            <w:tcW w:w="3145" w:type="dxa"/>
          </w:tcPr>
          <w:p w14:paraId="3B805F6D" w14:textId="5785B405" w:rsidR="00FD7FE8" w:rsidRPr="004D0249" w:rsidRDefault="00D72497" w:rsidP="001F4D18">
            <w:pPr>
              <w:rPr>
                <w:b/>
              </w:rPr>
            </w:pPr>
            <w:r>
              <w:rPr>
                <w:b/>
              </w:rPr>
              <w:t>Resilience</w:t>
            </w:r>
          </w:p>
        </w:tc>
        <w:tc>
          <w:tcPr>
            <w:tcW w:w="2520" w:type="dxa"/>
          </w:tcPr>
          <w:p w14:paraId="46D9BB5A" w14:textId="77777777" w:rsidR="00FD7FE8" w:rsidRPr="004D0249" w:rsidRDefault="00FD7FE8" w:rsidP="001F4D18">
            <w:pPr>
              <w:rPr>
                <w:b/>
              </w:rPr>
            </w:pPr>
            <w:r w:rsidRPr="004D0249">
              <w:rPr>
                <w:b/>
              </w:rPr>
              <w:t>Updates to data</w:t>
            </w:r>
          </w:p>
        </w:tc>
        <w:tc>
          <w:tcPr>
            <w:tcW w:w="2880" w:type="dxa"/>
          </w:tcPr>
          <w:p w14:paraId="29F554F9" w14:textId="77777777" w:rsidR="00FD7FE8" w:rsidRPr="004D0249" w:rsidRDefault="00FD7FE8" w:rsidP="001F4D18">
            <w:pPr>
              <w:rPr>
                <w:b/>
              </w:rPr>
            </w:pPr>
            <w:r w:rsidRPr="004D0249">
              <w:rPr>
                <w:b/>
              </w:rPr>
              <w:t>Updates to data preparation or model</w:t>
            </w:r>
          </w:p>
        </w:tc>
        <w:tc>
          <w:tcPr>
            <w:tcW w:w="4140" w:type="dxa"/>
          </w:tcPr>
          <w:p w14:paraId="43C98FCD" w14:textId="77777777" w:rsidR="00FD7FE8" w:rsidRPr="004D0249" w:rsidRDefault="00FD7FE8" w:rsidP="001F4D18">
            <w:pPr>
              <w:rPr>
                <w:b/>
              </w:rPr>
            </w:pPr>
            <w:r w:rsidRPr="004D0249">
              <w:rPr>
                <w:b/>
              </w:rPr>
              <w:t>Notes</w:t>
            </w:r>
          </w:p>
        </w:tc>
      </w:tr>
      <w:tr w:rsidR="00FD7FE8" w14:paraId="17A14ECE" w14:textId="77777777" w:rsidTr="001F4D18">
        <w:tc>
          <w:tcPr>
            <w:tcW w:w="3145" w:type="dxa"/>
          </w:tcPr>
          <w:p w14:paraId="299E290C" w14:textId="7C085F91" w:rsidR="00FD7FE8" w:rsidRPr="002004D5" w:rsidRDefault="00FD7FE8" w:rsidP="001F4D18">
            <w:r w:rsidRPr="002004D5">
              <w:t>Coastal marine protected areas (3nm and eez)</w:t>
            </w:r>
          </w:p>
        </w:tc>
        <w:tc>
          <w:tcPr>
            <w:tcW w:w="2520" w:type="dxa"/>
          </w:tcPr>
          <w:p w14:paraId="3399808F" w14:textId="77777777" w:rsidR="00FD7FE8" w:rsidRPr="002004D5" w:rsidRDefault="00FD7FE8" w:rsidP="001F4D18">
            <w:r w:rsidRPr="002004D5">
              <w:t>Additional year of data</w:t>
            </w:r>
          </w:p>
        </w:tc>
        <w:tc>
          <w:tcPr>
            <w:tcW w:w="2880" w:type="dxa"/>
          </w:tcPr>
          <w:p w14:paraId="22E5C791" w14:textId="77777777" w:rsidR="00FD7FE8" w:rsidRPr="002004D5" w:rsidRDefault="00FD7FE8" w:rsidP="001F4D18">
            <w:r w:rsidRPr="002004D5">
              <w:t>None</w:t>
            </w:r>
          </w:p>
        </w:tc>
        <w:tc>
          <w:tcPr>
            <w:tcW w:w="4140" w:type="dxa"/>
          </w:tcPr>
          <w:p w14:paraId="6425C271" w14:textId="239EFD20" w:rsidR="00FD7FE8" w:rsidRPr="002004D5" w:rsidRDefault="00AC7142" w:rsidP="001F4D18">
            <w:r w:rsidRPr="002004D5">
              <w:t>Changes to source data had small effects on resilience scores of most goals, although change in resilience was &gt;5 and &lt;15 for a couple regions/goals.</w:t>
            </w:r>
          </w:p>
        </w:tc>
      </w:tr>
      <w:tr w:rsidR="00FD7FE8" w14:paraId="7D41E034" w14:textId="77777777" w:rsidTr="001F4D18">
        <w:tc>
          <w:tcPr>
            <w:tcW w:w="3145" w:type="dxa"/>
          </w:tcPr>
          <w:p w14:paraId="225901F0" w14:textId="09A6E29E" w:rsidR="00FD7FE8" w:rsidRPr="002004D5" w:rsidRDefault="00FD7FE8" w:rsidP="001F4D18">
            <w:r w:rsidRPr="002004D5">
              <w:t xml:space="preserve">Species condition (3nm and eez) </w:t>
            </w:r>
          </w:p>
        </w:tc>
        <w:tc>
          <w:tcPr>
            <w:tcW w:w="2520" w:type="dxa"/>
          </w:tcPr>
          <w:p w14:paraId="4BAC2A81" w14:textId="6D229362" w:rsidR="00FD7FE8" w:rsidRPr="002004D5" w:rsidRDefault="00FD7FE8" w:rsidP="00FD7FE8">
            <w:r w:rsidRPr="002004D5">
              <w:t>Additional year of data</w:t>
            </w:r>
          </w:p>
        </w:tc>
        <w:tc>
          <w:tcPr>
            <w:tcW w:w="2880" w:type="dxa"/>
          </w:tcPr>
          <w:p w14:paraId="26E77A4C" w14:textId="2021BBC2" w:rsidR="00FD7FE8" w:rsidRPr="002004D5" w:rsidRDefault="00B95FE0" w:rsidP="001F4D18">
            <w:r w:rsidRPr="002004D5">
              <w:t>None</w:t>
            </w:r>
          </w:p>
        </w:tc>
        <w:tc>
          <w:tcPr>
            <w:tcW w:w="4140" w:type="dxa"/>
          </w:tcPr>
          <w:p w14:paraId="194B6A83" w14:textId="01243456" w:rsidR="00FD7FE8" w:rsidRPr="002004D5" w:rsidRDefault="003A4A27" w:rsidP="001F4D18">
            <w:r w:rsidRPr="002004D5">
              <w:t xml:space="preserve">Changes to </w:t>
            </w:r>
            <w:r w:rsidR="00B95FE0" w:rsidRPr="002004D5">
              <w:t>source data</w:t>
            </w:r>
            <w:r w:rsidRPr="002004D5">
              <w:t xml:space="preserve"> cause</w:t>
            </w:r>
            <w:r w:rsidR="00B95FE0" w:rsidRPr="002004D5">
              <w:t>d</w:t>
            </w:r>
            <w:r w:rsidRPr="002004D5">
              <w:t xml:space="preserve"> </w:t>
            </w:r>
            <w:r w:rsidR="00B95FE0" w:rsidRPr="002004D5">
              <w:t xml:space="preserve">small increases in </w:t>
            </w:r>
            <w:r w:rsidRPr="002004D5">
              <w:t xml:space="preserve">resilience scores </w:t>
            </w:r>
            <w:r w:rsidR="00B95FE0" w:rsidRPr="002004D5">
              <w:t>in most cases (typically &lt;1).</w:t>
            </w:r>
          </w:p>
        </w:tc>
      </w:tr>
      <w:tr w:rsidR="00FD7FE8" w14:paraId="435CEE6E" w14:textId="77777777" w:rsidTr="001F4D18">
        <w:tc>
          <w:tcPr>
            <w:tcW w:w="3145" w:type="dxa"/>
          </w:tcPr>
          <w:p w14:paraId="55B76BC0" w14:textId="5DDDCF0A" w:rsidR="00FD7FE8" w:rsidRPr="002004D5" w:rsidRDefault="00FD7FE8" w:rsidP="001F4D18">
            <w:r w:rsidRPr="002004D5">
              <w:t>CITES signatories</w:t>
            </w:r>
          </w:p>
        </w:tc>
        <w:tc>
          <w:tcPr>
            <w:tcW w:w="2520" w:type="dxa"/>
          </w:tcPr>
          <w:p w14:paraId="78AD796A" w14:textId="6FB7FAB6" w:rsidR="00FD7FE8" w:rsidRPr="002004D5" w:rsidRDefault="003A4A27" w:rsidP="001F4D18">
            <w:r w:rsidRPr="002004D5">
              <w:t>No</w:t>
            </w:r>
            <w:r w:rsidR="00AC7142" w:rsidRPr="002004D5">
              <w:t>ne</w:t>
            </w:r>
          </w:p>
        </w:tc>
        <w:tc>
          <w:tcPr>
            <w:tcW w:w="2880" w:type="dxa"/>
          </w:tcPr>
          <w:p w14:paraId="3217E174" w14:textId="4C3E390E" w:rsidR="00FD7FE8" w:rsidRPr="002004D5" w:rsidRDefault="003A4A27" w:rsidP="001F4D18">
            <w:r w:rsidRPr="002004D5">
              <w:t>None</w:t>
            </w:r>
          </w:p>
        </w:tc>
        <w:tc>
          <w:tcPr>
            <w:tcW w:w="4140" w:type="dxa"/>
          </w:tcPr>
          <w:p w14:paraId="5930E20D" w14:textId="536CC88F" w:rsidR="00FD7FE8" w:rsidRPr="002004D5" w:rsidRDefault="00AC7142" w:rsidP="001F4D18">
            <w:r w:rsidRPr="002004D5">
              <w:t>None</w:t>
            </w:r>
          </w:p>
        </w:tc>
      </w:tr>
      <w:tr w:rsidR="00FD7FE8" w14:paraId="6B80997E" w14:textId="77777777" w:rsidTr="001F4D18">
        <w:tc>
          <w:tcPr>
            <w:tcW w:w="3145" w:type="dxa"/>
          </w:tcPr>
          <w:p w14:paraId="5F33C667" w14:textId="22C36D65" w:rsidR="00FD7FE8" w:rsidRPr="002004D5" w:rsidRDefault="00FD7FE8" w:rsidP="001F4D18">
            <w:r w:rsidRPr="002004D5">
              <w:t>Social Progress Index</w:t>
            </w:r>
          </w:p>
        </w:tc>
        <w:tc>
          <w:tcPr>
            <w:tcW w:w="2520" w:type="dxa"/>
          </w:tcPr>
          <w:p w14:paraId="604F5274" w14:textId="0C6A7ADF" w:rsidR="00FD7FE8" w:rsidRPr="002004D5" w:rsidRDefault="002004D5" w:rsidP="003A4A27">
            <w:r>
              <w:t>Additional year of data</w:t>
            </w:r>
          </w:p>
        </w:tc>
        <w:tc>
          <w:tcPr>
            <w:tcW w:w="2880" w:type="dxa"/>
          </w:tcPr>
          <w:p w14:paraId="5E1B21B4" w14:textId="63A132A6" w:rsidR="00FD7FE8" w:rsidRPr="002004D5" w:rsidRDefault="002004D5" w:rsidP="001F4D18">
            <w:r>
              <w:t>None</w:t>
            </w:r>
          </w:p>
        </w:tc>
        <w:tc>
          <w:tcPr>
            <w:tcW w:w="4140" w:type="dxa"/>
          </w:tcPr>
          <w:p w14:paraId="51E8D001" w14:textId="2A69E394" w:rsidR="00E06211" w:rsidRPr="002004D5" w:rsidRDefault="00436FFF" w:rsidP="004762D1">
            <w:r>
              <w:t>None</w:t>
            </w:r>
          </w:p>
        </w:tc>
      </w:tr>
      <w:tr w:rsidR="00FD7FE8" w14:paraId="1CC0ADF4" w14:textId="77777777" w:rsidTr="001F4D18">
        <w:tc>
          <w:tcPr>
            <w:tcW w:w="3145" w:type="dxa"/>
          </w:tcPr>
          <w:p w14:paraId="3F8D5C87" w14:textId="7285EDDB" w:rsidR="00FD7FE8" w:rsidRPr="002004D5" w:rsidRDefault="00FD7FE8" w:rsidP="001F4D18">
            <w:r w:rsidRPr="002004D5">
              <w:t>World Governance Indicators</w:t>
            </w:r>
          </w:p>
        </w:tc>
        <w:tc>
          <w:tcPr>
            <w:tcW w:w="2520" w:type="dxa"/>
          </w:tcPr>
          <w:p w14:paraId="2D23744C" w14:textId="0144EBB4" w:rsidR="00FD7FE8" w:rsidRPr="002004D5" w:rsidRDefault="00FD7FE8" w:rsidP="001F4D18">
            <w:r w:rsidRPr="002004D5">
              <w:t>Additional year of data</w:t>
            </w:r>
          </w:p>
        </w:tc>
        <w:tc>
          <w:tcPr>
            <w:tcW w:w="2880" w:type="dxa"/>
          </w:tcPr>
          <w:p w14:paraId="44314580" w14:textId="77777777" w:rsidR="00FD7FE8" w:rsidRPr="002004D5" w:rsidRDefault="00FD7FE8" w:rsidP="001F4D18">
            <w:r w:rsidRPr="002004D5">
              <w:t>None</w:t>
            </w:r>
          </w:p>
        </w:tc>
        <w:tc>
          <w:tcPr>
            <w:tcW w:w="4140" w:type="dxa"/>
          </w:tcPr>
          <w:p w14:paraId="31441AB0" w14:textId="2CBE9484" w:rsidR="003A4A27" w:rsidRPr="002004D5" w:rsidRDefault="003A4A27" w:rsidP="004762D1">
            <w:r w:rsidRPr="002004D5">
              <w:t xml:space="preserve">Updates to source data </w:t>
            </w:r>
            <w:r w:rsidR="004762D1" w:rsidRPr="002004D5">
              <w:t>resulted in c</w:t>
            </w:r>
            <w:r w:rsidRPr="002004D5">
              <w:t xml:space="preserve">hanges to resilience scores &lt; </w:t>
            </w:r>
            <w:r w:rsidRPr="002004D5">
              <w:rPr>
                <w:rFonts w:cstheme="minorHAnsi"/>
              </w:rPr>
              <w:t>±</w:t>
            </w:r>
            <w:r w:rsidRPr="002004D5">
              <w:t>0.5 points in most cases</w:t>
            </w:r>
            <w:r w:rsidR="00430968" w:rsidRPr="002004D5">
              <w:t>.</w:t>
            </w:r>
          </w:p>
        </w:tc>
      </w:tr>
      <w:tr w:rsidR="00FD7FE8" w14:paraId="75B8B485" w14:textId="77777777" w:rsidTr="001F4D18">
        <w:tc>
          <w:tcPr>
            <w:tcW w:w="3145" w:type="dxa"/>
          </w:tcPr>
          <w:p w14:paraId="26DE1F37" w14:textId="638E514F" w:rsidR="00FD7FE8" w:rsidRPr="002004D5" w:rsidRDefault="00FD7FE8" w:rsidP="001F4D18">
            <w:r w:rsidRPr="002004D5">
              <w:t xml:space="preserve">Effectiveness of commercial fisheries management </w:t>
            </w:r>
          </w:p>
        </w:tc>
        <w:tc>
          <w:tcPr>
            <w:tcW w:w="2520" w:type="dxa"/>
          </w:tcPr>
          <w:p w14:paraId="4CF9F84F" w14:textId="77777777" w:rsidR="00FD7FE8" w:rsidRPr="002004D5" w:rsidRDefault="00AC7142" w:rsidP="001F4D18">
            <w:r w:rsidRPr="002004D5">
              <w:t>New data source</w:t>
            </w:r>
          </w:p>
          <w:p w14:paraId="326055F3" w14:textId="0059F538" w:rsidR="00AC7142" w:rsidRPr="002004D5" w:rsidRDefault="00AC7142" w:rsidP="001F4D18">
            <w:r w:rsidRPr="002004D5">
              <w:t>(</w:t>
            </w:r>
            <w:proofErr w:type="spellStart"/>
            <w:r w:rsidRPr="002004D5">
              <w:t>Melycheck</w:t>
            </w:r>
            <w:proofErr w:type="spellEnd"/>
            <w:r w:rsidRPr="002004D5">
              <w:t xml:space="preserve"> et al. 201</w:t>
            </w:r>
            <w:r w:rsidR="00436FFF">
              <w:t>7</w:t>
            </w:r>
            <w:r w:rsidRPr="002004D5">
              <w:t>)</w:t>
            </w:r>
          </w:p>
        </w:tc>
        <w:tc>
          <w:tcPr>
            <w:tcW w:w="2880" w:type="dxa"/>
          </w:tcPr>
          <w:p w14:paraId="7E207878" w14:textId="595CE14A" w:rsidR="00FD7FE8" w:rsidRPr="002004D5" w:rsidRDefault="00AC7142" w:rsidP="001F4D18">
            <w:r w:rsidRPr="002004D5">
              <w:t>Adjustments made to accommodate new data</w:t>
            </w:r>
          </w:p>
          <w:p w14:paraId="34CE245E" w14:textId="4C131169" w:rsidR="00FD7FE8" w:rsidRPr="002004D5" w:rsidRDefault="00FD7FE8" w:rsidP="001F4D18"/>
        </w:tc>
        <w:tc>
          <w:tcPr>
            <w:tcW w:w="4140" w:type="dxa"/>
          </w:tcPr>
          <w:p w14:paraId="635602DD" w14:textId="74A8D3E3" w:rsidR="00FD7FE8" w:rsidRPr="002004D5" w:rsidRDefault="00AC7142" w:rsidP="001F4D18">
            <w:r w:rsidRPr="002004D5">
              <w:t>Very large changes to the data.  The new measures of fisheries management were very different from previous data.</w:t>
            </w:r>
            <w:r w:rsidR="00DC06DE" w:rsidRPr="002004D5">
              <w:t xml:space="preserve">  However, translated to changes in resilience of &lt;+/- 3 points.</w:t>
            </w:r>
          </w:p>
        </w:tc>
      </w:tr>
      <w:tr w:rsidR="0007086B" w14:paraId="366D118F" w14:textId="77777777" w:rsidTr="001F4D18">
        <w:tc>
          <w:tcPr>
            <w:tcW w:w="3145" w:type="dxa"/>
          </w:tcPr>
          <w:p w14:paraId="3F94E6F3" w14:textId="4AB59181" w:rsidR="0007086B" w:rsidRPr="002004D5" w:rsidRDefault="0007086B" w:rsidP="0007086B">
            <w:r w:rsidRPr="002004D5">
              <w:t>Effectiveness of artisanal fisheries management (Mora data)</w:t>
            </w:r>
          </w:p>
        </w:tc>
        <w:tc>
          <w:tcPr>
            <w:tcW w:w="2520" w:type="dxa"/>
          </w:tcPr>
          <w:p w14:paraId="4E6CDC3B" w14:textId="329BE2F9" w:rsidR="0007086B" w:rsidRPr="002004D5" w:rsidRDefault="0007086B" w:rsidP="001F4D18">
            <w:r w:rsidRPr="002004D5">
              <w:t>None</w:t>
            </w:r>
          </w:p>
        </w:tc>
        <w:tc>
          <w:tcPr>
            <w:tcW w:w="2880" w:type="dxa"/>
          </w:tcPr>
          <w:p w14:paraId="4149A91D" w14:textId="215F2D85" w:rsidR="0007086B" w:rsidRPr="002004D5" w:rsidRDefault="0007086B" w:rsidP="001F4D18">
            <w:r w:rsidRPr="002004D5">
              <w:t>None</w:t>
            </w:r>
          </w:p>
        </w:tc>
        <w:tc>
          <w:tcPr>
            <w:tcW w:w="4140" w:type="dxa"/>
          </w:tcPr>
          <w:p w14:paraId="41E983AB" w14:textId="5E407DE3" w:rsidR="0007086B" w:rsidRPr="002004D5" w:rsidRDefault="00AC7142" w:rsidP="001F4D18">
            <w:r w:rsidRPr="002004D5">
              <w:t>None</w:t>
            </w:r>
          </w:p>
        </w:tc>
      </w:tr>
      <w:tr w:rsidR="00FD7FE8" w14:paraId="54D5BD2C" w14:textId="77777777" w:rsidTr="001F4D18">
        <w:tc>
          <w:tcPr>
            <w:tcW w:w="3145" w:type="dxa"/>
          </w:tcPr>
          <w:p w14:paraId="49F24328" w14:textId="76EE8BCE" w:rsidR="00FD7FE8" w:rsidRPr="002004D5" w:rsidRDefault="00FD7FE8" w:rsidP="001F4D18">
            <w:r w:rsidRPr="002004D5">
              <w:t>CBD data</w:t>
            </w:r>
            <w:r w:rsidR="0007086B" w:rsidRPr="002004D5">
              <w:t xml:space="preserve"> (5 resilience measures)</w:t>
            </w:r>
            <w:r w:rsidRPr="002004D5">
              <w:t xml:space="preserve">: Management of habitat diversity; </w:t>
            </w:r>
            <w:r w:rsidR="002F5C31" w:rsidRPr="002004D5">
              <w:t>protect</w:t>
            </w:r>
            <w:r w:rsidR="0007086B" w:rsidRPr="002004D5">
              <w:t>ion of</w:t>
            </w:r>
            <w:r w:rsidR="002F5C31" w:rsidRPr="002004D5">
              <w:t xml:space="preserve"> biodiversity from following pressures: Mariculture, invasive species, tourism, pollution</w:t>
            </w:r>
          </w:p>
        </w:tc>
        <w:tc>
          <w:tcPr>
            <w:tcW w:w="2520" w:type="dxa"/>
          </w:tcPr>
          <w:p w14:paraId="129CF4D6" w14:textId="0AF654E8" w:rsidR="00FD7FE8" w:rsidRPr="002004D5" w:rsidRDefault="002F5C31" w:rsidP="001F4D18">
            <w:r w:rsidRPr="002004D5">
              <w:t>None</w:t>
            </w:r>
          </w:p>
        </w:tc>
        <w:tc>
          <w:tcPr>
            <w:tcW w:w="2880" w:type="dxa"/>
          </w:tcPr>
          <w:p w14:paraId="2A696DCA" w14:textId="2723FAC9" w:rsidR="00FD7FE8" w:rsidRPr="002004D5" w:rsidRDefault="002F5C31" w:rsidP="001F4D18">
            <w:r w:rsidRPr="002004D5">
              <w:t>None</w:t>
            </w:r>
          </w:p>
        </w:tc>
        <w:tc>
          <w:tcPr>
            <w:tcW w:w="4140" w:type="dxa"/>
          </w:tcPr>
          <w:p w14:paraId="29A5B321" w14:textId="3F07A437" w:rsidR="00FD7FE8" w:rsidRPr="002004D5" w:rsidRDefault="00AC7142" w:rsidP="001F4D18">
            <w:r w:rsidRPr="002004D5">
              <w:t>None</w:t>
            </w:r>
          </w:p>
        </w:tc>
      </w:tr>
      <w:tr w:rsidR="00FD7FE8" w14:paraId="52CA4B4F" w14:textId="77777777" w:rsidTr="001F4D18">
        <w:tc>
          <w:tcPr>
            <w:tcW w:w="3145" w:type="dxa"/>
          </w:tcPr>
          <w:p w14:paraId="26C72611" w14:textId="4DC8EA52" w:rsidR="00FD7FE8" w:rsidRPr="002004D5" w:rsidRDefault="002F5C31" w:rsidP="001F4D18">
            <w:r w:rsidRPr="002004D5">
              <w:t>Mariculture Sustainability Index</w:t>
            </w:r>
          </w:p>
        </w:tc>
        <w:tc>
          <w:tcPr>
            <w:tcW w:w="2520" w:type="dxa"/>
          </w:tcPr>
          <w:p w14:paraId="410C0EED" w14:textId="2AD81039" w:rsidR="00FD7FE8" w:rsidRPr="002004D5" w:rsidRDefault="002F5C31" w:rsidP="001F4D18">
            <w:r w:rsidRPr="002004D5">
              <w:t>None</w:t>
            </w:r>
          </w:p>
        </w:tc>
        <w:tc>
          <w:tcPr>
            <w:tcW w:w="2880" w:type="dxa"/>
          </w:tcPr>
          <w:p w14:paraId="06A56F25" w14:textId="3DF32E54" w:rsidR="00FD7FE8" w:rsidRPr="002004D5" w:rsidRDefault="002F5C31" w:rsidP="001F4D18">
            <w:r w:rsidRPr="002004D5">
              <w:t>None</w:t>
            </w:r>
          </w:p>
        </w:tc>
        <w:tc>
          <w:tcPr>
            <w:tcW w:w="4140" w:type="dxa"/>
          </w:tcPr>
          <w:p w14:paraId="13A59824" w14:textId="5FAE9EA0" w:rsidR="00FD7FE8" w:rsidRPr="002004D5" w:rsidRDefault="00AC7142" w:rsidP="001F4D18">
            <w:r w:rsidRPr="002004D5">
              <w:t>None</w:t>
            </w:r>
          </w:p>
        </w:tc>
      </w:tr>
      <w:tr w:rsidR="00FD7FE8" w14:paraId="186444C2" w14:textId="77777777" w:rsidTr="001F4D18">
        <w:tc>
          <w:tcPr>
            <w:tcW w:w="3145" w:type="dxa"/>
          </w:tcPr>
          <w:p w14:paraId="35B7F250" w14:textId="2ED28384" w:rsidR="00FD7FE8" w:rsidRPr="002004D5" w:rsidRDefault="00FA6D7F" w:rsidP="001F4D18">
            <w:r w:rsidRPr="002004D5">
              <w:t>Global Competitiveness Index</w:t>
            </w:r>
          </w:p>
        </w:tc>
        <w:tc>
          <w:tcPr>
            <w:tcW w:w="2520" w:type="dxa"/>
          </w:tcPr>
          <w:p w14:paraId="6CD7AE04" w14:textId="0BF56E08" w:rsidR="00FD7FE8" w:rsidRPr="002004D5" w:rsidRDefault="00B6355C" w:rsidP="003A4A27">
            <w:r w:rsidRPr="002004D5">
              <w:t>None</w:t>
            </w:r>
          </w:p>
        </w:tc>
        <w:tc>
          <w:tcPr>
            <w:tcW w:w="2880" w:type="dxa"/>
          </w:tcPr>
          <w:p w14:paraId="293BD02F" w14:textId="653963E7" w:rsidR="00FD7FE8" w:rsidRPr="002004D5" w:rsidRDefault="00B6355C" w:rsidP="001F4D18">
            <w:r w:rsidRPr="002004D5">
              <w:t>None</w:t>
            </w:r>
          </w:p>
        </w:tc>
        <w:tc>
          <w:tcPr>
            <w:tcW w:w="4140" w:type="dxa"/>
          </w:tcPr>
          <w:p w14:paraId="76AE50F2" w14:textId="4771D648" w:rsidR="00FD7FE8" w:rsidRPr="002004D5" w:rsidRDefault="00B6355C" w:rsidP="004762D1">
            <w:r w:rsidRPr="002004D5">
              <w:t>None</w:t>
            </w:r>
          </w:p>
        </w:tc>
      </w:tr>
    </w:tbl>
    <w:p w14:paraId="342F516B" w14:textId="2102D6A8" w:rsidR="00413C4A" w:rsidRDefault="00413C4A"/>
    <w:p w14:paraId="6474EA4F" w14:textId="77777777" w:rsidR="00362AE5" w:rsidRDefault="00362AE5"/>
    <w:p w14:paraId="04F1BD88" w14:textId="27BBA350" w:rsidR="00362AE5" w:rsidRPr="00362AE5" w:rsidRDefault="00362AE5">
      <w:pPr>
        <w:rPr>
          <w:b/>
          <w:bCs/>
        </w:rPr>
      </w:pPr>
      <w:r w:rsidRPr="00362AE5">
        <w:rPr>
          <w:b/>
          <w:bCs/>
        </w:rPr>
        <w:lastRenderedPageBreak/>
        <w:t>References</w:t>
      </w:r>
    </w:p>
    <w:p w14:paraId="4D4BF977" w14:textId="4A11AFD3" w:rsidR="00362AE5" w:rsidRDefault="00362AE5" w:rsidP="00362AE5">
      <w:r>
        <w:t xml:space="preserve">Gentry, Rebecca R., Halley E. Froehlich, Dietmar Grimm, Peter </w:t>
      </w:r>
      <w:proofErr w:type="spellStart"/>
      <w:r>
        <w:t>Kareiva</w:t>
      </w:r>
      <w:proofErr w:type="spellEnd"/>
      <w:r>
        <w:t xml:space="preserve">, Michael Parke, Michael Rust, Steven D. Gaines, and Benjamin S. Halpern. 2017. Mapping the Global Potential for Marine Aquaculture. </w:t>
      </w:r>
      <w:r>
        <w:rPr>
          <w:i/>
          <w:iCs/>
        </w:rPr>
        <w:t>Nature Ecology &amp; Evolution</w:t>
      </w:r>
      <w:r>
        <w:t xml:space="preserve"> 1, no. 9: 1317–24. </w:t>
      </w:r>
      <w:hyperlink r:id="rId6" w:history="1">
        <w:r>
          <w:rPr>
            <w:rStyle w:val="Hyperlink"/>
          </w:rPr>
          <w:t>https://doi.org/10.1038/s41559-017-0257-9</w:t>
        </w:r>
      </w:hyperlink>
      <w:r>
        <w:t>.</w:t>
      </w:r>
    </w:p>
    <w:p w14:paraId="5933C70A" w14:textId="4FA29A92" w:rsidR="00BC1CC9" w:rsidRDefault="00BC1CC9" w:rsidP="00BC1CC9">
      <w:r>
        <w:t xml:space="preserve">Melnychuk, Michael C., Emily Peterson, Matthew Elliott, and Ray </w:t>
      </w:r>
      <w:proofErr w:type="spellStart"/>
      <w:r>
        <w:t>Hilborn</w:t>
      </w:r>
      <w:proofErr w:type="spellEnd"/>
      <w:r>
        <w:t xml:space="preserve">. 2017. Fisheries Management Impacts on Target Species Status. </w:t>
      </w:r>
      <w:r>
        <w:rPr>
          <w:i/>
          <w:iCs/>
        </w:rPr>
        <w:t>Proceedings of the National Academy of Sciences</w:t>
      </w:r>
      <w:r>
        <w:t xml:space="preserve"> 114, no. 1: 178–83. </w:t>
      </w:r>
      <w:hyperlink r:id="rId7" w:history="1">
        <w:r>
          <w:rPr>
            <w:rStyle w:val="Hyperlink"/>
          </w:rPr>
          <w:t>https://doi.org/10.1073/pnas.1609915114</w:t>
        </w:r>
      </w:hyperlink>
      <w:r>
        <w:t>.</w:t>
      </w:r>
    </w:p>
    <w:p w14:paraId="4B4CB3A6" w14:textId="77777777" w:rsidR="00362AE5" w:rsidRDefault="00362AE5">
      <w:bookmarkStart w:id="0" w:name="_GoBack"/>
      <w:bookmarkEnd w:id="0"/>
    </w:p>
    <w:sectPr w:rsidR="00362AE5" w:rsidSect="009923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349"/>
    <w:multiLevelType w:val="hybridMultilevel"/>
    <w:tmpl w:val="2A4CF49A"/>
    <w:lvl w:ilvl="0" w:tplc="C9BCBAC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3656D69"/>
    <w:multiLevelType w:val="hybridMultilevel"/>
    <w:tmpl w:val="6D5492A2"/>
    <w:lvl w:ilvl="0" w:tplc="C6346BF0">
      <w:start w:val="7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15600"/>
    <w:multiLevelType w:val="hybridMultilevel"/>
    <w:tmpl w:val="FD7C37A8"/>
    <w:lvl w:ilvl="0" w:tplc="595EC45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B0C10"/>
    <w:multiLevelType w:val="hybridMultilevel"/>
    <w:tmpl w:val="F4E6E59E"/>
    <w:lvl w:ilvl="0" w:tplc="673A8C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83D90"/>
    <w:multiLevelType w:val="hybridMultilevel"/>
    <w:tmpl w:val="06D8F6B6"/>
    <w:lvl w:ilvl="0" w:tplc="BB568C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43C38"/>
    <w:multiLevelType w:val="hybridMultilevel"/>
    <w:tmpl w:val="D28E1544"/>
    <w:lvl w:ilvl="0" w:tplc="E432DB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14184"/>
    <w:multiLevelType w:val="hybridMultilevel"/>
    <w:tmpl w:val="AC9A40E4"/>
    <w:lvl w:ilvl="0" w:tplc="356259E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7" w15:restartNumberingAfterBreak="0">
    <w:nsid w:val="6F51588C"/>
    <w:multiLevelType w:val="hybridMultilevel"/>
    <w:tmpl w:val="FF784906"/>
    <w:lvl w:ilvl="0" w:tplc="C2C23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878"/>
    <w:multiLevelType w:val="hybridMultilevel"/>
    <w:tmpl w:val="1004BD76"/>
    <w:lvl w:ilvl="0" w:tplc="06C656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4"/>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C4A"/>
    <w:rsid w:val="0000058B"/>
    <w:rsid w:val="00006A6F"/>
    <w:rsid w:val="00010528"/>
    <w:rsid w:val="000106DB"/>
    <w:rsid w:val="00010F8D"/>
    <w:rsid w:val="000123F9"/>
    <w:rsid w:val="00012AF4"/>
    <w:rsid w:val="0001502D"/>
    <w:rsid w:val="00015E73"/>
    <w:rsid w:val="000166F9"/>
    <w:rsid w:val="000167FE"/>
    <w:rsid w:val="00020C75"/>
    <w:rsid w:val="00021B46"/>
    <w:rsid w:val="00023CC5"/>
    <w:rsid w:val="000274BD"/>
    <w:rsid w:val="0003507A"/>
    <w:rsid w:val="000354EC"/>
    <w:rsid w:val="00036B48"/>
    <w:rsid w:val="00043753"/>
    <w:rsid w:val="00045228"/>
    <w:rsid w:val="00051A80"/>
    <w:rsid w:val="00053F73"/>
    <w:rsid w:val="00060B8C"/>
    <w:rsid w:val="00061C8A"/>
    <w:rsid w:val="00064F39"/>
    <w:rsid w:val="00065EAB"/>
    <w:rsid w:val="0007086B"/>
    <w:rsid w:val="00071CDD"/>
    <w:rsid w:val="00073D5A"/>
    <w:rsid w:val="00080581"/>
    <w:rsid w:val="00087A29"/>
    <w:rsid w:val="00094D1D"/>
    <w:rsid w:val="00096637"/>
    <w:rsid w:val="000972D2"/>
    <w:rsid w:val="00097C92"/>
    <w:rsid w:val="000A3CE9"/>
    <w:rsid w:val="000A3EB1"/>
    <w:rsid w:val="000B2297"/>
    <w:rsid w:val="000B67B5"/>
    <w:rsid w:val="000C09C4"/>
    <w:rsid w:val="000C0E80"/>
    <w:rsid w:val="000C47FE"/>
    <w:rsid w:val="000C4AC9"/>
    <w:rsid w:val="000C54B4"/>
    <w:rsid w:val="000C6938"/>
    <w:rsid w:val="000C6960"/>
    <w:rsid w:val="000C72CF"/>
    <w:rsid w:val="000D1AE8"/>
    <w:rsid w:val="000E3FEE"/>
    <w:rsid w:val="000F373C"/>
    <w:rsid w:val="000F55BF"/>
    <w:rsid w:val="000F78DD"/>
    <w:rsid w:val="00100C17"/>
    <w:rsid w:val="00101EEF"/>
    <w:rsid w:val="0010559D"/>
    <w:rsid w:val="00107396"/>
    <w:rsid w:val="00123562"/>
    <w:rsid w:val="00124056"/>
    <w:rsid w:val="00125136"/>
    <w:rsid w:val="00127AE6"/>
    <w:rsid w:val="00141026"/>
    <w:rsid w:val="00145A47"/>
    <w:rsid w:val="00154257"/>
    <w:rsid w:val="0016410F"/>
    <w:rsid w:val="0016472F"/>
    <w:rsid w:val="00164DDB"/>
    <w:rsid w:val="0016651A"/>
    <w:rsid w:val="001726B4"/>
    <w:rsid w:val="001727E6"/>
    <w:rsid w:val="00172AEC"/>
    <w:rsid w:val="001759D6"/>
    <w:rsid w:val="0017752D"/>
    <w:rsid w:val="00181D2A"/>
    <w:rsid w:val="00183E36"/>
    <w:rsid w:val="0019074A"/>
    <w:rsid w:val="001907DD"/>
    <w:rsid w:val="001A0ACE"/>
    <w:rsid w:val="001A49BB"/>
    <w:rsid w:val="001A50DA"/>
    <w:rsid w:val="001A5E0B"/>
    <w:rsid w:val="001A636D"/>
    <w:rsid w:val="001B4CF1"/>
    <w:rsid w:val="001C0448"/>
    <w:rsid w:val="001C1753"/>
    <w:rsid w:val="001C78F3"/>
    <w:rsid w:val="001D18B9"/>
    <w:rsid w:val="001D25BC"/>
    <w:rsid w:val="001D3B49"/>
    <w:rsid w:val="001D68C5"/>
    <w:rsid w:val="001E0B00"/>
    <w:rsid w:val="001E2A59"/>
    <w:rsid w:val="001E3718"/>
    <w:rsid w:val="001E4AC9"/>
    <w:rsid w:val="001E55FE"/>
    <w:rsid w:val="001E5D53"/>
    <w:rsid w:val="001E6F8A"/>
    <w:rsid w:val="001E6FC2"/>
    <w:rsid w:val="001E754C"/>
    <w:rsid w:val="001F077E"/>
    <w:rsid w:val="001F282F"/>
    <w:rsid w:val="001F4D18"/>
    <w:rsid w:val="001F65C5"/>
    <w:rsid w:val="002004D5"/>
    <w:rsid w:val="0020112F"/>
    <w:rsid w:val="00204A61"/>
    <w:rsid w:val="00207094"/>
    <w:rsid w:val="002079F3"/>
    <w:rsid w:val="00211428"/>
    <w:rsid w:val="0021343C"/>
    <w:rsid w:val="002149B1"/>
    <w:rsid w:val="00215F8A"/>
    <w:rsid w:val="002233B2"/>
    <w:rsid w:val="002252E0"/>
    <w:rsid w:val="00227BD0"/>
    <w:rsid w:val="0023107E"/>
    <w:rsid w:val="00231EB0"/>
    <w:rsid w:val="00233C8A"/>
    <w:rsid w:val="002371E8"/>
    <w:rsid w:val="00240BA4"/>
    <w:rsid w:val="00243946"/>
    <w:rsid w:val="0024785D"/>
    <w:rsid w:val="00250B11"/>
    <w:rsid w:val="00252702"/>
    <w:rsid w:val="00254656"/>
    <w:rsid w:val="00254781"/>
    <w:rsid w:val="0025542A"/>
    <w:rsid w:val="00255724"/>
    <w:rsid w:val="00256CAF"/>
    <w:rsid w:val="00256DD1"/>
    <w:rsid w:val="0026287B"/>
    <w:rsid w:val="00264A6B"/>
    <w:rsid w:val="00273D6A"/>
    <w:rsid w:val="002745F8"/>
    <w:rsid w:val="00275C28"/>
    <w:rsid w:val="00281D3B"/>
    <w:rsid w:val="00282BE1"/>
    <w:rsid w:val="00283167"/>
    <w:rsid w:val="00286917"/>
    <w:rsid w:val="00290439"/>
    <w:rsid w:val="002905D0"/>
    <w:rsid w:val="00290E22"/>
    <w:rsid w:val="00290EAB"/>
    <w:rsid w:val="00295CB9"/>
    <w:rsid w:val="002A0A34"/>
    <w:rsid w:val="002A0E84"/>
    <w:rsid w:val="002A2BFA"/>
    <w:rsid w:val="002A4F10"/>
    <w:rsid w:val="002A7383"/>
    <w:rsid w:val="002B1BE5"/>
    <w:rsid w:val="002B23CA"/>
    <w:rsid w:val="002C0807"/>
    <w:rsid w:val="002C1729"/>
    <w:rsid w:val="002C301B"/>
    <w:rsid w:val="002C35D3"/>
    <w:rsid w:val="002C43FD"/>
    <w:rsid w:val="002C4676"/>
    <w:rsid w:val="002D710A"/>
    <w:rsid w:val="002E4289"/>
    <w:rsid w:val="002E5DDA"/>
    <w:rsid w:val="002E688D"/>
    <w:rsid w:val="002E7172"/>
    <w:rsid w:val="002E75E5"/>
    <w:rsid w:val="002F0243"/>
    <w:rsid w:val="002F02A1"/>
    <w:rsid w:val="002F1CAA"/>
    <w:rsid w:val="002F4EEE"/>
    <w:rsid w:val="002F57A0"/>
    <w:rsid w:val="002F5C31"/>
    <w:rsid w:val="002F6EB5"/>
    <w:rsid w:val="003023F5"/>
    <w:rsid w:val="003024DB"/>
    <w:rsid w:val="0030345B"/>
    <w:rsid w:val="00305893"/>
    <w:rsid w:val="003058D8"/>
    <w:rsid w:val="00306411"/>
    <w:rsid w:val="00307C7C"/>
    <w:rsid w:val="00316039"/>
    <w:rsid w:val="0032113F"/>
    <w:rsid w:val="00321E9E"/>
    <w:rsid w:val="00322549"/>
    <w:rsid w:val="00322F22"/>
    <w:rsid w:val="00324C85"/>
    <w:rsid w:val="00324CB9"/>
    <w:rsid w:val="00326E98"/>
    <w:rsid w:val="003270EB"/>
    <w:rsid w:val="00327E7E"/>
    <w:rsid w:val="00331826"/>
    <w:rsid w:val="00332022"/>
    <w:rsid w:val="003345A2"/>
    <w:rsid w:val="003363F2"/>
    <w:rsid w:val="00336589"/>
    <w:rsid w:val="00340A46"/>
    <w:rsid w:val="00341E94"/>
    <w:rsid w:val="00344516"/>
    <w:rsid w:val="00344580"/>
    <w:rsid w:val="00344AEF"/>
    <w:rsid w:val="00346C44"/>
    <w:rsid w:val="0035052D"/>
    <w:rsid w:val="00350A97"/>
    <w:rsid w:val="003518D6"/>
    <w:rsid w:val="00355C2A"/>
    <w:rsid w:val="00357958"/>
    <w:rsid w:val="00357DE9"/>
    <w:rsid w:val="00360BEF"/>
    <w:rsid w:val="00360C84"/>
    <w:rsid w:val="00362AE5"/>
    <w:rsid w:val="0036423F"/>
    <w:rsid w:val="00364987"/>
    <w:rsid w:val="003652C9"/>
    <w:rsid w:val="0036643A"/>
    <w:rsid w:val="003722FF"/>
    <w:rsid w:val="003723B9"/>
    <w:rsid w:val="00372A73"/>
    <w:rsid w:val="00375509"/>
    <w:rsid w:val="00382630"/>
    <w:rsid w:val="00384706"/>
    <w:rsid w:val="00392382"/>
    <w:rsid w:val="00393996"/>
    <w:rsid w:val="003A2EC9"/>
    <w:rsid w:val="003A39CF"/>
    <w:rsid w:val="003A4313"/>
    <w:rsid w:val="003A4A27"/>
    <w:rsid w:val="003B0B78"/>
    <w:rsid w:val="003B4885"/>
    <w:rsid w:val="003B5F15"/>
    <w:rsid w:val="003B635A"/>
    <w:rsid w:val="003C2E73"/>
    <w:rsid w:val="003C5AD7"/>
    <w:rsid w:val="003C6326"/>
    <w:rsid w:val="003D19E5"/>
    <w:rsid w:val="003D3408"/>
    <w:rsid w:val="003D430C"/>
    <w:rsid w:val="003D5C08"/>
    <w:rsid w:val="003E2A56"/>
    <w:rsid w:val="003E3A54"/>
    <w:rsid w:val="003E3D51"/>
    <w:rsid w:val="003E74A1"/>
    <w:rsid w:val="003F068D"/>
    <w:rsid w:val="003F330F"/>
    <w:rsid w:val="003F349F"/>
    <w:rsid w:val="003F5B4E"/>
    <w:rsid w:val="003F7237"/>
    <w:rsid w:val="003F74B7"/>
    <w:rsid w:val="003F7EA0"/>
    <w:rsid w:val="00402152"/>
    <w:rsid w:val="00403ED6"/>
    <w:rsid w:val="00406607"/>
    <w:rsid w:val="004075D6"/>
    <w:rsid w:val="0041077D"/>
    <w:rsid w:val="00413C4A"/>
    <w:rsid w:val="00413F65"/>
    <w:rsid w:val="00423B4C"/>
    <w:rsid w:val="004262C5"/>
    <w:rsid w:val="004305AC"/>
    <w:rsid w:val="00430968"/>
    <w:rsid w:val="00434705"/>
    <w:rsid w:val="0043546B"/>
    <w:rsid w:val="00436FFF"/>
    <w:rsid w:val="004456E8"/>
    <w:rsid w:val="00447474"/>
    <w:rsid w:val="00454178"/>
    <w:rsid w:val="004614E0"/>
    <w:rsid w:val="00462CC1"/>
    <w:rsid w:val="00464324"/>
    <w:rsid w:val="00464C70"/>
    <w:rsid w:val="00464E0C"/>
    <w:rsid w:val="0046710C"/>
    <w:rsid w:val="00471AC9"/>
    <w:rsid w:val="004733CD"/>
    <w:rsid w:val="00475F32"/>
    <w:rsid w:val="004762D1"/>
    <w:rsid w:val="00476AAA"/>
    <w:rsid w:val="00477378"/>
    <w:rsid w:val="00477B17"/>
    <w:rsid w:val="00480744"/>
    <w:rsid w:val="00484A05"/>
    <w:rsid w:val="00485831"/>
    <w:rsid w:val="00492B3A"/>
    <w:rsid w:val="004974A7"/>
    <w:rsid w:val="004A0C34"/>
    <w:rsid w:val="004A1096"/>
    <w:rsid w:val="004A12B1"/>
    <w:rsid w:val="004A6AE5"/>
    <w:rsid w:val="004A7954"/>
    <w:rsid w:val="004B046B"/>
    <w:rsid w:val="004B090F"/>
    <w:rsid w:val="004B2098"/>
    <w:rsid w:val="004B3594"/>
    <w:rsid w:val="004B3E00"/>
    <w:rsid w:val="004B6D91"/>
    <w:rsid w:val="004C2509"/>
    <w:rsid w:val="004D0249"/>
    <w:rsid w:val="004D3366"/>
    <w:rsid w:val="004D516D"/>
    <w:rsid w:val="004D5213"/>
    <w:rsid w:val="004D6C40"/>
    <w:rsid w:val="004E051A"/>
    <w:rsid w:val="004E1C1C"/>
    <w:rsid w:val="004E2FC7"/>
    <w:rsid w:val="004E487F"/>
    <w:rsid w:val="004E62BD"/>
    <w:rsid w:val="004F11E8"/>
    <w:rsid w:val="004F1A1E"/>
    <w:rsid w:val="004F44D8"/>
    <w:rsid w:val="004F481C"/>
    <w:rsid w:val="004F6C33"/>
    <w:rsid w:val="00500836"/>
    <w:rsid w:val="00504E10"/>
    <w:rsid w:val="00510192"/>
    <w:rsid w:val="0051028E"/>
    <w:rsid w:val="0051202B"/>
    <w:rsid w:val="00514080"/>
    <w:rsid w:val="00515A6D"/>
    <w:rsid w:val="00517142"/>
    <w:rsid w:val="00533A6D"/>
    <w:rsid w:val="00534532"/>
    <w:rsid w:val="005358D1"/>
    <w:rsid w:val="00537C26"/>
    <w:rsid w:val="005413DE"/>
    <w:rsid w:val="00541B55"/>
    <w:rsid w:val="0054417D"/>
    <w:rsid w:val="00544526"/>
    <w:rsid w:val="00544AF6"/>
    <w:rsid w:val="00546215"/>
    <w:rsid w:val="00551203"/>
    <w:rsid w:val="00553266"/>
    <w:rsid w:val="00555F05"/>
    <w:rsid w:val="0056338A"/>
    <w:rsid w:val="00576977"/>
    <w:rsid w:val="00576AEE"/>
    <w:rsid w:val="005770E5"/>
    <w:rsid w:val="00582DA6"/>
    <w:rsid w:val="005835FA"/>
    <w:rsid w:val="00586D14"/>
    <w:rsid w:val="00587D00"/>
    <w:rsid w:val="005907D6"/>
    <w:rsid w:val="00591566"/>
    <w:rsid w:val="00593C70"/>
    <w:rsid w:val="00593D27"/>
    <w:rsid w:val="00597230"/>
    <w:rsid w:val="005A0A22"/>
    <w:rsid w:val="005A79EC"/>
    <w:rsid w:val="005B5D0B"/>
    <w:rsid w:val="005C0E44"/>
    <w:rsid w:val="005C1F44"/>
    <w:rsid w:val="005C3E93"/>
    <w:rsid w:val="005C4E3F"/>
    <w:rsid w:val="005D0166"/>
    <w:rsid w:val="005D06E4"/>
    <w:rsid w:val="005D686F"/>
    <w:rsid w:val="005E152D"/>
    <w:rsid w:val="005E3579"/>
    <w:rsid w:val="005E51F7"/>
    <w:rsid w:val="005E5798"/>
    <w:rsid w:val="005E79CF"/>
    <w:rsid w:val="005F0EE7"/>
    <w:rsid w:val="005F7AA8"/>
    <w:rsid w:val="0060037C"/>
    <w:rsid w:val="00600869"/>
    <w:rsid w:val="0060173E"/>
    <w:rsid w:val="00606A8F"/>
    <w:rsid w:val="00606F2E"/>
    <w:rsid w:val="006171B1"/>
    <w:rsid w:val="00617C36"/>
    <w:rsid w:val="00622906"/>
    <w:rsid w:val="00622F85"/>
    <w:rsid w:val="0062467A"/>
    <w:rsid w:val="00624A24"/>
    <w:rsid w:val="00624CD6"/>
    <w:rsid w:val="006254E3"/>
    <w:rsid w:val="0062639B"/>
    <w:rsid w:val="00631FD6"/>
    <w:rsid w:val="0063402D"/>
    <w:rsid w:val="006359A2"/>
    <w:rsid w:val="00646A37"/>
    <w:rsid w:val="00647E44"/>
    <w:rsid w:val="00650399"/>
    <w:rsid w:val="00653649"/>
    <w:rsid w:val="00655348"/>
    <w:rsid w:val="00656C10"/>
    <w:rsid w:val="00660E39"/>
    <w:rsid w:val="00662942"/>
    <w:rsid w:val="00662E7E"/>
    <w:rsid w:val="00663703"/>
    <w:rsid w:val="0066468D"/>
    <w:rsid w:val="00664B0F"/>
    <w:rsid w:val="00666C67"/>
    <w:rsid w:val="00672386"/>
    <w:rsid w:val="00676010"/>
    <w:rsid w:val="006775DC"/>
    <w:rsid w:val="00682008"/>
    <w:rsid w:val="00684C83"/>
    <w:rsid w:val="00685331"/>
    <w:rsid w:val="0069298D"/>
    <w:rsid w:val="00696569"/>
    <w:rsid w:val="0069715E"/>
    <w:rsid w:val="006975F6"/>
    <w:rsid w:val="006A2E33"/>
    <w:rsid w:val="006B44DB"/>
    <w:rsid w:val="006B6F52"/>
    <w:rsid w:val="006B7ACB"/>
    <w:rsid w:val="006C04EA"/>
    <w:rsid w:val="006C43A6"/>
    <w:rsid w:val="006C5612"/>
    <w:rsid w:val="006D0B33"/>
    <w:rsid w:val="006D1C75"/>
    <w:rsid w:val="006D27DB"/>
    <w:rsid w:val="006D2E13"/>
    <w:rsid w:val="006D3FC4"/>
    <w:rsid w:val="006D4169"/>
    <w:rsid w:val="006D5AD8"/>
    <w:rsid w:val="006D7DF3"/>
    <w:rsid w:val="006E021C"/>
    <w:rsid w:val="006E191E"/>
    <w:rsid w:val="006E5C07"/>
    <w:rsid w:val="006E7714"/>
    <w:rsid w:val="006F0193"/>
    <w:rsid w:val="006F1231"/>
    <w:rsid w:val="006F3605"/>
    <w:rsid w:val="006F6310"/>
    <w:rsid w:val="007035D4"/>
    <w:rsid w:val="0070433D"/>
    <w:rsid w:val="00707279"/>
    <w:rsid w:val="00707A14"/>
    <w:rsid w:val="0071270D"/>
    <w:rsid w:val="00712A74"/>
    <w:rsid w:val="0072457E"/>
    <w:rsid w:val="007249E3"/>
    <w:rsid w:val="0072562D"/>
    <w:rsid w:val="00726717"/>
    <w:rsid w:val="00727618"/>
    <w:rsid w:val="00733F57"/>
    <w:rsid w:val="007344D5"/>
    <w:rsid w:val="00735A3D"/>
    <w:rsid w:val="00737218"/>
    <w:rsid w:val="007379CC"/>
    <w:rsid w:val="007442F9"/>
    <w:rsid w:val="00745DB6"/>
    <w:rsid w:val="00746E17"/>
    <w:rsid w:val="00753E02"/>
    <w:rsid w:val="007541FA"/>
    <w:rsid w:val="0075668D"/>
    <w:rsid w:val="007575B2"/>
    <w:rsid w:val="00761143"/>
    <w:rsid w:val="00762732"/>
    <w:rsid w:val="00763A43"/>
    <w:rsid w:val="00773716"/>
    <w:rsid w:val="00774785"/>
    <w:rsid w:val="0078135C"/>
    <w:rsid w:val="007826C7"/>
    <w:rsid w:val="00782EF5"/>
    <w:rsid w:val="00783AAA"/>
    <w:rsid w:val="00783E9A"/>
    <w:rsid w:val="00784C52"/>
    <w:rsid w:val="00785A0A"/>
    <w:rsid w:val="00785B08"/>
    <w:rsid w:val="00792378"/>
    <w:rsid w:val="007929C6"/>
    <w:rsid w:val="007960B7"/>
    <w:rsid w:val="007A296F"/>
    <w:rsid w:val="007A4A4A"/>
    <w:rsid w:val="007A62E3"/>
    <w:rsid w:val="007A7872"/>
    <w:rsid w:val="007A7F72"/>
    <w:rsid w:val="007B2BF2"/>
    <w:rsid w:val="007B4B83"/>
    <w:rsid w:val="007B52F7"/>
    <w:rsid w:val="007B536D"/>
    <w:rsid w:val="007B6966"/>
    <w:rsid w:val="007B7254"/>
    <w:rsid w:val="007C1EE6"/>
    <w:rsid w:val="007C20F3"/>
    <w:rsid w:val="007C2638"/>
    <w:rsid w:val="007C2980"/>
    <w:rsid w:val="007C4054"/>
    <w:rsid w:val="007C5224"/>
    <w:rsid w:val="007D0E45"/>
    <w:rsid w:val="007D10D8"/>
    <w:rsid w:val="007D27A9"/>
    <w:rsid w:val="007D39A7"/>
    <w:rsid w:val="007D56F3"/>
    <w:rsid w:val="007D6FAB"/>
    <w:rsid w:val="007E05A2"/>
    <w:rsid w:val="007E2F16"/>
    <w:rsid w:val="007E474F"/>
    <w:rsid w:val="007E7B31"/>
    <w:rsid w:val="007F332D"/>
    <w:rsid w:val="007F4D30"/>
    <w:rsid w:val="007F6CE6"/>
    <w:rsid w:val="00801FA1"/>
    <w:rsid w:val="0080451D"/>
    <w:rsid w:val="00806A91"/>
    <w:rsid w:val="0080712A"/>
    <w:rsid w:val="008100F8"/>
    <w:rsid w:val="008117F3"/>
    <w:rsid w:val="008135DA"/>
    <w:rsid w:val="00815093"/>
    <w:rsid w:val="0081555C"/>
    <w:rsid w:val="0081695A"/>
    <w:rsid w:val="00817C2E"/>
    <w:rsid w:val="008231B4"/>
    <w:rsid w:val="00844779"/>
    <w:rsid w:val="00847086"/>
    <w:rsid w:val="008474DB"/>
    <w:rsid w:val="00847DDB"/>
    <w:rsid w:val="0085250A"/>
    <w:rsid w:val="00852AE1"/>
    <w:rsid w:val="008557E3"/>
    <w:rsid w:val="00857C80"/>
    <w:rsid w:val="00863541"/>
    <w:rsid w:val="00865DA9"/>
    <w:rsid w:val="00873CC7"/>
    <w:rsid w:val="00874066"/>
    <w:rsid w:val="008746F3"/>
    <w:rsid w:val="00881846"/>
    <w:rsid w:val="008828CE"/>
    <w:rsid w:val="008902D7"/>
    <w:rsid w:val="00893172"/>
    <w:rsid w:val="00894F0A"/>
    <w:rsid w:val="00895D96"/>
    <w:rsid w:val="008B005D"/>
    <w:rsid w:val="008B020B"/>
    <w:rsid w:val="008B1081"/>
    <w:rsid w:val="008B3AB2"/>
    <w:rsid w:val="008B5001"/>
    <w:rsid w:val="008B5D7C"/>
    <w:rsid w:val="008B6D4E"/>
    <w:rsid w:val="008B7D12"/>
    <w:rsid w:val="008C1719"/>
    <w:rsid w:val="008C4D4D"/>
    <w:rsid w:val="008C530B"/>
    <w:rsid w:val="008D2EA1"/>
    <w:rsid w:val="008E3D3C"/>
    <w:rsid w:val="008E566C"/>
    <w:rsid w:val="008E6706"/>
    <w:rsid w:val="008F4899"/>
    <w:rsid w:val="009048E3"/>
    <w:rsid w:val="00905165"/>
    <w:rsid w:val="00907006"/>
    <w:rsid w:val="00911C14"/>
    <w:rsid w:val="00914469"/>
    <w:rsid w:val="00915E22"/>
    <w:rsid w:val="00920069"/>
    <w:rsid w:val="00921951"/>
    <w:rsid w:val="0092433A"/>
    <w:rsid w:val="00924940"/>
    <w:rsid w:val="00925116"/>
    <w:rsid w:val="00927BBF"/>
    <w:rsid w:val="00933F5F"/>
    <w:rsid w:val="0094264F"/>
    <w:rsid w:val="0094317B"/>
    <w:rsid w:val="0094379D"/>
    <w:rsid w:val="00946394"/>
    <w:rsid w:val="0095014B"/>
    <w:rsid w:val="009536DF"/>
    <w:rsid w:val="009569B1"/>
    <w:rsid w:val="009620B2"/>
    <w:rsid w:val="00962397"/>
    <w:rsid w:val="00963110"/>
    <w:rsid w:val="0097115B"/>
    <w:rsid w:val="00971EEE"/>
    <w:rsid w:val="009751FC"/>
    <w:rsid w:val="0097681F"/>
    <w:rsid w:val="00977526"/>
    <w:rsid w:val="00981C8F"/>
    <w:rsid w:val="00983494"/>
    <w:rsid w:val="00985ACD"/>
    <w:rsid w:val="00986AA6"/>
    <w:rsid w:val="009923D3"/>
    <w:rsid w:val="00993363"/>
    <w:rsid w:val="009936DD"/>
    <w:rsid w:val="00995860"/>
    <w:rsid w:val="00997CD0"/>
    <w:rsid w:val="009A52BA"/>
    <w:rsid w:val="009A6D98"/>
    <w:rsid w:val="009B010D"/>
    <w:rsid w:val="009B3A74"/>
    <w:rsid w:val="009B508D"/>
    <w:rsid w:val="009B50AC"/>
    <w:rsid w:val="009B74D8"/>
    <w:rsid w:val="009C510A"/>
    <w:rsid w:val="009C6AE3"/>
    <w:rsid w:val="009D1381"/>
    <w:rsid w:val="009D18DD"/>
    <w:rsid w:val="009D359D"/>
    <w:rsid w:val="009D507E"/>
    <w:rsid w:val="009D67F2"/>
    <w:rsid w:val="009D79C3"/>
    <w:rsid w:val="009E3D3B"/>
    <w:rsid w:val="009E653E"/>
    <w:rsid w:val="009F425F"/>
    <w:rsid w:val="009F5151"/>
    <w:rsid w:val="009F529E"/>
    <w:rsid w:val="00A03C8E"/>
    <w:rsid w:val="00A05E06"/>
    <w:rsid w:val="00A07535"/>
    <w:rsid w:val="00A1148F"/>
    <w:rsid w:val="00A12CFD"/>
    <w:rsid w:val="00A20820"/>
    <w:rsid w:val="00A20B2F"/>
    <w:rsid w:val="00A20BCE"/>
    <w:rsid w:val="00A227F6"/>
    <w:rsid w:val="00A22B1B"/>
    <w:rsid w:val="00A24BEA"/>
    <w:rsid w:val="00A30C5E"/>
    <w:rsid w:val="00A3276E"/>
    <w:rsid w:val="00A43011"/>
    <w:rsid w:val="00A4429F"/>
    <w:rsid w:val="00A453DB"/>
    <w:rsid w:val="00A503F1"/>
    <w:rsid w:val="00A568A9"/>
    <w:rsid w:val="00A57806"/>
    <w:rsid w:val="00A63C87"/>
    <w:rsid w:val="00A64C0A"/>
    <w:rsid w:val="00A715B0"/>
    <w:rsid w:val="00A76822"/>
    <w:rsid w:val="00A804D6"/>
    <w:rsid w:val="00A80992"/>
    <w:rsid w:val="00A81C59"/>
    <w:rsid w:val="00A83795"/>
    <w:rsid w:val="00A87D19"/>
    <w:rsid w:val="00A90657"/>
    <w:rsid w:val="00A908D8"/>
    <w:rsid w:val="00A91EC9"/>
    <w:rsid w:val="00A9328B"/>
    <w:rsid w:val="00A95EA0"/>
    <w:rsid w:val="00AA11BE"/>
    <w:rsid w:val="00AA33B1"/>
    <w:rsid w:val="00AA3639"/>
    <w:rsid w:val="00AA440E"/>
    <w:rsid w:val="00AB07B0"/>
    <w:rsid w:val="00AB22C2"/>
    <w:rsid w:val="00AC21BF"/>
    <w:rsid w:val="00AC2C87"/>
    <w:rsid w:val="00AC7142"/>
    <w:rsid w:val="00AD1A4C"/>
    <w:rsid w:val="00AD399A"/>
    <w:rsid w:val="00AD5512"/>
    <w:rsid w:val="00AD7124"/>
    <w:rsid w:val="00AE1895"/>
    <w:rsid w:val="00AE31E2"/>
    <w:rsid w:val="00AE3B1B"/>
    <w:rsid w:val="00AE457C"/>
    <w:rsid w:val="00AE5260"/>
    <w:rsid w:val="00AF0D4E"/>
    <w:rsid w:val="00AF462B"/>
    <w:rsid w:val="00AF6777"/>
    <w:rsid w:val="00AF7AF8"/>
    <w:rsid w:val="00AF7B36"/>
    <w:rsid w:val="00AF7F27"/>
    <w:rsid w:val="00B020A4"/>
    <w:rsid w:val="00B0254D"/>
    <w:rsid w:val="00B03E84"/>
    <w:rsid w:val="00B049C7"/>
    <w:rsid w:val="00B061E2"/>
    <w:rsid w:val="00B148BC"/>
    <w:rsid w:val="00B21318"/>
    <w:rsid w:val="00B2455A"/>
    <w:rsid w:val="00B277B6"/>
    <w:rsid w:val="00B27D50"/>
    <w:rsid w:val="00B31626"/>
    <w:rsid w:val="00B40B5F"/>
    <w:rsid w:val="00B42505"/>
    <w:rsid w:val="00B4312F"/>
    <w:rsid w:val="00B4464D"/>
    <w:rsid w:val="00B471DE"/>
    <w:rsid w:val="00B47488"/>
    <w:rsid w:val="00B5154B"/>
    <w:rsid w:val="00B519A7"/>
    <w:rsid w:val="00B5279B"/>
    <w:rsid w:val="00B52AA9"/>
    <w:rsid w:val="00B53268"/>
    <w:rsid w:val="00B55498"/>
    <w:rsid w:val="00B57446"/>
    <w:rsid w:val="00B600C3"/>
    <w:rsid w:val="00B60A41"/>
    <w:rsid w:val="00B61B2E"/>
    <w:rsid w:val="00B6355C"/>
    <w:rsid w:val="00B6583E"/>
    <w:rsid w:val="00B661D7"/>
    <w:rsid w:val="00B7095F"/>
    <w:rsid w:val="00B726F0"/>
    <w:rsid w:val="00B75AB7"/>
    <w:rsid w:val="00B81DB8"/>
    <w:rsid w:val="00B82876"/>
    <w:rsid w:val="00B86508"/>
    <w:rsid w:val="00B91168"/>
    <w:rsid w:val="00B9190A"/>
    <w:rsid w:val="00B921CE"/>
    <w:rsid w:val="00B9317E"/>
    <w:rsid w:val="00B94340"/>
    <w:rsid w:val="00B957CE"/>
    <w:rsid w:val="00B95E29"/>
    <w:rsid w:val="00B95FE0"/>
    <w:rsid w:val="00BA062D"/>
    <w:rsid w:val="00BA1FDA"/>
    <w:rsid w:val="00BA2F7E"/>
    <w:rsid w:val="00BA5E61"/>
    <w:rsid w:val="00BA68F6"/>
    <w:rsid w:val="00BA6A15"/>
    <w:rsid w:val="00BB134C"/>
    <w:rsid w:val="00BB48DC"/>
    <w:rsid w:val="00BB5877"/>
    <w:rsid w:val="00BB7C58"/>
    <w:rsid w:val="00BC0145"/>
    <w:rsid w:val="00BC0942"/>
    <w:rsid w:val="00BC1642"/>
    <w:rsid w:val="00BC1CC9"/>
    <w:rsid w:val="00BC59A8"/>
    <w:rsid w:val="00BC6CC3"/>
    <w:rsid w:val="00BC761E"/>
    <w:rsid w:val="00BD4B69"/>
    <w:rsid w:val="00BE440E"/>
    <w:rsid w:val="00BF0D5D"/>
    <w:rsid w:val="00BF3C4E"/>
    <w:rsid w:val="00BF5EFB"/>
    <w:rsid w:val="00C0234E"/>
    <w:rsid w:val="00C04F48"/>
    <w:rsid w:val="00C059EC"/>
    <w:rsid w:val="00C06B7D"/>
    <w:rsid w:val="00C125AE"/>
    <w:rsid w:val="00C206AD"/>
    <w:rsid w:val="00C235A2"/>
    <w:rsid w:val="00C40926"/>
    <w:rsid w:val="00C40A6E"/>
    <w:rsid w:val="00C43577"/>
    <w:rsid w:val="00C43809"/>
    <w:rsid w:val="00C52047"/>
    <w:rsid w:val="00C52308"/>
    <w:rsid w:val="00C53A31"/>
    <w:rsid w:val="00C540B0"/>
    <w:rsid w:val="00C54386"/>
    <w:rsid w:val="00C56128"/>
    <w:rsid w:val="00C6378B"/>
    <w:rsid w:val="00C65564"/>
    <w:rsid w:val="00C70F43"/>
    <w:rsid w:val="00C73917"/>
    <w:rsid w:val="00C739E3"/>
    <w:rsid w:val="00C75C4C"/>
    <w:rsid w:val="00C76E70"/>
    <w:rsid w:val="00C90006"/>
    <w:rsid w:val="00C934BC"/>
    <w:rsid w:val="00CA3D9F"/>
    <w:rsid w:val="00CB035C"/>
    <w:rsid w:val="00CB602A"/>
    <w:rsid w:val="00CB6E39"/>
    <w:rsid w:val="00CC0FA5"/>
    <w:rsid w:val="00CC1C5D"/>
    <w:rsid w:val="00CC7066"/>
    <w:rsid w:val="00CC708B"/>
    <w:rsid w:val="00CC783E"/>
    <w:rsid w:val="00CD34D0"/>
    <w:rsid w:val="00CD517C"/>
    <w:rsid w:val="00CE0E5D"/>
    <w:rsid w:val="00CE151B"/>
    <w:rsid w:val="00CE30F9"/>
    <w:rsid w:val="00CE3678"/>
    <w:rsid w:val="00CF4C48"/>
    <w:rsid w:val="00CF6A52"/>
    <w:rsid w:val="00D00683"/>
    <w:rsid w:val="00D03D41"/>
    <w:rsid w:val="00D111E5"/>
    <w:rsid w:val="00D1292B"/>
    <w:rsid w:val="00D136B3"/>
    <w:rsid w:val="00D13AC1"/>
    <w:rsid w:val="00D145A1"/>
    <w:rsid w:val="00D315C6"/>
    <w:rsid w:val="00D33643"/>
    <w:rsid w:val="00D373A3"/>
    <w:rsid w:val="00D43BB4"/>
    <w:rsid w:val="00D50028"/>
    <w:rsid w:val="00D5107C"/>
    <w:rsid w:val="00D5132F"/>
    <w:rsid w:val="00D51415"/>
    <w:rsid w:val="00D51FE6"/>
    <w:rsid w:val="00D52C94"/>
    <w:rsid w:val="00D5398A"/>
    <w:rsid w:val="00D5505D"/>
    <w:rsid w:val="00D60BB5"/>
    <w:rsid w:val="00D64713"/>
    <w:rsid w:val="00D64B3C"/>
    <w:rsid w:val="00D71083"/>
    <w:rsid w:val="00D72497"/>
    <w:rsid w:val="00D8051B"/>
    <w:rsid w:val="00D807F7"/>
    <w:rsid w:val="00D809A2"/>
    <w:rsid w:val="00D813EA"/>
    <w:rsid w:val="00D83EFA"/>
    <w:rsid w:val="00D8401E"/>
    <w:rsid w:val="00D85FD7"/>
    <w:rsid w:val="00D90CD8"/>
    <w:rsid w:val="00D91791"/>
    <w:rsid w:val="00D92C91"/>
    <w:rsid w:val="00D94C92"/>
    <w:rsid w:val="00D9718D"/>
    <w:rsid w:val="00D97ED3"/>
    <w:rsid w:val="00DB416A"/>
    <w:rsid w:val="00DB4723"/>
    <w:rsid w:val="00DB7283"/>
    <w:rsid w:val="00DB77DE"/>
    <w:rsid w:val="00DC06DE"/>
    <w:rsid w:val="00DC15E0"/>
    <w:rsid w:val="00DD0205"/>
    <w:rsid w:val="00DD3B06"/>
    <w:rsid w:val="00DD5714"/>
    <w:rsid w:val="00DD5D4D"/>
    <w:rsid w:val="00DE19F4"/>
    <w:rsid w:val="00DE1C9C"/>
    <w:rsid w:val="00DE3BC0"/>
    <w:rsid w:val="00DF1172"/>
    <w:rsid w:val="00DF137A"/>
    <w:rsid w:val="00DF5E07"/>
    <w:rsid w:val="00DF6A55"/>
    <w:rsid w:val="00E02495"/>
    <w:rsid w:val="00E06211"/>
    <w:rsid w:val="00E11419"/>
    <w:rsid w:val="00E11C61"/>
    <w:rsid w:val="00E127B2"/>
    <w:rsid w:val="00E139FE"/>
    <w:rsid w:val="00E156F6"/>
    <w:rsid w:val="00E16BE1"/>
    <w:rsid w:val="00E218F0"/>
    <w:rsid w:val="00E22F46"/>
    <w:rsid w:val="00E334EB"/>
    <w:rsid w:val="00E360AF"/>
    <w:rsid w:val="00E408DF"/>
    <w:rsid w:val="00E42F34"/>
    <w:rsid w:val="00E4455B"/>
    <w:rsid w:val="00E447DF"/>
    <w:rsid w:val="00E50E99"/>
    <w:rsid w:val="00E52A0C"/>
    <w:rsid w:val="00E53688"/>
    <w:rsid w:val="00E545E9"/>
    <w:rsid w:val="00E55DEB"/>
    <w:rsid w:val="00E56A67"/>
    <w:rsid w:val="00E570D0"/>
    <w:rsid w:val="00E61A73"/>
    <w:rsid w:val="00E63A57"/>
    <w:rsid w:val="00E750E1"/>
    <w:rsid w:val="00E816E0"/>
    <w:rsid w:val="00E81E4C"/>
    <w:rsid w:val="00E8302E"/>
    <w:rsid w:val="00E832FB"/>
    <w:rsid w:val="00E861AA"/>
    <w:rsid w:val="00E90DF4"/>
    <w:rsid w:val="00E9290E"/>
    <w:rsid w:val="00EA1BA5"/>
    <w:rsid w:val="00EA2985"/>
    <w:rsid w:val="00EA2D74"/>
    <w:rsid w:val="00EA300E"/>
    <w:rsid w:val="00EA305D"/>
    <w:rsid w:val="00EB130F"/>
    <w:rsid w:val="00EB15F9"/>
    <w:rsid w:val="00EC085F"/>
    <w:rsid w:val="00EC1CDF"/>
    <w:rsid w:val="00EC1D6B"/>
    <w:rsid w:val="00EC7FF9"/>
    <w:rsid w:val="00ED05B9"/>
    <w:rsid w:val="00ED1D39"/>
    <w:rsid w:val="00ED3752"/>
    <w:rsid w:val="00ED6FFC"/>
    <w:rsid w:val="00ED7B29"/>
    <w:rsid w:val="00EE19F0"/>
    <w:rsid w:val="00EE28CF"/>
    <w:rsid w:val="00EE2E7D"/>
    <w:rsid w:val="00EE422E"/>
    <w:rsid w:val="00EE4899"/>
    <w:rsid w:val="00EE7AE9"/>
    <w:rsid w:val="00EF2C43"/>
    <w:rsid w:val="00EF3EB3"/>
    <w:rsid w:val="00EF4510"/>
    <w:rsid w:val="00EF6066"/>
    <w:rsid w:val="00EF6697"/>
    <w:rsid w:val="00EF671B"/>
    <w:rsid w:val="00F017E9"/>
    <w:rsid w:val="00F01861"/>
    <w:rsid w:val="00F02640"/>
    <w:rsid w:val="00F0726C"/>
    <w:rsid w:val="00F10A26"/>
    <w:rsid w:val="00F14C6F"/>
    <w:rsid w:val="00F16A42"/>
    <w:rsid w:val="00F23CB4"/>
    <w:rsid w:val="00F24DCD"/>
    <w:rsid w:val="00F319E7"/>
    <w:rsid w:val="00F31A80"/>
    <w:rsid w:val="00F345DF"/>
    <w:rsid w:val="00F516E9"/>
    <w:rsid w:val="00F52460"/>
    <w:rsid w:val="00F53322"/>
    <w:rsid w:val="00F53C83"/>
    <w:rsid w:val="00F57A80"/>
    <w:rsid w:val="00F57E7B"/>
    <w:rsid w:val="00F6392B"/>
    <w:rsid w:val="00F63A38"/>
    <w:rsid w:val="00F65A5A"/>
    <w:rsid w:val="00F66F37"/>
    <w:rsid w:val="00F70DD0"/>
    <w:rsid w:val="00F7761B"/>
    <w:rsid w:val="00F777C4"/>
    <w:rsid w:val="00F814C9"/>
    <w:rsid w:val="00F8310E"/>
    <w:rsid w:val="00F85B60"/>
    <w:rsid w:val="00F86710"/>
    <w:rsid w:val="00F868D8"/>
    <w:rsid w:val="00F87FB1"/>
    <w:rsid w:val="00F90822"/>
    <w:rsid w:val="00F90B17"/>
    <w:rsid w:val="00F954E3"/>
    <w:rsid w:val="00F96463"/>
    <w:rsid w:val="00F96C23"/>
    <w:rsid w:val="00F97116"/>
    <w:rsid w:val="00FA4963"/>
    <w:rsid w:val="00FA6D7F"/>
    <w:rsid w:val="00FA6EAF"/>
    <w:rsid w:val="00FA738A"/>
    <w:rsid w:val="00FB0C30"/>
    <w:rsid w:val="00FB2FD3"/>
    <w:rsid w:val="00FB3734"/>
    <w:rsid w:val="00FB42BB"/>
    <w:rsid w:val="00FB4949"/>
    <w:rsid w:val="00FB7174"/>
    <w:rsid w:val="00FC7668"/>
    <w:rsid w:val="00FD4D44"/>
    <w:rsid w:val="00FD7FE8"/>
    <w:rsid w:val="00FE2C06"/>
    <w:rsid w:val="00FE3CC6"/>
    <w:rsid w:val="00FE6971"/>
    <w:rsid w:val="00FF0089"/>
    <w:rsid w:val="00FF062E"/>
    <w:rsid w:val="00FF140D"/>
    <w:rsid w:val="00FF2B4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0D2"/>
  <w15:chartTrackingRefBased/>
  <w15:docId w15:val="{95941D93-0465-4270-A2F8-196C57A7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419"/>
    <w:rPr>
      <w:color w:val="0563C1" w:themeColor="hyperlink"/>
      <w:u w:val="single"/>
    </w:rPr>
  </w:style>
  <w:style w:type="paragraph" w:styleId="ListParagraph">
    <w:name w:val="List Paragraph"/>
    <w:basedOn w:val="Normal"/>
    <w:uiPriority w:val="34"/>
    <w:qFormat/>
    <w:rsid w:val="003024DB"/>
    <w:pPr>
      <w:ind w:left="720"/>
      <w:contextualSpacing/>
    </w:pPr>
  </w:style>
  <w:style w:type="table" w:styleId="TableGrid">
    <w:name w:val="Table Grid"/>
    <w:basedOn w:val="TableNormal"/>
    <w:uiPriority w:val="39"/>
    <w:rsid w:val="003D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E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E7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91168"/>
    <w:rPr>
      <w:sz w:val="16"/>
      <w:szCs w:val="16"/>
    </w:rPr>
  </w:style>
  <w:style w:type="paragraph" w:styleId="CommentText">
    <w:name w:val="annotation text"/>
    <w:basedOn w:val="Normal"/>
    <w:link w:val="CommentTextChar"/>
    <w:uiPriority w:val="99"/>
    <w:semiHidden/>
    <w:unhideWhenUsed/>
    <w:rsid w:val="00B91168"/>
    <w:pPr>
      <w:spacing w:line="240" w:lineRule="auto"/>
    </w:pPr>
    <w:rPr>
      <w:sz w:val="20"/>
      <w:szCs w:val="20"/>
    </w:rPr>
  </w:style>
  <w:style w:type="character" w:customStyle="1" w:styleId="CommentTextChar">
    <w:name w:val="Comment Text Char"/>
    <w:basedOn w:val="DefaultParagraphFont"/>
    <w:link w:val="CommentText"/>
    <w:uiPriority w:val="99"/>
    <w:semiHidden/>
    <w:rsid w:val="00B91168"/>
    <w:rPr>
      <w:sz w:val="20"/>
      <w:szCs w:val="20"/>
    </w:rPr>
  </w:style>
  <w:style w:type="paragraph" w:styleId="CommentSubject">
    <w:name w:val="annotation subject"/>
    <w:basedOn w:val="CommentText"/>
    <w:next w:val="CommentText"/>
    <w:link w:val="CommentSubjectChar"/>
    <w:uiPriority w:val="99"/>
    <w:semiHidden/>
    <w:unhideWhenUsed/>
    <w:rsid w:val="00B91168"/>
    <w:rPr>
      <w:b/>
      <w:bCs/>
    </w:rPr>
  </w:style>
  <w:style w:type="character" w:customStyle="1" w:styleId="CommentSubjectChar">
    <w:name w:val="Comment Subject Char"/>
    <w:basedOn w:val="CommentTextChar"/>
    <w:link w:val="CommentSubject"/>
    <w:uiPriority w:val="99"/>
    <w:semiHidden/>
    <w:rsid w:val="00B91168"/>
    <w:rPr>
      <w:b/>
      <w:bCs/>
      <w:sz w:val="20"/>
      <w:szCs w:val="20"/>
    </w:rPr>
  </w:style>
  <w:style w:type="paragraph" w:styleId="BalloonText">
    <w:name w:val="Balloon Text"/>
    <w:basedOn w:val="Normal"/>
    <w:link w:val="BalloonTextChar"/>
    <w:uiPriority w:val="99"/>
    <w:semiHidden/>
    <w:unhideWhenUsed/>
    <w:rsid w:val="00B91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168"/>
    <w:rPr>
      <w:rFonts w:ascii="Segoe UI" w:hAnsi="Segoe UI" w:cs="Segoe UI"/>
      <w:sz w:val="18"/>
      <w:szCs w:val="18"/>
    </w:rPr>
  </w:style>
  <w:style w:type="character" w:styleId="PlaceholderText">
    <w:name w:val="Placeholder Text"/>
    <w:basedOn w:val="DefaultParagraphFont"/>
    <w:uiPriority w:val="99"/>
    <w:semiHidden/>
    <w:rsid w:val="008155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8873">
      <w:bodyDiv w:val="1"/>
      <w:marLeft w:val="0"/>
      <w:marRight w:val="0"/>
      <w:marTop w:val="0"/>
      <w:marBottom w:val="0"/>
      <w:divBdr>
        <w:top w:val="none" w:sz="0" w:space="0" w:color="auto"/>
        <w:left w:val="none" w:sz="0" w:space="0" w:color="auto"/>
        <w:bottom w:val="none" w:sz="0" w:space="0" w:color="auto"/>
        <w:right w:val="none" w:sz="0" w:space="0" w:color="auto"/>
      </w:divBdr>
      <w:divsChild>
        <w:div w:id="374160572">
          <w:marLeft w:val="480"/>
          <w:marRight w:val="0"/>
          <w:marTop w:val="0"/>
          <w:marBottom w:val="0"/>
          <w:divBdr>
            <w:top w:val="none" w:sz="0" w:space="0" w:color="auto"/>
            <w:left w:val="none" w:sz="0" w:space="0" w:color="auto"/>
            <w:bottom w:val="none" w:sz="0" w:space="0" w:color="auto"/>
            <w:right w:val="none" w:sz="0" w:space="0" w:color="auto"/>
          </w:divBdr>
          <w:divsChild>
            <w:div w:id="4495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0261">
      <w:bodyDiv w:val="1"/>
      <w:marLeft w:val="0"/>
      <w:marRight w:val="0"/>
      <w:marTop w:val="0"/>
      <w:marBottom w:val="0"/>
      <w:divBdr>
        <w:top w:val="none" w:sz="0" w:space="0" w:color="auto"/>
        <w:left w:val="none" w:sz="0" w:space="0" w:color="auto"/>
        <w:bottom w:val="none" w:sz="0" w:space="0" w:color="auto"/>
        <w:right w:val="none" w:sz="0" w:space="0" w:color="auto"/>
      </w:divBdr>
    </w:div>
    <w:div w:id="1494757064">
      <w:bodyDiv w:val="1"/>
      <w:marLeft w:val="0"/>
      <w:marRight w:val="0"/>
      <w:marTop w:val="0"/>
      <w:marBottom w:val="0"/>
      <w:divBdr>
        <w:top w:val="none" w:sz="0" w:space="0" w:color="auto"/>
        <w:left w:val="none" w:sz="0" w:space="0" w:color="auto"/>
        <w:bottom w:val="none" w:sz="0" w:space="0" w:color="auto"/>
        <w:right w:val="none" w:sz="0" w:space="0" w:color="auto"/>
      </w:divBdr>
      <w:divsChild>
        <w:div w:id="1045985641">
          <w:marLeft w:val="480"/>
          <w:marRight w:val="0"/>
          <w:marTop w:val="0"/>
          <w:marBottom w:val="0"/>
          <w:divBdr>
            <w:top w:val="none" w:sz="0" w:space="0" w:color="auto"/>
            <w:left w:val="none" w:sz="0" w:space="0" w:color="auto"/>
            <w:bottom w:val="none" w:sz="0" w:space="0" w:color="auto"/>
            <w:right w:val="none" w:sz="0" w:space="0" w:color="auto"/>
          </w:divBdr>
          <w:divsChild>
            <w:div w:id="17186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73/pnas.16099151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1559-017-025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76ED3-AB61-424B-851A-08EE5771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Frazier</dc:creator>
  <cp:keywords/>
  <dc:description/>
  <cp:lastModifiedBy>Melanie Frazier</cp:lastModifiedBy>
  <cp:revision>5</cp:revision>
  <dcterms:created xsi:type="dcterms:W3CDTF">2019-10-11T20:13:00Z</dcterms:created>
  <dcterms:modified xsi:type="dcterms:W3CDTF">2019-11-15T18:26:00Z</dcterms:modified>
</cp:coreProperties>
</file>