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009AB" w14:textId="4A753662" w:rsidR="00BB7C58" w:rsidRPr="00EE7AE9" w:rsidRDefault="00324CB9" w:rsidP="00662E7E">
      <w:pPr>
        <w:pStyle w:val="Heading1"/>
        <w:rPr>
          <w:vertAlign w:val="subscript"/>
        </w:rPr>
      </w:pPr>
      <w:r>
        <w:t>OHI 20</w:t>
      </w:r>
      <w:r w:rsidR="000F59D6">
        <w:t>20</w:t>
      </w:r>
      <w:r w:rsidR="00EF671B">
        <w:t>: Updates to data and methods</w:t>
      </w:r>
    </w:p>
    <w:p w14:paraId="42687F4E" w14:textId="77777777" w:rsidR="008B7D12" w:rsidRDefault="008B7D12" w:rsidP="00B726F0">
      <w:pPr>
        <w:pStyle w:val="Heading2"/>
      </w:pPr>
    </w:p>
    <w:p w14:paraId="3E3AB7D0" w14:textId="0DB42499" w:rsidR="00B726F0" w:rsidRDefault="00B726F0" w:rsidP="00B726F0">
      <w:pPr>
        <w:pStyle w:val="Heading2"/>
      </w:pPr>
      <w:r>
        <w:t>Global Fellows</w:t>
      </w:r>
    </w:p>
    <w:p w14:paraId="7EAC54A6" w14:textId="41E50FD6" w:rsidR="008B7D12" w:rsidRDefault="000F59D6" w:rsidP="00B726F0">
      <w:r>
        <w:t xml:space="preserve">The global fellow, Laura </w:t>
      </w:r>
      <w:proofErr w:type="spellStart"/>
      <w:r>
        <w:t>Ingulsrud</w:t>
      </w:r>
      <w:proofErr w:type="spellEnd"/>
      <w:r>
        <w:t>, along with the help of Gage Clawson and Melanie Frazier conducted the 2020 OHI assessment.</w:t>
      </w:r>
      <w:r w:rsidR="00984ABC">
        <w:t xml:space="preserve"> Sara Orofino and Maddie Berger (OHI+ fellows) also contributed to the prep of a couple of data layers.</w:t>
      </w:r>
      <w:r>
        <w:t xml:space="preserve"> They were able to improve several data layers, and continued to improve our documentation. </w:t>
      </w:r>
      <w:r w:rsidR="00984ABC">
        <w:t>M</w:t>
      </w:r>
      <w:r>
        <w:t>ajor accomplishme</w:t>
      </w:r>
      <w:r w:rsidR="00984ABC">
        <w:t>n</w:t>
      </w:r>
      <w:r>
        <w:t>t</w:t>
      </w:r>
      <w:r w:rsidR="00984ABC">
        <w:t>s include</w:t>
      </w:r>
      <w:r>
        <w:t xml:space="preserve"> completely revamping the natural products goal to include more refined and less variable data</w:t>
      </w:r>
      <w:r w:rsidR="00984ABC">
        <w:t xml:space="preserve">, and implementing new </w:t>
      </w:r>
      <w:proofErr w:type="spellStart"/>
      <w:r w:rsidR="00984ABC">
        <w:t>mariculture</w:t>
      </w:r>
      <w:proofErr w:type="spellEnd"/>
      <w:r w:rsidR="00984ABC">
        <w:t xml:space="preserve"> sustainability data from Seafood Watch</w:t>
      </w:r>
      <w:r>
        <w:t>. Thanks to the work of Laura</w:t>
      </w:r>
      <w:r w:rsidR="001F0209">
        <w:t>,</w:t>
      </w:r>
      <w:r>
        <w:t xml:space="preserve"> the global OHI 2020 assessment was a huge success! </w:t>
      </w:r>
    </w:p>
    <w:p w14:paraId="2FFD12C5" w14:textId="77777777" w:rsidR="000F59D6" w:rsidRDefault="000F59D6" w:rsidP="00B726F0"/>
    <w:p w14:paraId="34E9D829" w14:textId="77777777" w:rsidR="00256DD1" w:rsidRPr="00256DD1" w:rsidRDefault="000C4AC9" w:rsidP="00256DD1">
      <w:pPr>
        <w:pStyle w:val="Heading2"/>
      </w:pPr>
      <w:r>
        <w:t xml:space="preserve">Goals status and trend </w:t>
      </w:r>
      <w:r w:rsidR="003024DB">
        <w:t>updates</w:t>
      </w:r>
    </w:p>
    <w:p w14:paraId="51492F6F" w14:textId="16070126" w:rsidR="006F1231" w:rsidRPr="00EE7AE9" w:rsidRDefault="00D43BB4" w:rsidP="001C1753">
      <w:r>
        <w:t xml:space="preserve">We updated </w:t>
      </w:r>
      <w:r w:rsidR="000F59D6">
        <w:t>7</w:t>
      </w:r>
      <w:r w:rsidR="001F4D18">
        <w:t xml:space="preserve"> of the </w:t>
      </w:r>
      <w:r>
        <w:t>10</w:t>
      </w:r>
      <w:r w:rsidR="001F4D18">
        <w:t xml:space="preserve"> goals with </w:t>
      </w:r>
      <w:r>
        <w:t xml:space="preserve">additional years of </w:t>
      </w:r>
      <w:r w:rsidR="001F4D18">
        <w:t xml:space="preserve">data.  </w:t>
      </w:r>
      <w:r w:rsidR="00CF7EE0">
        <w:t>L</w:t>
      </w:r>
      <w:r w:rsidR="001F4D18">
        <w:t>ivelihoods and economies</w:t>
      </w:r>
      <w:r w:rsidR="00CF7EE0">
        <w:t>, clean waters, and carbon storage</w:t>
      </w:r>
      <w:r w:rsidR="00B6355C">
        <w:t xml:space="preserve"> w</w:t>
      </w:r>
      <w:r w:rsidR="00CF7EE0">
        <w:t>ere</w:t>
      </w:r>
      <w:r w:rsidR="001F4D18">
        <w:t xml:space="preserve"> not updated because </w:t>
      </w:r>
      <w:r w:rsidR="00362AE5">
        <w:t>original</w:t>
      </w:r>
      <w:r w:rsidR="001F4D18">
        <w:t xml:space="preserve"> data </w:t>
      </w:r>
      <w:r w:rsidR="001E5D53">
        <w:t xml:space="preserve">sources </w:t>
      </w:r>
      <w:r w:rsidR="001F4D18">
        <w:t xml:space="preserve">are </w:t>
      </w:r>
      <w:r w:rsidR="00B277B6">
        <w:t>no</w:t>
      </w:r>
      <w:r w:rsidR="00362AE5">
        <w:t xml:space="preserve"> longer</w:t>
      </w:r>
      <w:r w:rsidR="00B726F0">
        <w:t xml:space="preserve"> updated</w:t>
      </w:r>
      <w:r w:rsidR="001F4D18">
        <w:t xml:space="preserve"> and new data sources are unavailable</w:t>
      </w:r>
      <w:r w:rsidR="003024DB">
        <w:t>.</w:t>
      </w:r>
      <w:r w:rsidR="00863541">
        <w:t xml:space="preserve">  </w:t>
      </w:r>
    </w:p>
    <w:p w14:paraId="15147E9B" w14:textId="132FB958" w:rsidR="001E5D53" w:rsidRDefault="00D43BB4" w:rsidP="001E5D53">
      <w:pPr>
        <w:rPr>
          <w:i/>
        </w:rPr>
      </w:pPr>
      <w:r w:rsidRPr="00D72497">
        <w:rPr>
          <w:i/>
        </w:rPr>
        <w:t>New methods</w:t>
      </w:r>
      <w:r w:rsidR="00C52047">
        <w:rPr>
          <w:i/>
        </w:rPr>
        <w:t>/data</w:t>
      </w:r>
    </w:p>
    <w:p w14:paraId="1F39C68D" w14:textId="466E9FDC" w:rsidR="00685331" w:rsidRDefault="00A453DB" w:rsidP="00685331">
      <w:proofErr w:type="spellStart"/>
      <w:r>
        <w:t>Mariculture</w:t>
      </w:r>
      <w:proofErr w:type="spellEnd"/>
      <w:r>
        <w:t xml:space="preserve">: </w:t>
      </w:r>
      <w:r w:rsidR="00CF7EE0">
        <w:t xml:space="preserve">Updated the sustainability scores from the old (2008) Trujillo scores, to new (2020) Monterey Bay Aquarium Seafood Watch aquaculture scores. </w:t>
      </w:r>
    </w:p>
    <w:p w14:paraId="54505FB0" w14:textId="77777777" w:rsidR="00CF7EE0" w:rsidRDefault="00476AAA" w:rsidP="00CF7EE0">
      <w:pPr>
        <w:shd w:val="clear" w:color="auto" w:fill="FFFFFF"/>
        <w:spacing w:before="100" w:beforeAutospacing="1" w:after="100" w:afterAutospacing="1" w:line="240" w:lineRule="auto"/>
        <w:rPr>
          <w:rFonts w:ascii="Calibri" w:hAnsi="Calibri" w:cs="Calibri"/>
        </w:rPr>
      </w:pPr>
      <w:r w:rsidRPr="00CF7EE0">
        <w:rPr>
          <w:rFonts w:ascii="Calibri" w:hAnsi="Calibri" w:cs="Calibri"/>
        </w:rPr>
        <w:t>Natural Products:</w:t>
      </w:r>
      <w:r w:rsidR="00CF7EE0" w:rsidRPr="00CF7EE0">
        <w:rPr>
          <w:rFonts w:ascii="Calibri" w:hAnsi="Calibri" w:cs="Calibri"/>
        </w:rPr>
        <w:t xml:space="preserve"> </w:t>
      </w:r>
    </w:p>
    <w:p w14:paraId="01DD1644" w14:textId="6F34B6A9" w:rsidR="00CF7EE0" w:rsidRPr="00CF7EE0" w:rsidRDefault="00CF7EE0" w:rsidP="00CF7EE0">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We now only include 3 natural product categories, ornamental fish, FOFM, and seaweeds. We removed corals, sponges, and shells from the calculations. </w:t>
      </w:r>
    </w:p>
    <w:p w14:paraId="19ABE34E" w14:textId="77777777" w:rsidR="00CF7EE0" w:rsidRPr="00CF7EE0" w:rsidRDefault="00CF7EE0" w:rsidP="00CF7EE0">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The data for ornamental fish stayed the same, FAO commodity data. </w:t>
      </w:r>
    </w:p>
    <w:p w14:paraId="723BEE71" w14:textId="77777777" w:rsidR="00CF7EE0" w:rsidRPr="00CF7EE0" w:rsidRDefault="00CF7EE0" w:rsidP="00CF7EE0">
      <w:pPr>
        <w:pStyle w:val="ListParagraph"/>
        <w:numPr>
          <w:ilvl w:val="1"/>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We kept the methods for the scores and sustainability (blast and poison fishing) for ornamental fish the same. </w:t>
      </w:r>
    </w:p>
    <w:p w14:paraId="0037645C" w14:textId="77777777" w:rsidR="00CF7EE0" w:rsidRPr="00CF7EE0" w:rsidRDefault="00CF7EE0" w:rsidP="00CF7EE0">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 xml:space="preserve">The data for FOFM is now pulled from the </w:t>
      </w:r>
      <w:proofErr w:type="spellStart"/>
      <w:r w:rsidRPr="00CF7EE0">
        <w:rPr>
          <w:rFonts w:ascii="Calibri" w:eastAsia="Times New Roman" w:hAnsi="Calibri" w:cs="Calibri"/>
          <w:color w:val="222222"/>
        </w:rPr>
        <w:t>watson</w:t>
      </w:r>
      <w:proofErr w:type="spellEnd"/>
      <w:r w:rsidRPr="00CF7EE0">
        <w:rPr>
          <w:rFonts w:ascii="Calibri" w:eastAsia="Times New Roman" w:hAnsi="Calibri" w:cs="Calibri"/>
          <w:color w:val="222222"/>
        </w:rPr>
        <w:t xml:space="preserve"> fisheries data. </w:t>
      </w:r>
    </w:p>
    <w:p w14:paraId="6811C1E9" w14:textId="77777777" w:rsidR="00CF7EE0" w:rsidRPr="00CF7EE0" w:rsidRDefault="00CF7EE0" w:rsidP="00CF7EE0">
      <w:pPr>
        <w:pStyle w:val="ListParagraph"/>
        <w:numPr>
          <w:ilvl w:val="1"/>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 xml:space="preserve">We filtered for the forage fish species, and multiplied the </w:t>
      </w:r>
      <w:proofErr w:type="spellStart"/>
      <w:r w:rsidRPr="00CF7EE0">
        <w:rPr>
          <w:rFonts w:ascii="Calibri" w:eastAsia="Times New Roman" w:hAnsi="Calibri" w:cs="Calibri"/>
          <w:color w:val="222222"/>
        </w:rPr>
        <w:t>tonnes</w:t>
      </w:r>
      <w:proofErr w:type="spellEnd"/>
      <w:r w:rsidRPr="00CF7EE0">
        <w:rPr>
          <w:rFonts w:ascii="Calibri" w:eastAsia="Times New Roman" w:hAnsi="Calibri" w:cs="Calibri"/>
          <w:color w:val="222222"/>
        </w:rPr>
        <w:t xml:space="preserve"> per each species by 0.7 since "about 70% of fish meal and oil are produced from the harvest of small, open-ocean (pelagic) fish such as anchovies, herring, menhaden, capelin, anchovy, pilchard, sardines, and mackerel." (source: FAO). Our forage fish list was more comprehensive than this, and pulled from a paper by Halley Froehlich. </w:t>
      </w:r>
    </w:p>
    <w:p w14:paraId="0C48F319" w14:textId="6F535066" w:rsidR="00CF7EE0" w:rsidRPr="00CF7EE0" w:rsidRDefault="00CF7EE0" w:rsidP="00CF7EE0">
      <w:pPr>
        <w:pStyle w:val="ListParagraph"/>
        <w:numPr>
          <w:ilvl w:val="1"/>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 xml:space="preserve">Then we used the same </w:t>
      </w:r>
      <w:proofErr w:type="spellStart"/>
      <w:r w:rsidRPr="00CF7EE0">
        <w:rPr>
          <w:rFonts w:ascii="Calibri" w:eastAsia="Times New Roman" w:hAnsi="Calibri" w:cs="Calibri"/>
          <w:color w:val="222222"/>
        </w:rPr>
        <w:t>bbmsy</w:t>
      </w:r>
      <w:proofErr w:type="spellEnd"/>
      <w:r w:rsidRPr="00CF7EE0">
        <w:rPr>
          <w:rFonts w:ascii="Calibri" w:eastAsia="Times New Roman" w:hAnsi="Calibri" w:cs="Calibri"/>
          <w:color w:val="222222"/>
        </w:rPr>
        <w:t> methods as the fisheries sub goal to calculate a FOFM score. </w:t>
      </w:r>
    </w:p>
    <w:p w14:paraId="65A2B3B6" w14:textId="77777777" w:rsidR="00CF7EE0" w:rsidRPr="00CF7EE0" w:rsidRDefault="00CF7EE0" w:rsidP="00CF7EE0">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lastRenderedPageBreak/>
        <w:t xml:space="preserve">Seaweeds is now based on the FAO </w:t>
      </w:r>
      <w:proofErr w:type="spellStart"/>
      <w:r w:rsidRPr="00CF7EE0">
        <w:rPr>
          <w:rFonts w:ascii="Calibri" w:eastAsia="Times New Roman" w:hAnsi="Calibri" w:cs="Calibri"/>
          <w:color w:val="222222"/>
        </w:rPr>
        <w:t>mariculture</w:t>
      </w:r>
      <w:proofErr w:type="spellEnd"/>
      <w:r w:rsidRPr="00CF7EE0">
        <w:rPr>
          <w:rFonts w:ascii="Calibri" w:eastAsia="Times New Roman" w:hAnsi="Calibri" w:cs="Calibri"/>
          <w:color w:val="222222"/>
        </w:rPr>
        <w:t xml:space="preserve"> data, rather than the FAO exports data. </w:t>
      </w:r>
    </w:p>
    <w:p w14:paraId="2DD53EB6" w14:textId="77777777" w:rsidR="00CF7EE0" w:rsidRPr="00CF7EE0" w:rsidRDefault="00CF7EE0" w:rsidP="00CF7EE0">
      <w:pPr>
        <w:pStyle w:val="ListParagraph"/>
        <w:numPr>
          <w:ilvl w:val="1"/>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Calculations for seaweeds are largely the same (other than more refined source data), but Laura did do extensive literature review on which sea weed species are used for human consumption vs non-human consumption, which helped to refine the scores more.  </w:t>
      </w:r>
    </w:p>
    <w:p w14:paraId="68D38DAD" w14:textId="038A83C7" w:rsidR="00CF7EE0" w:rsidRPr="00CF7EE0" w:rsidRDefault="00CF7EE0" w:rsidP="00CF7EE0">
      <w:pPr>
        <w:pStyle w:val="ListParagraph"/>
        <w:numPr>
          <w:ilvl w:val="1"/>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Sustainability data is the same as the MAR sub goal</w:t>
      </w:r>
      <w:r>
        <w:rPr>
          <w:rFonts w:ascii="Calibri" w:eastAsia="Times New Roman" w:hAnsi="Calibri" w:cs="Calibri"/>
          <w:color w:val="222222"/>
        </w:rPr>
        <w:t xml:space="preserve"> (Seafood Watch 2020</w:t>
      </w:r>
      <w:r w:rsidRPr="00CF7EE0">
        <w:rPr>
          <w:rFonts w:ascii="Calibri" w:eastAsia="Times New Roman" w:hAnsi="Calibri" w:cs="Calibri"/>
          <w:color w:val="222222"/>
        </w:rPr>
        <w:t>).</w:t>
      </w:r>
    </w:p>
    <w:p w14:paraId="16EF2395" w14:textId="77777777" w:rsidR="00CF7EE0" w:rsidRPr="00CF7EE0" w:rsidRDefault="00CF7EE0" w:rsidP="00CF7EE0">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222222"/>
        </w:rPr>
      </w:pPr>
      <w:r w:rsidRPr="00CF7EE0">
        <w:rPr>
          <w:rFonts w:ascii="Calibri" w:eastAsia="Times New Roman" w:hAnsi="Calibri" w:cs="Calibri"/>
          <w:color w:val="222222"/>
        </w:rPr>
        <w:t>After weighting each natural products' contribution in USD, FOFM largely drives the scores (just as it did before), but now we have more regions in the data with FOFM scores since we are using the Watson data. </w:t>
      </w:r>
    </w:p>
    <w:p w14:paraId="0879CB69" w14:textId="256DF362" w:rsidR="00476AAA" w:rsidRDefault="00476AAA" w:rsidP="00685331"/>
    <w:p w14:paraId="061EC881" w14:textId="4F5034B0" w:rsidR="00CF7EE0" w:rsidRDefault="00CF7EE0" w:rsidP="00685331">
      <w:r>
        <w:t xml:space="preserve">Tourism and Recreation: Decided to </w:t>
      </w:r>
      <w:r w:rsidRPr="00CF7EE0">
        <w:rPr>
          <w:b/>
        </w:rPr>
        <w:t>exclude</w:t>
      </w:r>
      <w:r>
        <w:t xml:space="preserve"> travel warnings from our calculations because in many cases, travel warnings are subjective to the country issuing the warning (in our case we were using the US travel warnings, gap filled by Canadian travel warnings). </w:t>
      </w:r>
    </w:p>
    <w:p w14:paraId="5E703F83" w14:textId="761EAC76" w:rsidR="00CF7EE0" w:rsidRDefault="00CF7EE0" w:rsidP="00685331">
      <w:r>
        <w:t xml:space="preserve">Coral extent: Updated with a data set, Global Distribution of Coral Reefs (2018, </w:t>
      </w:r>
      <w:hyperlink r:id="rId6" w:history="1">
        <w:r w:rsidRPr="007F549F">
          <w:rPr>
            <w:rStyle w:val="Hyperlink"/>
          </w:rPr>
          <w:t>https://data.unep-wcmc.org/datasets/1</w:t>
        </w:r>
      </w:hyperlink>
      <w:r>
        <w:t>). Includes extent estimates for 4 new regions, but loses extent estimates for 2 regions, resulting in a net gain of 2 regions</w:t>
      </w:r>
      <w:r w:rsidR="001F0209">
        <w:t xml:space="preserve">, and more coral extent in area km2. </w:t>
      </w:r>
    </w:p>
    <w:p w14:paraId="637C674A" w14:textId="77777777" w:rsidR="00685331" w:rsidRDefault="00685331" w:rsidP="00773716">
      <w:pPr>
        <w:pStyle w:val="Heading2"/>
      </w:pPr>
    </w:p>
    <w:p w14:paraId="4A60FE1B" w14:textId="0682D044" w:rsidR="00256DD1" w:rsidRDefault="000C4AC9" w:rsidP="00773716">
      <w:pPr>
        <w:pStyle w:val="Heading2"/>
      </w:pPr>
      <w:r>
        <w:t>Pressures</w:t>
      </w:r>
    </w:p>
    <w:p w14:paraId="06012E80" w14:textId="0CE8A4EC" w:rsidR="00256DD1" w:rsidRDefault="00D43BB4" w:rsidP="00B61B2E">
      <w:r>
        <w:t>We updated 1</w:t>
      </w:r>
      <w:r w:rsidR="00CF7EE0">
        <w:t>1</w:t>
      </w:r>
      <w:r w:rsidR="0060173E">
        <w:t xml:space="preserve"> </w:t>
      </w:r>
      <w:r>
        <w:t>of the 20 pressures with additional years of data.</w:t>
      </w:r>
      <w:r w:rsidR="00256DD1">
        <w:t xml:space="preserve"> </w:t>
      </w:r>
      <w:r w:rsidR="00F87FB1">
        <w:t>Trash</w:t>
      </w:r>
      <w:r w:rsidR="006C43A6">
        <w:t>, subtidal hard-bottom</w:t>
      </w:r>
      <w:r w:rsidR="00F87FB1">
        <w:t xml:space="preserve"> </w:t>
      </w:r>
      <w:r w:rsidR="006C43A6">
        <w:t xml:space="preserve">habitat destruction, </w:t>
      </w:r>
      <w:r w:rsidR="00F87FB1">
        <w:t xml:space="preserve">and invasive species data </w:t>
      </w:r>
      <w:r w:rsidR="00362AE5">
        <w:t xml:space="preserve">sources </w:t>
      </w:r>
      <w:r w:rsidR="00F87FB1">
        <w:t xml:space="preserve">are not being </w:t>
      </w:r>
      <w:r w:rsidR="006C43A6">
        <w:t xml:space="preserve">updated and we have not found </w:t>
      </w:r>
      <w:r w:rsidR="00F87FB1">
        <w:t>good replacement</w:t>
      </w:r>
      <w:r w:rsidR="006C43A6">
        <w:t>s</w:t>
      </w:r>
      <w:r w:rsidR="00F87FB1">
        <w:t xml:space="preserve">.  Nutrient and chemical pollution data were updated by FAO but we did not have the resources to process these data. </w:t>
      </w:r>
      <w:r w:rsidR="009F4279">
        <w:t xml:space="preserve">Sea surface temperature, ocean acidification, and sea level rise all were not updated due to source data not being updated. </w:t>
      </w:r>
      <w:r w:rsidR="00804CE6">
        <w:t xml:space="preserve">We added a new pressure, coral harvest. </w:t>
      </w:r>
    </w:p>
    <w:p w14:paraId="761BB047" w14:textId="76000D81" w:rsidR="00C52047" w:rsidRDefault="00C52047" w:rsidP="00C52047">
      <w:pPr>
        <w:rPr>
          <w:i/>
        </w:rPr>
      </w:pPr>
      <w:r w:rsidRPr="00D72497">
        <w:rPr>
          <w:i/>
        </w:rPr>
        <w:t>New methods</w:t>
      </w:r>
      <w:r>
        <w:rPr>
          <w:i/>
        </w:rPr>
        <w:t>/data</w:t>
      </w:r>
    </w:p>
    <w:p w14:paraId="2A0AA9AA" w14:textId="32BD2993" w:rsidR="00C52047" w:rsidRDefault="009F4279">
      <w:r>
        <w:t xml:space="preserve">Coral harvest pressure: We introduced a coral harvest pressure, derived from the FAO commodities dataset. Previously we included coral harvest as a part of the natural products goal, however, we believe coral harvest to be largest harmful, and decided to transition this to a pressure instead. For this pressure we used coral health, extent, and FAO commodities data. </w:t>
      </w:r>
    </w:p>
    <w:p w14:paraId="1D72ADA0" w14:textId="77777777" w:rsidR="00893172" w:rsidRDefault="001C1753" w:rsidP="00FF2B46">
      <w:pPr>
        <w:pStyle w:val="Heading2"/>
      </w:pPr>
      <w:r>
        <w:t>Resilience</w:t>
      </w:r>
    </w:p>
    <w:p w14:paraId="2326B71D" w14:textId="34C44534" w:rsidR="00B277B6" w:rsidRDefault="00B277B6" w:rsidP="00B277B6">
      <w:r>
        <w:t xml:space="preserve">We updated </w:t>
      </w:r>
      <w:r w:rsidR="009F4279">
        <w:t>7</w:t>
      </w:r>
      <w:r>
        <w:t xml:space="preserve"> resilience measures </w:t>
      </w:r>
      <w:r w:rsidR="001F0209">
        <w:t xml:space="preserve">were updated </w:t>
      </w:r>
      <w:r>
        <w:t xml:space="preserve">with additional years of data.  </w:t>
      </w:r>
      <w:r w:rsidR="005A0A22">
        <w:t xml:space="preserve">There were no updates to the CITES signatories.  </w:t>
      </w:r>
      <w:r>
        <w:t>The other resilience measures were not upda</w:t>
      </w:r>
      <w:r w:rsidR="00863541">
        <w:t>ted because these data are dis</w:t>
      </w:r>
      <w:r>
        <w:t xml:space="preserve">continued and new data sources are unavailable.  This includes the responses to the CBD survey which quantifies region’s measures to protect diversity against pressures such as habitat destruction, mariculture, tourism, </w:t>
      </w:r>
      <w:r>
        <w:lastRenderedPageBreak/>
        <w:t>and water pollut</w:t>
      </w:r>
      <w:r w:rsidR="007929C6">
        <w:t>ion,</w:t>
      </w:r>
      <w:r w:rsidR="009F4279">
        <w:t xml:space="preserve"> and</w:t>
      </w:r>
      <w:r w:rsidR="007929C6">
        <w:t xml:space="preserve"> global measures</w:t>
      </w:r>
      <w:r>
        <w:t xml:space="preserve"> of how well regions regulate artisanal fishing practices (</w:t>
      </w:r>
      <w:r w:rsidR="007929C6">
        <w:t>Mora</w:t>
      </w:r>
      <w:r w:rsidR="009F4279">
        <w:t>).</w:t>
      </w:r>
      <w:r w:rsidR="001F0209">
        <w:t xml:space="preserve"> For the 2021 assessment we plan to use the updated Seafood Watch </w:t>
      </w:r>
      <w:proofErr w:type="spellStart"/>
      <w:r w:rsidR="001F0209">
        <w:t>mariculture</w:t>
      </w:r>
      <w:proofErr w:type="spellEnd"/>
      <w:r w:rsidR="001F0209">
        <w:t xml:space="preserve"> sustainability scores for the </w:t>
      </w:r>
      <w:proofErr w:type="spellStart"/>
      <w:r w:rsidR="001F0209">
        <w:t>mariculture</w:t>
      </w:r>
      <w:proofErr w:type="spellEnd"/>
      <w:r w:rsidR="001F0209">
        <w:t xml:space="preserve"> sustainability index resilience layer. </w:t>
      </w:r>
      <w:bookmarkStart w:id="0" w:name="_GoBack"/>
      <w:bookmarkEnd w:id="0"/>
    </w:p>
    <w:p w14:paraId="0A9B7CC1" w14:textId="54698FF4" w:rsidR="00273D6A" w:rsidRPr="001F0209" w:rsidRDefault="00015E73" w:rsidP="001F0209">
      <w:pPr>
        <w:rPr>
          <w:i/>
        </w:rPr>
      </w:pPr>
      <w:r w:rsidRPr="00D72497">
        <w:rPr>
          <w:i/>
        </w:rPr>
        <w:t>New methods</w:t>
      </w:r>
      <w:r w:rsidR="00C52047">
        <w:rPr>
          <w:i/>
        </w:rPr>
        <w:t>/data</w:t>
      </w:r>
    </w:p>
    <w:p w14:paraId="40C3E48B" w14:textId="10BFDBBF" w:rsidR="001F0209" w:rsidRDefault="001F0209" w:rsidP="00773716">
      <w:r>
        <w:t>None.</w:t>
      </w:r>
    </w:p>
    <w:p w14:paraId="2B5DD87F" w14:textId="77777777" w:rsidR="001F0209" w:rsidRDefault="001F0209" w:rsidP="00773716"/>
    <w:p w14:paraId="77E513BD" w14:textId="70C467F8" w:rsidR="00773716" w:rsidRDefault="00773716" w:rsidP="00773716">
      <w:r w:rsidRPr="002149B1">
        <w:rPr>
          <w:b/>
        </w:rPr>
        <w:t>Table 1</w:t>
      </w:r>
      <w:r w:rsidR="002149B1" w:rsidRPr="002149B1">
        <w:rPr>
          <w:b/>
        </w:rPr>
        <w:t xml:space="preserve"> Goal/</w:t>
      </w:r>
      <w:proofErr w:type="spellStart"/>
      <w:r w:rsidR="002149B1" w:rsidRPr="002149B1">
        <w:rPr>
          <w:b/>
        </w:rPr>
        <w:t>subgoal</w:t>
      </w:r>
      <w:proofErr w:type="spellEnd"/>
      <w:r w:rsidR="002149B1" w:rsidRPr="002149B1">
        <w:rPr>
          <w:b/>
        </w:rPr>
        <w:t xml:space="preserve"> status and trend</w:t>
      </w:r>
      <w:r w:rsidRPr="002149B1">
        <w:rPr>
          <w:b/>
        </w:rPr>
        <w:t>:</w:t>
      </w:r>
      <w:r>
        <w:t xml:space="preserve"> Description of updates to data and models</w:t>
      </w:r>
      <w:r w:rsidR="00F70DD0">
        <w:t>.</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1F4D18">
            <w:pPr>
              <w:rPr>
                <w:b/>
              </w:rPr>
            </w:pPr>
            <w:r w:rsidRPr="004D0249">
              <w:rPr>
                <w:b/>
              </w:rPr>
              <w:t>Goal/subgoal</w:t>
            </w:r>
          </w:p>
          <w:p w14:paraId="2A3341F5" w14:textId="14E5F2F8" w:rsidR="007D56F3" w:rsidRPr="004D0249" w:rsidRDefault="007D56F3" w:rsidP="001F4D18">
            <w:pPr>
              <w:rPr>
                <w:b/>
              </w:rPr>
            </w:pPr>
            <w:r>
              <w:rPr>
                <w:b/>
              </w:rPr>
              <w:t>(Issues)</w:t>
            </w:r>
          </w:p>
        </w:tc>
        <w:tc>
          <w:tcPr>
            <w:tcW w:w="3240" w:type="dxa"/>
          </w:tcPr>
          <w:p w14:paraId="0B761711" w14:textId="77777777" w:rsidR="00773716" w:rsidRPr="004D0249" w:rsidRDefault="00773716" w:rsidP="001F4D18">
            <w:pPr>
              <w:rPr>
                <w:b/>
              </w:rPr>
            </w:pPr>
            <w:r w:rsidRPr="004D0249">
              <w:rPr>
                <w:b/>
              </w:rPr>
              <w:t>Updates to data</w:t>
            </w:r>
          </w:p>
        </w:tc>
        <w:tc>
          <w:tcPr>
            <w:tcW w:w="3960" w:type="dxa"/>
          </w:tcPr>
          <w:p w14:paraId="4C5FB075" w14:textId="77777777" w:rsidR="00773716" w:rsidRPr="004D0249" w:rsidRDefault="00773716" w:rsidP="001F4D18">
            <w:pPr>
              <w:rPr>
                <w:b/>
              </w:rPr>
            </w:pPr>
            <w:r w:rsidRPr="004D0249">
              <w:rPr>
                <w:b/>
              </w:rPr>
              <w:t>Updates to data preparation or model</w:t>
            </w:r>
          </w:p>
        </w:tc>
        <w:tc>
          <w:tcPr>
            <w:tcW w:w="3780" w:type="dxa"/>
          </w:tcPr>
          <w:p w14:paraId="0E0144B6" w14:textId="77777777" w:rsidR="00773716" w:rsidRPr="004D0249" w:rsidRDefault="00773716" w:rsidP="001F4D18">
            <w:pPr>
              <w:rPr>
                <w:b/>
              </w:rPr>
            </w:pPr>
            <w:r w:rsidRPr="004D0249">
              <w:rPr>
                <w:b/>
              </w:rPr>
              <w:t>Notes</w:t>
            </w:r>
          </w:p>
        </w:tc>
      </w:tr>
      <w:tr w:rsidR="00773716" w14:paraId="4A1651D0" w14:textId="77777777" w:rsidTr="00F345DF">
        <w:tc>
          <w:tcPr>
            <w:tcW w:w="1705" w:type="dxa"/>
          </w:tcPr>
          <w:p w14:paraId="4ACF926A" w14:textId="514B0547" w:rsidR="00773716" w:rsidRPr="002004D5" w:rsidRDefault="00773716" w:rsidP="001F4D18">
            <w:r w:rsidRPr="002004D5">
              <w:t>Artisanal opportunities</w:t>
            </w:r>
          </w:p>
        </w:tc>
        <w:tc>
          <w:tcPr>
            <w:tcW w:w="3240" w:type="dxa"/>
          </w:tcPr>
          <w:p w14:paraId="1830D363" w14:textId="46164C89" w:rsidR="00773716" w:rsidRPr="002004D5" w:rsidRDefault="00773716" w:rsidP="001F4D18">
            <w:r w:rsidRPr="002004D5">
              <w:rPr>
                <w:i/>
              </w:rPr>
              <w:t>Need</w:t>
            </w:r>
            <w:r w:rsidRPr="002004D5">
              <w:t>: Additional year of data</w:t>
            </w:r>
          </w:p>
          <w:p w14:paraId="242A3F81" w14:textId="77777777" w:rsidR="00773716" w:rsidRPr="002004D5" w:rsidRDefault="00773716" w:rsidP="001F4D18"/>
          <w:p w14:paraId="03D2F6BB" w14:textId="77777777" w:rsidR="00773716" w:rsidRPr="002004D5" w:rsidRDefault="00773716" w:rsidP="001F4D18">
            <w:r w:rsidRPr="002004D5">
              <w:rPr>
                <w:i/>
              </w:rPr>
              <w:t>Opportunity</w:t>
            </w:r>
            <w:r w:rsidRPr="002004D5">
              <w:t>: None</w:t>
            </w:r>
          </w:p>
        </w:tc>
        <w:tc>
          <w:tcPr>
            <w:tcW w:w="3960" w:type="dxa"/>
          </w:tcPr>
          <w:p w14:paraId="4F50269F" w14:textId="3EF3EE57" w:rsidR="00773716" w:rsidRPr="002004D5" w:rsidRDefault="00BA2397" w:rsidP="001F4D18">
            <w:r>
              <w:t>None</w:t>
            </w:r>
          </w:p>
        </w:tc>
        <w:tc>
          <w:tcPr>
            <w:tcW w:w="3780" w:type="dxa"/>
          </w:tcPr>
          <w:p w14:paraId="332C6B1F" w14:textId="7C8DC1E9" w:rsidR="00773716" w:rsidRPr="002004D5" w:rsidRDefault="00BA2397" w:rsidP="00863541">
            <w:r>
              <w:t xml:space="preserve">Scores generally tended to increase below 10 points. There were 3 outliers that decreased, and they were all attributed to the source data. </w:t>
            </w:r>
            <w:r w:rsidR="00430968" w:rsidRPr="002004D5">
              <w:t xml:space="preserve"> </w:t>
            </w:r>
          </w:p>
        </w:tc>
      </w:tr>
      <w:tr w:rsidR="00773716" w14:paraId="369AAF37" w14:textId="77777777" w:rsidTr="00F345DF">
        <w:tc>
          <w:tcPr>
            <w:tcW w:w="1705" w:type="dxa"/>
          </w:tcPr>
          <w:p w14:paraId="554D7253" w14:textId="77777777" w:rsidR="00773716" w:rsidRPr="002004D5" w:rsidRDefault="00773716" w:rsidP="001F4D18">
            <w:r w:rsidRPr="002004D5">
              <w:t>Species condition</w:t>
            </w:r>
          </w:p>
          <w:p w14:paraId="6CAC00DA" w14:textId="346B866E" w:rsidR="00773716" w:rsidRPr="002004D5" w:rsidRDefault="00773716" w:rsidP="001F4D18">
            <w:r w:rsidRPr="002004D5">
              <w:t xml:space="preserve">(subgoal </w:t>
            </w:r>
            <w:proofErr w:type="gramStart"/>
            <w:r w:rsidRPr="002004D5">
              <w:t>of  biodiversity</w:t>
            </w:r>
            <w:proofErr w:type="gramEnd"/>
            <w:r w:rsidRPr="002004D5">
              <w:t xml:space="preserve"> goal)</w:t>
            </w:r>
          </w:p>
        </w:tc>
        <w:tc>
          <w:tcPr>
            <w:tcW w:w="3240" w:type="dxa"/>
          </w:tcPr>
          <w:p w14:paraId="1DA99F69" w14:textId="1524382A" w:rsidR="00773716" w:rsidRPr="002004D5" w:rsidRDefault="00B94340" w:rsidP="00E56A67">
            <w:r w:rsidRPr="002004D5">
              <w:t>Additional year of IUCN</w:t>
            </w:r>
            <w:r w:rsidR="001D3B49" w:rsidRPr="002004D5">
              <w:t xml:space="preserve"> </w:t>
            </w:r>
            <w:r w:rsidRPr="002004D5">
              <w:t xml:space="preserve">and </w:t>
            </w:r>
            <w:proofErr w:type="spellStart"/>
            <w:r w:rsidR="001D3B49" w:rsidRPr="002004D5">
              <w:t>BirdLife</w:t>
            </w:r>
            <w:proofErr w:type="spellEnd"/>
            <w:r w:rsidR="00773716" w:rsidRPr="002004D5">
              <w:t xml:space="preserve"> data</w:t>
            </w:r>
          </w:p>
        </w:tc>
        <w:tc>
          <w:tcPr>
            <w:tcW w:w="3960" w:type="dxa"/>
          </w:tcPr>
          <w:p w14:paraId="195990C7" w14:textId="2D84EF56" w:rsidR="00773716" w:rsidRPr="002004D5" w:rsidRDefault="008D2EA1" w:rsidP="00B94340">
            <w:r w:rsidRPr="002004D5">
              <w:t>None</w:t>
            </w:r>
          </w:p>
        </w:tc>
        <w:tc>
          <w:tcPr>
            <w:tcW w:w="3780" w:type="dxa"/>
          </w:tcPr>
          <w:p w14:paraId="3FD3ACD8" w14:textId="12CBFAE7" w:rsidR="00773716" w:rsidRPr="002004D5" w:rsidRDefault="00B95FE0" w:rsidP="00B47488">
            <w:r w:rsidRPr="002004D5">
              <w:t xml:space="preserve">Status scores generally </w:t>
            </w:r>
            <w:r w:rsidR="00BA2397">
              <w:t>decreased</w:t>
            </w:r>
            <w:r w:rsidRPr="002004D5">
              <w:t xml:space="preserve"> for most regions (&lt;</w:t>
            </w:r>
            <w:r w:rsidR="00BA2397">
              <w:t>5</w:t>
            </w:r>
            <w:r w:rsidRPr="002004D5">
              <w:t>)</w:t>
            </w:r>
            <w:r w:rsidR="00BA2397">
              <w:t>, many of them small islands</w:t>
            </w:r>
            <w:r w:rsidRPr="002004D5">
              <w:t>.</w:t>
            </w:r>
            <w:r w:rsidR="003D3408" w:rsidRPr="002004D5">
              <w:t xml:space="preserve"> </w:t>
            </w:r>
            <w:r w:rsidR="00BA2397">
              <w:rPr>
                <w:rFonts w:ascii="Segoe UI" w:hAnsi="Segoe UI" w:cs="Segoe UI"/>
                <w:color w:val="24292E"/>
                <w:sz w:val="21"/>
                <w:szCs w:val="21"/>
                <w:shd w:val="clear" w:color="auto" w:fill="FFFFFF"/>
              </w:rPr>
              <w:t xml:space="preserve">This is likely attributed to the large update of the birdlife data that we did. </w:t>
            </w:r>
          </w:p>
        </w:tc>
      </w:tr>
      <w:tr w:rsidR="00773716" w14:paraId="73F8453B" w14:textId="77777777" w:rsidTr="00F345DF">
        <w:tc>
          <w:tcPr>
            <w:tcW w:w="1705" w:type="dxa"/>
          </w:tcPr>
          <w:p w14:paraId="6740952A" w14:textId="77777777" w:rsidR="00773716" w:rsidRPr="002004D5" w:rsidRDefault="00773716" w:rsidP="001F4D18">
            <w:r w:rsidRPr="002004D5">
              <w:t>Habitat</w:t>
            </w:r>
          </w:p>
          <w:p w14:paraId="33A75156" w14:textId="77777777" w:rsidR="00773716" w:rsidRPr="002004D5" w:rsidRDefault="00773716" w:rsidP="001F4D18">
            <w:r w:rsidRPr="002004D5">
              <w:t>(subgoal of biodiversity goal)</w:t>
            </w:r>
          </w:p>
        </w:tc>
        <w:tc>
          <w:tcPr>
            <w:tcW w:w="3240" w:type="dxa"/>
          </w:tcPr>
          <w:p w14:paraId="34E82B5B" w14:textId="77777777" w:rsidR="00773716" w:rsidRPr="002004D5" w:rsidRDefault="00773716" w:rsidP="001F4D18">
            <w:r w:rsidRPr="002004D5">
              <w:rPr>
                <w:i/>
              </w:rPr>
              <w:t>Sea ice edge</w:t>
            </w:r>
            <w:r w:rsidRPr="002004D5">
              <w:t>: additional year of data (trend and condition updated)</w:t>
            </w:r>
          </w:p>
          <w:p w14:paraId="49D4171A" w14:textId="77777777" w:rsidR="00773716" w:rsidRPr="002004D5" w:rsidRDefault="00773716" w:rsidP="001F4D18"/>
          <w:p w14:paraId="68872080" w14:textId="77777777" w:rsidR="00773716" w:rsidRPr="002004D5" w:rsidRDefault="00773716" w:rsidP="001F4D18">
            <w:r w:rsidRPr="002004D5">
              <w:rPr>
                <w:i/>
              </w:rPr>
              <w:t>Mangrove</w:t>
            </w:r>
            <w:r w:rsidRPr="002004D5">
              <w:t>: no updates</w:t>
            </w:r>
          </w:p>
          <w:p w14:paraId="22F6C976" w14:textId="77777777" w:rsidR="00773716" w:rsidRPr="002004D5" w:rsidRDefault="00773716" w:rsidP="001F4D18"/>
          <w:p w14:paraId="709B6A1D" w14:textId="55598409" w:rsidR="00773716" w:rsidRPr="002004D5" w:rsidRDefault="00773716" w:rsidP="001F4D18">
            <w:r w:rsidRPr="002004D5">
              <w:rPr>
                <w:i/>
              </w:rPr>
              <w:t>Saltmarsh</w:t>
            </w:r>
            <w:r w:rsidRPr="002004D5">
              <w:t xml:space="preserve">: </w:t>
            </w:r>
            <w:r w:rsidR="00BC1CC9">
              <w:t>no updates</w:t>
            </w:r>
          </w:p>
          <w:p w14:paraId="1542C7DC" w14:textId="77777777" w:rsidR="00773716" w:rsidRPr="002004D5" w:rsidRDefault="00773716" w:rsidP="001F4D18"/>
          <w:p w14:paraId="3DF9F6FF" w14:textId="0876B5EB" w:rsidR="00773716" w:rsidRPr="002004D5" w:rsidRDefault="00773716" w:rsidP="001F4D18">
            <w:r w:rsidRPr="002004D5">
              <w:rPr>
                <w:i/>
              </w:rPr>
              <w:t>Seagrass</w:t>
            </w:r>
            <w:r w:rsidRPr="002004D5">
              <w:t xml:space="preserve">: </w:t>
            </w:r>
            <w:r w:rsidR="00BC1CC9">
              <w:t>no updates</w:t>
            </w:r>
          </w:p>
          <w:p w14:paraId="398577B1" w14:textId="77777777" w:rsidR="00773716" w:rsidRPr="002004D5" w:rsidRDefault="00773716" w:rsidP="001F4D18"/>
          <w:p w14:paraId="504DA016" w14:textId="5AE95397" w:rsidR="00773716" w:rsidRPr="002004D5" w:rsidRDefault="00773716" w:rsidP="001F4D18">
            <w:r w:rsidRPr="002004D5">
              <w:rPr>
                <w:i/>
              </w:rPr>
              <w:t>Coral</w:t>
            </w:r>
            <w:r w:rsidRPr="002004D5">
              <w:t>:</w:t>
            </w:r>
            <w:r w:rsidR="00BA2397">
              <w:t xml:space="preserve"> Updated coral extent data</w:t>
            </w:r>
          </w:p>
          <w:p w14:paraId="4D033D37" w14:textId="77777777" w:rsidR="00773716" w:rsidRPr="002004D5" w:rsidRDefault="00773716" w:rsidP="001F4D18"/>
          <w:p w14:paraId="10503CED" w14:textId="2D558BC3" w:rsidR="00773716" w:rsidRPr="002004D5" w:rsidRDefault="00773716" w:rsidP="004B046B">
            <w:r w:rsidRPr="002004D5">
              <w:rPr>
                <w:i/>
              </w:rPr>
              <w:t>Softbottom</w:t>
            </w:r>
            <w:r w:rsidR="001727E6" w:rsidRPr="002004D5">
              <w:t xml:space="preserve">: </w:t>
            </w:r>
            <w:r w:rsidR="00BC1CC9">
              <w:t>no updates</w:t>
            </w:r>
          </w:p>
        </w:tc>
        <w:tc>
          <w:tcPr>
            <w:tcW w:w="3960" w:type="dxa"/>
          </w:tcPr>
          <w:p w14:paraId="713E10AF" w14:textId="60E48C93" w:rsidR="00773716" w:rsidRDefault="00BA2397" w:rsidP="009E653E">
            <w:r>
              <w:t>The coral extent data is now updated with the Global Distribution of Coral Reefs (</w:t>
            </w:r>
            <w:hyperlink r:id="rId7" w:history="1">
              <w:r w:rsidRPr="007F549F">
                <w:rPr>
                  <w:rStyle w:val="Hyperlink"/>
                </w:rPr>
                <w:t>https://data.unep-wcmc.org/datasets/1</w:t>
              </w:r>
            </w:hyperlink>
            <w:r>
              <w:t xml:space="preserve">) dataset. </w:t>
            </w:r>
          </w:p>
        </w:tc>
        <w:tc>
          <w:tcPr>
            <w:tcW w:w="3780" w:type="dxa"/>
          </w:tcPr>
          <w:p w14:paraId="7512F970" w14:textId="3FBB8B20" w:rsidR="007E05A2" w:rsidRDefault="00BC1CC9" w:rsidP="00E56A67">
            <w:r>
              <w:t xml:space="preserve">New data are available for saltmarsh, </w:t>
            </w:r>
            <w:r w:rsidR="00BA2397">
              <w:t xml:space="preserve">and </w:t>
            </w:r>
            <w:r>
              <w:t>seagrass</w:t>
            </w:r>
            <w:r w:rsidR="00BA2397">
              <w:t xml:space="preserve">. We have the skeleton code to update these (taken from the coral extent update), but will not update until next year. </w:t>
            </w:r>
          </w:p>
        </w:tc>
      </w:tr>
      <w:tr w:rsidR="00773716" w14:paraId="49EAFAED" w14:textId="77777777" w:rsidTr="00F345DF">
        <w:tc>
          <w:tcPr>
            <w:tcW w:w="1705" w:type="dxa"/>
          </w:tcPr>
          <w:p w14:paraId="778488E0" w14:textId="77777777" w:rsidR="00773716" w:rsidRDefault="00773716" w:rsidP="001F4D18">
            <w:r>
              <w:lastRenderedPageBreak/>
              <w:t>Fisheries</w:t>
            </w:r>
          </w:p>
          <w:p w14:paraId="0A8F0596" w14:textId="00882F60" w:rsidR="00773716" w:rsidRDefault="0081555C" w:rsidP="001F4D18">
            <w:r>
              <w:t>(subgoal of food provision goal)</w:t>
            </w:r>
          </w:p>
        </w:tc>
        <w:tc>
          <w:tcPr>
            <w:tcW w:w="3240" w:type="dxa"/>
          </w:tcPr>
          <w:p w14:paraId="2BD60C62" w14:textId="25D20BF6" w:rsidR="00773716" w:rsidRDefault="00773716" w:rsidP="001F4D18">
            <w:r w:rsidRPr="00662E7E">
              <w:rPr>
                <w:i/>
              </w:rPr>
              <w:t>Catch</w:t>
            </w:r>
            <w:r>
              <w:t xml:space="preserve">: </w:t>
            </w:r>
            <w:r w:rsidR="008D2EA1">
              <w:t>Watson data updated,</w:t>
            </w:r>
            <w:r w:rsidR="00BA2397">
              <w:t xml:space="preserve"> 2 additional years of data (2016 and 2017). </w:t>
            </w:r>
          </w:p>
          <w:p w14:paraId="4DA5CA9E" w14:textId="77777777" w:rsidR="00773716" w:rsidRDefault="00773716" w:rsidP="001F4D18"/>
          <w:p w14:paraId="6C5AE005" w14:textId="3453AB05" w:rsidR="00773716" w:rsidRDefault="00773716" w:rsidP="00E56A67">
            <w:r w:rsidRPr="00662E7E">
              <w:rPr>
                <w:i/>
              </w:rPr>
              <w:t>B/</w:t>
            </w:r>
            <w:proofErr w:type="spellStart"/>
            <w:r w:rsidRPr="00662E7E">
              <w:rPr>
                <w:i/>
              </w:rPr>
              <w:t>Bmsy</w:t>
            </w:r>
            <w:proofErr w:type="spellEnd"/>
            <w:r>
              <w:t xml:space="preserve">: </w:t>
            </w:r>
            <w:r w:rsidR="00FA6D7F">
              <w:t>Additional year of RAM data</w:t>
            </w:r>
            <w:r w:rsidR="00BA2397">
              <w:t>. U</w:t>
            </w:r>
            <w:r w:rsidR="001D3B49">
              <w:t>pdated catch data for CMSY estimates of B/</w:t>
            </w:r>
            <w:proofErr w:type="spellStart"/>
            <w:r w:rsidR="001D3B49">
              <w:t>Bmsy</w:t>
            </w:r>
            <w:proofErr w:type="spellEnd"/>
            <w:r w:rsidR="001D3B49">
              <w:t xml:space="preserve"> </w:t>
            </w:r>
            <w:r>
              <w:t xml:space="preserve"> </w:t>
            </w:r>
          </w:p>
        </w:tc>
        <w:tc>
          <w:tcPr>
            <w:tcW w:w="3960" w:type="dxa"/>
          </w:tcPr>
          <w:p w14:paraId="7DCAC8CB" w14:textId="4D69FDC1" w:rsidR="007A7872" w:rsidRDefault="00BA2397" w:rsidP="007E05A2">
            <w:r>
              <w:t>None</w:t>
            </w:r>
          </w:p>
        </w:tc>
        <w:tc>
          <w:tcPr>
            <w:tcW w:w="3780" w:type="dxa"/>
          </w:tcPr>
          <w:p w14:paraId="4C9652F0" w14:textId="28FB249E" w:rsidR="007E05A2" w:rsidRDefault="00E56A67" w:rsidP="00E56A67">
            <w:r>
              <w:t>The new catch data and B/</w:t>
            </w:r>
            <w:proofErr w:type="spellStart"/>
            <w:r>
              <w:t>Bmsy</w:t>
            </w:r>
            <w:proofErr w:type="spellEnd"/>
            <w:r>
              <w:t xml:space="preserve"> scores caused the scores </w:t>
            </w:r>
            <w:r w:rsidR="0081555C">
              <w:t>to change fairly dramatically</w:t>
            </w:r>
            <w:r w:rsidR="00BA2397">
              <w:t xml:space="preserve"> (as always). </w:t>
            </w:r>
          </w:p>
          <w:p w14:paraId="4DE0F384" w14:textId="18B2C1FE" w:rsidR="007E05A2" w:rsidRDefault="007E05A2" w:rsidP="001D3B49"/>
        </w:tc>
      </w:tr>
      <w:tr w:rsidR="00773716" w14:paraId="0D079A97" w14:textId="77777777" w:rsidTr="002004D5">
        <w:tc>
          <w:tcPr>
            <w:tcW w:w="1705" w:type="dxa"/>
          </w:tcPr>
          <w:p w14:paraId="32284CCD" w14:textId="35E15C51" w:rsidR="00773716" w:rsidRPr="002004D5" w:rsidRDefault="00773716" w:rsidP="001F4D18">
            <w:r w:rsidRPr="002004D5">
              <w:t>Mariculture (subgoal of food provision goal)</w:t>
            </w:r>
          </w:p>
        </w:tc>
        <w:tc>
          <w:tcPr>
            <w:tcW w:w="3240" w:type="dxa"/>
          </w:tcPr>
          <w:p w14:paraId="4F1730A2" w14:textId="39C9443D" w:rsidR="00773716" w:rsidRPr="002004D5" w:rsidRDefault="00773716" w:rsidP="001F4D18">
            <w:r w:rsidRPr="002004D5">
              <w:rPr>
                <w:i/>
              </w:rPr>
              <w:t>Production</w:t>
            </w:r>
            <w:r w:rsidRPr="002004D5">
              <w:t xml:space="preserve">: additional year of FAO </w:t>
            </w:r>
            <w:r w:rsidR="00E56A67" w:rsidRPr="002004D5">
              <w:t xml:space="preserve">harvest </w:t>
            </w:r>
            <w:r w:rsidRPr="002004D5">
              <w:t>data</w:t>
            </w:r>
          </w:p>
          <w:p w14:paraId="47B1A0BA" w14:textId="77777777" w:rsidR="00773716" w:rsidRPr="002004D5" w:rsidRDefault="00773716" w:rsidP="001F4D18"/>
          <w:p w14:paraId="046FCC4D" w14:textId="687AAF64" w:rsidR="00773716" w:rsidRPr="002004D5" w:rsidRDefault="00773716" w:rsidP="001F4D18">
            <w:r w:rsidRPr="002004D5">
              <w:rPr>
                <w:i/>
              </w:rPr>
              <w:t>Sustainability</w:t>
            </w:r>
            <w:r w:rsidRPr="002004D5">
              <w:t xml:space="preserve">: </w:t>
            </w:r>
            <w:r w:rsidR="00BA2397">
              <w:t>New seafood watch data</w:t>
            </w:r>
          </w:p>
          <w:p w14:paraId="4FFD5973" w14:textId="77777777" w:rsidR="00773716" w:rsidRPr="002004D5" w:rsidRDefault="00773716" w:rsidP="001F4D18"/>
          <w:p w14:paraId="455D6273" w14:textId="2EA73F6F" w:rsidR="00773716" w:rsidRPr="002004D5" w:rsidRDefault="00F85B60" w:rsidP="00E56A67">
            <w:r w:rsidRPr="002004D5">
              <w:rPr>
                <w:i/>
              </w:rPr>
              <w:t>Harvest capacity</w:t>
            </w:r>
            <w:r w:rsidR="00773716" w:rsidRPr="002004D5">
              <w:t>:</w:t>
            </w:r>
            <w:r w:rsidR="00BA2397">
              <w:t xml:space="preserve"> static data</w:t>
            </w:r>
          </w:p>
        </w:tc>
        <w:tc>
          <w:tcPr>
            <w:tcW w:w="3960" w:type="dxa"/>
            <w:shd w:val="clear" w:color="auto" w:fill="auto"/>
          </w:tcPr>
          <w:p w14:paraId="2A96AF2B" w14:textId="431A471F" w:rsidR="00A20BCE" w:rsidRPr="00F85B60" w:rsidRDefault="00BA2397" w:rsidP="001F4D18">
            <w:pPr>
              <w:rPr>
                <w:highlight w:val="yellow"/>
              </w:rPr>
            </w:pPr>
            <w:r>
              <w:t xml:space="preserve">We now use updated sustainability scores from Seafood Watch. </w:t>
            </w:r>
          </w:p>
        </w:tc>
        <w:tc>
          <w:tcPr>
            <w:tcW w:w="3780" w:type="dxa"/>
            <w:shd w:val="clear" w:color="auto" w:fill="auto"/>
          </w:tcPr>
          <w:p w14:paraId="71CAD2D8" w14:textId="4CD8C5A6" w:rsidR="00D03D41" w:rsidRPr="00F85B60" w:rsidRDefault="00BA2397" w:rsidP="00A20BCE">
            <w:pPr>
              <w:rPr>
                <w:highlight w:val="yellow"/>
              </w:rPr>
            </w:pPr>
            <w:r>
              <w:t xml:space="preserve">The sustainability scores </w:t>
            </w:r>
            <w:r w:rsidR="000F7144">
              <w:t xml:space="preserve">did not have too large of an effect on most regions, generally increasing scores &lt;10. </w:t>
            </w:r>
          </w:p>
        </w:tc>
      </w:tr>
      <w:tr w:rsidR="00773716" w14:paraId="48766499" w14:textId="77777777" w:rsidTr="00F345DF">
        <w:tc>
          <w:tcPr>
            <w:tcW w:w="1705" w:type="dxa"/>
          </w:tcPr>
          <w:p w14:paraId="77C2388B" w14:textId="77777777" w:rsidR="00773716" w:rsidRPr="002004D5" w:rsidRDefault="00773716" w:rsidP="001F4D18">
            <w:r w:rsidRPr="002004D5">
              <w:t>Coastal protection</w:t>
            </w:r>
          </w:p>
        </w:tc>
        <w:tc>
          <w:tcPr>
            <w:tcW w:w="3240" w:type="dxa"/>
          </w:tcPr>
          <w:p w14:paraId="71001458" w14:textId="77777777" w:rsidR="00773716" w:rsidRPr="002004D5" w:rsidRDefault="00773716" w:rsidP="001F4D18">
            <w:r w:rsidRPr="002004D5">
              <w:rPr>
                <w:i/>
              </w:rPr>
              <w:t>Sea ice shoreline</w:t>
            </w:r>
            <w:r w:rsidRPr="002004D5">
              <w:t>: additional year of data (trend and condition updated)</w:t>
            </w:r>
          </w:p>
          <w:p w14:paraId="2B196AE2" w14:textId="77777777" w:rsidR="00773716" w:rsidRPr="002004D5" w:rsidRDefault="00773716" w:rsidP="001F4D18"/>
          <w:p w14:paraId="09261DC5" w14:textId="77777777" w:rsidR="00773716" w:rsidRPr="002004D5" w:rsidRDefault="00773716" w:rsidP="001F4D18">
            <w:r w:rsidRPr="002004D5">
              <w:rPr>
                <w:i/>
              </w:rPr>
              <w:t>Mangrove</w:t>
            </w:r>
            <w:r w:rsidRPr="002004D5">
              <w:t>: no updates</w:t>
            </w:r>
          </w:p>
          <w:p w14:paraId="1650D4DA" w14:textId="77777777" w:rsidR="00773716" w:rsidRPr="002004D5" w:rsidRDefault="00773716" w:rsidP="001F4D18"/>
          <w:p w14:paraId="36027135" w14:textId="3E3FFCDA" w:rsidR="00773716" w:rsidRPr="002004D5" w:rsidRDefault="00773716" w:rsidP="001F4D18">
            <w:r w:rsidRPr="002004D5">
              <w:rPr>
                <w:i/>
              </w:rPr>
              <w:t>Saltmarsh</w:t>
            </w:r>
            <w:r w:rsidRPr="002004D5">
              <w:t xml:space="preserve">: </w:t>
            </w:r>
            <w:r w:rsidR="00BC1CC9">
              <w:t xml:space="preserve"> no updates</w:t>
            </w:r>
          </w:p>
          <w:p w14:paraId="16BDD912" w14:textId="77777777" w:rsidR="00773716" w:rsidRPr="002004D5" w:rsidRDefault="00773716" w:rsidP="001F4D18"/>
          <w:p w14:paraId="0C3D40B6" w14:textId="6B8B7CD4" w:rsidR="00773716" w:rsidRPr="002004D5" w:rsidRDefault="00773716" w:rsidP="001F4D18">
            <w:r w:rsidRPr="002004D5">
              <w:rPr>
                <w:i/>
              </w:rPr>
              <w:t>Seagrass</w:t>
            </w:r>
            <w:r w:rsidRPr="002004D5">
              <w:t xml:space="preserve">: </w:t>
            </w:r>
            <w:r w:rsidR="00BC1CC9">
              <w:t>no updates</w:t>
            </w:r>
          </w:p>
          <w:p w14:paraId="24E8504C" w14:textId="77777777" w:rsidR="00773716" w:rsidRPr="002004D5" w:rsidRDefault="00773716" w:rsidP="001F4D18"/>
          <w:p w14:paraId="7F5D46B4" w14:textId="37941219" w:rsidR="00773716" w:rsidRPr="002004D5" w:rsidRDefault="00773716" w:rsidP="001F4D18">
            <w:r w:rsidRPr="002004D5">
              <w:rPr>
                <w:i/>
              </w:rPr>
              <w:t>Coral</w:t>
            </w:r>
            <w:r w:rsidRPr="002004D5">
              <w:t xml:space="preserve">: </w:t>
            </w:r>
            <w:r w:rsidR="002911DA">
              <w:t>Updated coral extent data</w:t>
            </w:r>
          </w:p>
        </w:tc>
        <w:tc>
          <w:tcPr>
            <w:tcW w:w="3960" w:type="dxa"/>
          </w:tcPr>
          <w:p w14:paraId="386E5217" w14:textId="77777777" w:rsidR="00773716" w:rsidRDefault="00773716" w:rsidP="001F4D18">
            <w:r>
              <w:t>None</w:t>
            </w:r>
          </w:p>
        </w:tc>
        <w:tc>
          <w:tcPr>
            <w:tcW w:w="3780" w:type="dxa"/>
          </w:tcPr>
          <w:p w14:paraId="7B500901" w14:textId="4581827E" w:rsidR="00BC1CC9" w:rsidRDefault="001D3B49" w:rsidP="001F4D18">
            <w:r>
              <w:t>None</w:t>
            </w:r>
            <w:r w:rsidR="00BC1CC9">
              <w:t>, see notes for habitat subgoal.</w:t>
            </w:r>
          </w:p>
        </w:tc>
      </w:tr>
      <w:tr w:rsidR="00773716" w14:paraId="04AB2851" w14:textId="77777777" w:rsidTr="00F345DF">
        <w:tc>
          <w:tcPr>
            <w:tcW w:w="1705" w:type="dxa"/>
          </w:tcPr>
          <w:p w14:paraId="00FE1787" w14:textId="77777777" w:rsidR="00773716" w:rsidRDefault="00773716" w:rsidP="001F4D18">
            <w:r>
              <w:t>Carbon storage</w:t>
            </w:r>
          </w:p>
        </w:tc>
        <w:tc>
          <w:tcPr>
            <w:tcW w:w="3240" w:type="dxa"/>
          </w:tcPr>
          <w:p w14:paraId="2ED956A2" w14:textId="77777777" w:rsidR="00773716" w:rsidRDefault="00773716" w:rsidP="001F4D18">
            <w:r w:rsidRPr="00464324">
              <w:rPr>
                <w:i/>
              </w:rPr>
              <w:t>Mangrove</w:t>
            </w:r>
            <w:r>
              <w:t>: no updates</w:t>
            </w:r>
          </w:p>
          <w:p w14:paraId="62DD4E5B" w14:textId="77777777" w:rsidR="00773716" w:rsidRDefault="00773716" w:rsidP="001F4D18"/>
          <w:p w14:paraId="5F13E5AA" w14:textId="09D11668" w:rsidR="00773716" w:rsidRDefault="00773716" w:rsidP="001F4D18">
            <w:r w:rsidRPr="00464324">
              <w:rPr>
                <w:i/>
              </w:rPr>
              <w:t>Saltmarsh</w:t>
            </w:r>
            <w:r>
              <w:t xml:space="preserve">: </w:t>
            </w:r>
            <w:r w:rsidR="00BC1CC9">
              <w:t>no updates</w:t>
            </w:r>
          </w:p>
          <w:p w14:paraId="195EA2CC" w14:textId="77777777" w:rsidR="00773716" w:rsidRDefault="00773716" w:rsidP="001F4D18"/>
          <w:p w14:paraId="5E981F22" w14:textId="36AA4A0F" w:rsidR="00773716" w:rsidRDefault="00773716" w:rsidP="001F4D18">
            <w:r w:rsidRPr="00464324">
              <w:rPr>
                <w:i/>
              </w:rPr>
              <w:t>Seagrass</w:t>
            </w:r>
            <w:r>
              <w:t xml:space="preserve">: </w:t>
            </w:r>
            <w:r w:rsidR="00BC1CC9">
              <w:t>no updates</w:t>
            </w:r>
          </w:p>
        </w:tc>
        <w:tc>
          <w:tcPr>
            <w:tcW w:w="3960" w:type="dxa"/>
          </w:tcPr>
          <w:p w14:paraId="0CEF4FF2" w14:textId="77777777" w:rsidR="00773716" w:rsidRDefault="00773716" w:rsidP="001F4D18">
            <w:r>
              <w:t>None</w:t>
            </w:r>
          </w:p>
        </w:tc>
        <w:tc>
          <w:tcPr>
            <w:tcW w:w="3780" w:type="dxa"/>
          </w:tcPr>
          <w:p w14:paraId="53DA9C4D" w14:textId="1477E8E1" w:rsidR="00773716" w:rsidRDefault="00773716" w:rsidP="001F4D18">
            <w:r>
              <w:t>None</w:t>
            </w:r>
            <w:r w:rsidR="00BC1CC9">
              <w:t>, see notes for habitat subgoal.</w:t>
            </w:r>
          </w:p>
        </w:tc>
      </w:tr>
      <w:tr w:rsidR="00773716" w14:paraId="742DDB29" w14:textId="77777777" w:rsidTr="002004D5">
        <w:tc>
          <w:tcPr>
            <w:tcW w:w="1705" w:type="dxa"/>
            <w:shd w:val="clear" w:color="auto" w:fill="auto"/>
          </w:tcPr>
          <w:p w14:paraId="02F1C970" w14:textId="538CE145" w:rsidR="00773716" w:rsidRPr="002004D5" w:rsidRDefault="00773716" w:rsidP="001F4D18">
            <w:r w:rsidRPr="002004D5">
              <w:t>Clean waters</w:t>
            </w:r>
          </w:p>
        </w:tc>
        <w:tc>
          <w:tcPr>
            <w:tcW w:w="3240" w:type="dxa"/>
            <w:shd w:val="clear" w:color="auto" w:fill="auto"/>
          </w:tcPr>
          <w:p w14:paraId="10C97CF8" w14:textId="7EBCA4AF" w:rsidR="00773716" w:rsidRPr="002004D5" w:rsidRDefault="00773716" w:rsidP="001F4D18">
            <w:r w:rsidRPr="002004D5">
              <w:rPr>
                <w:i/>
              </w:rPr>
              <w:t>Nutrient pollution</w:t>
            </w:r>
            <w:r w:rsidRPr="002004D5">
              <w:t xml:space="preserve">: </w:t>
            </w:r>
            <w:r w:rsidR="00B60A41" w:rsidRPr="002004D5">
              <w:t>None</w:t>
            </w:r>
          </w:p>
          <w:p w14:paraId="1CCC012D" w14:textId="77777777" w:rsidR="00773716" w:rsidRPr="002004D5" w:rsidRDefault="00773716" w:rsidP="001F4D18"/>
          <w:p w14:paraId="5955E5FA" w14:textId="77777777" w:rsidR="00773716" w:rsidRPr="002004D5" w:rsidRDefault="00773716" w:rsidP="001F4D18">
            <w:r w:rsidRPr="002004D5">
              <w:rPr>
                <w:i/>
              </w:rPr>
              <w:t>Chemical pollution</w:t>
            </w:r>
            <w:r w:rsidRPr="002004D5">
              <w:t xml:space="preserve">: </w:t>
            </w:r>
          </w:p>
          <w:p w14:paraId="5D5087C1" w14:textId="6AE0C1C4" w:rsidR="00773716" w:rsidRPr="002004D5" w:rsidRDefault="00773716" w:rsidP="00B60A41">
            <w:r w:rsidRPr="002004D5">
              <w:t xml:space="preserve">   </w:t>
            </w:r>
            <w:r w:rsidRPr="002004D5">
              <w:rPr>
                <w:u w:val="single"/>
              </w:rPr>
              <w:t>Shipping and ports</w:t>
            </w:r>
            <w:r w:rsidRPr="002004D5">
              <w:t xml:space="preserve">: </w:t>
            </w:r>
            <w:r w:rsidR="00B60A41" w:rsidRPr="002004D5">
              <w:t>None</w:t>
            </w:r>
          </w:p>
          <w:p w14:paraId="7574EC60" w14:textId="4B76700B" w:rsidR="00773716" w:rsidRPr="002004D5" w:rsidRDefault="00773716" w:rsidP="001F4D18">
            <w:r w:rsidRPr="002004D5">
              <w:lastRenderedPageBreak/>
              <w:t xml:space="preserve">   </w:t>
            </w:r>
            <w:r w:rsidRPr="002004D5">
              <w:rPr>
                <w:u w:val="single"/>
              </w:rPr>
              <w:t>Land-based inorganic</w:t>
            </w:r>
            <w:r w:rsidRPr="002004D5">
              <w:t xml:space="preserve">: </w:t>
            </w:r>
            <w:r w:rsidR="00B60A41" w:rsidRPr="002004D5">
              <w:t>None</w:t>
            </w:r>
            <w:r w:rsidRPr="002004D5">
              <w:t xml:space="preserve">   </w:t>
            </w:r>
          </w:p>
          <w:p w14:paraId="44EA9A94" w14:textId="06C40BF6" w:rsidR="00773716" w:rsidRPr="002004D5" w:rsidRDefault="00773716" w:rsidP="00B60A41">
            <w:r w:rsidRPr="002004D5">
              <w:t xml:space="preserve">   </w:t>
            </w:r>
            <w:r w:rsidRPr="002004D5">
              <w:rPr>
                <w:u w:val="single"/>
              </w:rPr>
              <w:t>Land-based organic</w:t>
            </w:r>
            <w:r w:rsidRPr="002004D5">
              <w:t xml:space="preserve">: </w:t>
            </w:r>
            <w:r w:rsidR="00B60A41" w:rsidRPr="002004D5">
              <w:t>None</w:t>
            </w:r>
          </w:p>
          <w:p w14:paraId="7738FAF3" w14:textId="77777777" w:rsidR="00773716" w:rsidRPr="002004D5" w:rsidRDefault="00773716" w:rsidP="001F4D18"/>
          <w:p w14:paraId="60003EA7" w14:textId="500EF34D" w:rsidR="00773716" w:rsidRPr="002004D5" w:rsidRDefault="00773716" w:rsidP="001F4D18">
            <w:r w:rsidRPr="002004D5">
              <w:rPr>
                <w:i/>
              </w:rPr>
              <w:t>Pathogens:</w:t>
            </w:r>
            <w:r w:rsidR="00B60A41" w:rsidRPr="002004D5">
              <w:t xml:space="preserve"> </w:t>
            </w:r>
            <w:r w:rsidR="002911DA">
              <w:t>None</w:t>
            </w:r>
          </w:p>
          <w:p w14:paraId="0470689C" w14:textId="77777777" w:rsidR="00773716" w:rsidRPr="002004D5" w:rsidRDefault="00773716" w:rsidP="001F4D18"/>
          <w:p w14:paraId="6769D746" w14:textId="435DD49C" w:rsidR="00773716" w:rsidRPr="002004D5" w:rsidRDefault="00773716" w:rsidP="00B60A41">
            <w:r w:rsidRPr="002004D5">
              <w:rPr>
                <w:i/>
              </w:rPr>
              <w:t>Trash</w:t>
            </w:r>
            <w:r w:rsidRPr="002004D5">
              <w:t xml:space="preserve">: </w:t>
            </w:r>
            <w:r w:rsidR="00B60A41" w:rsidRPr="002004D5">
              <w:t>None</w:t>
            </w:r>
          </w:p>
        </w:tc>
        <w:tc>
          <w:tcPr>
            <w:tcW w:w="3960" w:type="dxa"/>
          </w:tcPr>
          <w:p w14:paraId="627497E2" w14:textId="406BF121" w:rsidR="00773716" w:rsidRPr="002004D5" w:rsidRDefault="00DC06DE" w:rsidP="001F4D18">
            <w:r w:rsidRPr="002004D5">
              <w:lastRenderedPageBreak/>
              <w:t>None</w:t>
            </w:r>
          </w:p>
        </w:tc>
        <w:tc>
          <w:tcPr>
            <w:tcW w:w="3780" w:type="dxa"/>
          </w:tcPr>
          <w:p w14:paraId="2DF391D1" w14:textId="76BE4B52" w:rsidR="00773716" w:rsidRPr="002004D5" w:rsidRDefault="002911DA" w:rsidP="00993363">
            <w:r>
              <w:t xml:space="preserve">None. We do have plans to implement a fertilizer runoff layer, but did not have time to update this for the 2020 assessment. </w:t>
            </w:r>
          </w:p>
        </w:tc>
      </w:tr>
      <w:tr w:rsidR="002F5C31" w14:paraId="405994D6" w14:textId="77777777" w:rsidTr="00F345DF">
        <w:tc>
          <w:tcPr>
            <w:tcW w:w="1705" w:type="dxa"/>
          </w:tcPr>
          <w:p w14:paraId="1E3DA4BD" w14:textId="77777777" w:rsidR="002F5C31" w:rsidRPr="002004D5" w:rsidRDefault="002F5C31" w:rsidP="002F5C31">
            <w:r w:rsidRPr="002004D5">
              <w:t>Iconic species</w:t>
            </w:r>
          </w:p>
          <w:p w14:paraId="2F875DA9" w14:textId="3B91CA25" w:rsidR="002F5C31" w:rsidRPr="002004D5" w:rsidRDefault="002F5C31" w:rsidP="002F5C31">
            <w:r w:rsidRPr="002004D5">
              <w:t>(subgoal of sense of place goal)</w:t>
            </w:r>
          </w:p>
        </w:tc>
        <w:tc>
          <w:tcPr>
            <w:tcW w:w="3240" w:type="dxa"/>
          </w:tcPr>
          <w:p w14:paraId="7720E24D" w14:textId="0E4AF5BD" w:rsidR="002F5C31" w:rsidRPr="002004D5" w:rsidRDefault="00993363" w:rsidP="00993363">
            <w:r w:rsidRPr="002004D5">
              <w:t>Additional year of IUCN status data</w:t>
            </w:r>
          </w:p>
        </w:tc>
        <w:tc>
          <w:tcPr>
            <w:tcW w:w="3960" w:type="dxa"/>
          </w:tcPr>
          <w:p w14:paraId="43968FDF" w14:textId="7426CB8B" w:rsidR="002F5C31" w:rsidRPr="002004D5" w:rsidRDefault="00AC7142" w:rsidP="00985ACD">
            <w:r w:rsidRPr="002004D5">
              <w:t>None</w:t>
            </w:r>
          </w:p>
        </w:tc>
        <w:tc>
          <w:tcPr>
            <w:tcW w:w="3780" w:type="dxa"/>
          </w:tcPr>
          <w:p w14:paraId="021A2712" w14:textId="420D7300" w:rsidR="002F5C31" w:rsidRPr="002004D5" w:rsidRDefault="00AC7142" w:rsidP="00BA5E61">
            <w:r w:rsidRPr="002004D5">
              <w:t>Some variation in status scores from last year.  A couple regions had increases &gt; 20 and &lt;</w:t>
            </w:r>
            <w:r w:rsidR="002911DA">
              <w:t>3</w:t>
            </w:r>
            <w:r w:rsidRPr="002004D5">
              <w:t>0 due to changes in source data. In particular, a few species had status changes</w:t>
            </w:r>
            <w:r w:rsidR="002911DA">
              <w:t xml:space="preserve">. </w:t>
            </w:r>
          </w:p>
        </w:tc>
      </w:tr>
      <w:tr w:rsidR="00773716" w14:paraId="56CEDF40" w14:textId="77777777" w:rsidTr="00F345DF">
        <w:tc>
          <w:tcPr>
            <w:tcW w:w="1705" w:type="dxa"/>
          </w:tcPr>
          <w:p w14:paraId="3A3A8C71" w14:textId="3BF1D97F" w:rsidR="00773716" w:rsidRPr="002004D5" w:rsidRDefault="00773716" w:rsidP="001F4D18">
            <w:r w:rsidRPr="002004D5">
              <w:t>Lasting special places (subgoal of s</w:t>
            </w:r>
            <w:r w:rsidR="00F345DF" w:rsidRPr="002004D5">
              <w:t>ense of place</w:t>
            </w:r>
            <w:r w:rsidRPr="002004D5">
              <w:t>)</w:t>
            </w:r>
          </w:p>
        </w:tc>
        <w:tc>
          <w:tcPr>
            <w:tcW w:w="3240" w:type="dxa"/>
          </w:tcPr>
          <w:p w14:paraId="732AA350" w14:textId="77777777" w:rsidR="00773716" w:rsidRPr="002004D5" w:rsidRDefault="00773716" w:rsidP="001F4D18">
            <w:r w:rsidRPr="002004D5">
              <w:t>Additional year of WDPA data</w:t>
            </w:r>
          </w:p>
          <w:p w14:paraId="2C61A843" w14:textId="4831B9F9" w:rsidR="00773716" w:rsidRPr="002004D5" w:rsidRDefault="00773716" w:rsidP="001F4D18"/>
        </w:tc>
        <w:tc>
          <w:tcPr>
            <w:tcW w:w="3960" w:type="dxa"/>
          </w:tcPr>
          <w:p w14:paraId="3980DFAB" w14:textId="77777777" w:rsidR="00773716" w:rsidRPr="002004D5" w:rsidRDefault="00773716" w:rsidP="001F4D18">
            <w:r w:rsidRPr="002004D5">
              <w:t>None</w:t>
            </w:r>
          </w:p>
        </w:tc>
        <w:tc>
          <w:tcPr>
            <w:tcW w:w="3780" w:type="dxa"/>
          </w:tcPr>
          <w:p w14:paraId="201167FC" w14:textId="2819F430" w:rsidR="00773716" w:rsidRPr="002004D5" w:rsidRDefault="002F5C31" w:rsidP="006C04EA">
            <w:r w:rsidRPr="002004D5">
              <w:t xml:space="preserve">Some </w:t>
            </w:r>
            <w:r w:rsidR="00AC7142" w:rsidRPr="002004D5">
              <w:t xml:space="preserve">large </w:t>
            </w:r>
            <w:r w:rsidRPr="002004D5">
              <w:t xml:space="preserve">changes </w:t>
            </w:r>
            <w:r w:rsidR="00AC7142" w:rsidRPr="002004D5">
              <w:t xml:space="preserve">in a few regions </w:t>
            </w:r>
            <w:r w:rsidRPr="002004D5">
              <w:t>due to changes in source data</w:t>
            </w:r>
            <w:r w:rsidR="00430968" w:rsidRPr="002004D5">
              <w:t>.</w:t>
            </w:r>
          </w:p>
        </w:tc>
      </w:tr>
      <w:tr w:rsidR="00773716" w14:paraId="74BA6342" w14:textId="77777777" w:rsidTr="00F345DF">
        <w:tc>
          <w:tcPr>
            <w:tcW w:w="1705" w:type="dxa"/>
          </w:tcPr>
          <w:p w14:paraId="595776A3" w14:textId="77777777" w:rsidR="00773716" w:rsidRPr="002004D5" w:rsidRDefault="00773716" w:rsidP="001F4D18">
            <w:r w:rsidRPr="002004D5">
              <w:t>Natural products</w:t>
            </w:r>
          </w:p>
        </w:tc>
        <w:tc>
          <w:tcPr>
            <w:tcW w:w="3240" w:type="dxa"/>
          </w:tcPr>
          <w:p w14:paraId="428750FD" w14:textId="77777777" w:rsidR="00773716" w:rsidRPr="002004D5" w:rsidRDefault="00E56A67" w:rsidP="001F4D18">
            <w:r w:rsidRPr="002004D5">
              <w:t>Additional two years of FAO harvest data</w:t>
            </w:r>
          </w:p>
          <w:p w14:paraId="5C3AD70B" w14:textId="77777777" w:rsidR="0081555C" w:rsidRPr="002004D5" w:rsidRDefault="0081555C" w:rsidP="001F4D18"/>
          <w:p w14:paraId="0B6FB9F8" w14:textId="18734097" w:rsidR="0081555C" w:rsidRDefault="002911DA" w:rsidP="001F4D18">
            <w:r>
              <w:t>Seaweed s</w:t>
            </w:r>
            <w:r w:rsidR="0081555C" w:rsidRPr="002004D5">
              <w:t xml:space="preserve">ustainability: </w:t>
            </w:r>
            <w:r>
              <w:t xml:space="preserve">New Seafood Watch data </w:t>
            </w:r>
          </w:p>
          <w:p w14:paraId="5F896626" w14:textId="1881AE8F" w:rsidR="002911DA" w:rsidRDefault="002911DA" w:rsidP="001F4D18"/>
          <w:p w14:paraId="42126549" w14:textId="6AEBFF72" w:rsidR="002911DA" w:rsidRDefault="002911DA" w:rsidP="001F4D18">
            <w:r>
              <w:t>Ornamentals harvest: New layer (using the old natural products methods)</w:t>
            </w:r>
          </w:p>
          <w:p w14:paraId="15DE277B" w14:textId="069D643E" w:rsidR="002911DA" w:rsidRDefault="002911DA" w:rsidP="001F4D18"/>
          <w:p w14:paraId="5F1B47BC" w14:textId="3AE6E5D9" w:rsidR="002911DA" w:rsidRDefault="002911DA" w:rsidP="001F4D18">
            <w:r>
              <w:t xml:space="preserve">Fish oil harvest: New layer, derived from the fisheries sub goal. </w:t>
            </w:r>
          </w:p>
          <w:p w14:paraId="4C3715B0" w14:textId="77777777" w:rsidR="002911DA" w:rsidRDefault="002911DA" w:rsidP="001F4D18"/>
          <w:p w14:paraId="0B6F23A2" w14:textId="583E0D19" w:rsidR="002911DA" w:rsidRPr="002004D5" w:rsidRDefault="002911DA" w:rsidP="001F4D18"/>
        </w:tc>
        <w:tc>
          <w:tcPr>
            <w:tcW w:w="3960" w:type="dxa"/>
          </w:tcPr>
          <w:p w14:paraId="41B6BE37" w14:textId="01779DD4" w:rsidR="00773716" w:rsidRPr="002004D5" w:rsidRDefault="002911DA" w:rsidP="001F4D18">
            <w:r>
              <w:t xml:space="preserve">Now exclude shells, corals, and sponges from the calculations. The fish oil data now comes from our fisheries sub goal, seaweed data is prepped from our </w:t>
            </w:r>
            <w:proofErr w:type="spellStart"/>
            <w:r>
              <w:t>mariculture</w:t>
            </w:r>
            <w:proofErr w:type="spellEnd"/>
            <w:r>
              <w:t xml:space="preserve"> sub goal, and the ornamentals data stayed the same. </w:t>
            </w:r>
          </w:p>
        </w:tc>
        <w:tc>
          <w:tcPr>
            <w:tcW w:w="3780" w:type="dxa"/>
          </w:tcPr>
          <w:p w14:paraId="2B3393D0" w14:textId="4457EF48" w:rsidR="00A20B2F" w:rsidRPr="002004D5" w:rsidRDefault="002911DA" w:rsidP="001F4D18">
            <w:r>
              <w:t xml:space="preserve">Scores changed pretty dramatically due to the model changes. However, the scores did stabilize and are less variable year to year. </w:t>
            </w:r>
          </w:p>
        </w:tc>
      </w:tr>
      <w:tr w:rsidR="00773716" w14:paraId="3C3C7EC8" w14:textId="77777777" w:rsidTr="00F345DF">
        <w:tc>
          <w:tcPr>
            <w:tcW w:w="1705" w:type="dxa"/>
          </w:tcPr>
          <w:p w14:paraId="2D7ECCDE" w14:textId="77777777" w:rsidR="00773716" w:rsidRPr="002004D5" w:rsidRDefault="00773716" w:rsidP="001F4D18">
            <w:r w:rsidRPr="002004D5">
              <w:t>Tourism and recreation</w:t>
            </w:r>
          </w:p>
        </w:tc>
        <w:tc>
          <w:tcPr>
            <w:tcW w:w="3240" w:type="dxa"/>
          </w:tcPr>
          <w:p w14:paraId="74863E15" w14:textId="723D8B41" w:rsidR="00773716" w:rsidRPr="002004D5" w:rsidRDefault="00773716" w:rsidP="001F4D18">
            <w:r w:rsidRPr="002004D5">
              <w:rPr>
                <w:i/>
              </w:rPr>
              <w:t>Tourism sustainability</w:t>
            </w:r>
            <w:r w:rsidRPr="002004D5">
              <w:t xml:space="preserve">: </w:t>
            </w:r>
            <w:r w:rsidR="00A20B2F" w:rsidRPr="002004D5">
              <w:t>No update</w:t>
            </w:r>
          </w:p>
          <w:p w14:paraId="5D0898DF" w14:textId="77777777" w:rsidR="00773716" w:rsidRPr="002004D5" w:rsidRDefault="00773716" w:rsidP="001F4D18"/>
          <w:p w14:paraId="2DDD9CEC" w14:textId="5784E852" w:rsidR="00773716" w:rsidRPr="002004D5" w:rsidRDefault="00773716" w:rsidP="001F4D18">
            <w:r w:rsidRPr="002004D5">
              <w:rPr>
                <w:i/>
              </w:rPr>
              <w:t>Employment</w:t>
            </w:r>
            <w:r w:rsidRPr="002004D5">
              <w:t xml:space="preserve">: </w:t>
            </w:r>
            <w:r w:rsidR="002911DA">
              <w:t>1</w:t>
            </w:r>
            <w:r w:rsidR="00476AAA" w:rsidRPr="002004D5">
              <w:t xml:space="preserve"> additional </w:t>
            </w:r>
            <w:proofErr w:type="gramStart"/>
            <w:r w:rsidRPr="002004D5">
              <w:t>year</w:t>
            </w:r>
            <w:r w:rsidR="00476AAA" w:rsidRPr="002004D5">
              <w:t>s</w:t>
            </w:r>
            <w:proofErr w:type="gramEnd"/>
            <w:r w:rsidRPr="002004D5">
              <w:t xml:space="preserve"> of WEF data</w:t>
            </w:r>
            <w:r w:rsidR="00476AAA" w:rsidRPr="002004D5">
              <w:t xml:space="preserve"> added</w:t>
            </w:r>
          </w:p>
          <w:p w14:paraId="29D9D184" w14:textId="77777777" w:rsidR="00773716" w:rsidRPr="002004D5" w:rsidRDefault="00773716" w:rsidP="001F4D18"/>
          <w:p w14:paraId="24478F3E" w14:textId="0338A0FE" w:rsidR="00773716" w:rsidRPr="002004D5" w:rsidRDefault="00773716" w:rsidP="00660E39">
            <w:r w:rsidRPr="002004D5">
              <w:rPr>
                <w:i/>
              </w:rPr>
              <w:t>Travel warnings</w:t>
            </w:r>
            <w:r w:rsidRPr="002004D5">
              <w:t>:</w:t>
            </w:r>
            <w:r w:rsidR="002911DA">
              <w:t xml:space="preserve"> deleted from index </w:t>
            </w:r>
          </w:p>
        </w:tc>
        <w:tc>
          <w:tcPr>
            <w:tcW w:w="3960" w:type="dxa"/>
          </w:tcPr>
          <w:p w14:paraId="684F12A4" w14:textId="4CEAB197" w:rsidR="002C0807" w:rsidRPr="002004D5" w:rsidRDefault="002911DA" w:rsidP="001F4D18">
            <w:r>
              <w:lastRenderedPageBreak/>
              <w:t xml:space="preserve">Travel warnings are now excluded from index. </w:t>
            </w:r>
          </w:p>
        </w:tc>
        <w:tc>
          <w:tcPr>
            <w:tcW w:w="3780" w:type="dxa"/>
          </w:tcPr>
          <w:p w14:paraId="3C8B049B" w14:textId="63E28234" w:rsidR="00773716" w:rsidRPr="002004D5" w:rsidRDefault="00476AAA" w:rsidP="001F4D18">
            <w:r w:rsidRPr="002004D5">
              <w:t xml:space="preserve">Scores overall </w:t>
            </w:r>
            <w:r w:rsidR="002911DA">
              <w:t xml:space="preserve">increased for most regions, because we excluded travel warnings. For example, Somalia </w:t>
            </w:r>
            <w:r w:rsidR="002911DA">
              <w:lastRenderedPageBreak/>
              <w:t xml:space="preserve">increased by nearly 40 points due to removing the travel warning penalty. </w:t>
            </w:r>
          </w:p>
        </w:tc>
      </w:tr>
      <w:tr w:rsidR="00773716" w14:paraId="6B473CE0" w14:textId="77777777" w:rsidTr="00F345DF">
        <w:tc>
          <w:tcPr>
            <w:tcW w:w="1705" w:type="dxa"/>
          </w:tcPr>
          <w:p w14:paraId="77D89BA4" w14:textId="77777777" w:rsidR="00773716" w:rsidRPr="002004D5" w:rsidRDefault="00773716" w:rsidP="001F4D18">
            <w:r w:rsidRPr="002004D5">
              <w:lastRenderedPageBreak/>
              <w:t>Livelihoods and economies</w:t>
            </w:r>
          </w:p>
        </w:tc>
        <w:tc>
          <w:tcPr>
            <w:tcW w:w="3240" w:type="dxa"/>
          </w:tcPr>
          <w:p w14:paraId="4BD7CC60" w14:textId="77777777" w:rsidR="00773716" w:rsidRPr="002004D5" w:rsidRDefault="00773716" w:rsidP="001F4D18">
            <w:r w:rsidRPr="002004D5">
              <w:t>None</w:t>
            </w:r>
          </w:p>
        </w:tc>
        <w:tc>
          <w:tcPr>
            <w:tcW w:w="3960" w:type="dxa"/>
          </w:tcPr>
          <w:p w14:paraId="30C86AFF" w14:textId="77777777" w:rsidR="00773716" w:rsidRPr="002004D5" w:rsidRDefault="00773716" w:rsidP="001F4D18">
            <w:r w:rsidRPr="002004D5">
              <w:t>None</w:t>
            </w:r>
          </w:p>
        </w:tc>
        <w:tc>
          <w:tcPr>
            <w:tcW w:w="3780" w:type="dxa"/>
          </w:tcPr>
          <w:p w14:paraId="13BD969A" w14:textId="77777777" w:rsidR="00773716" w:rsidRPr="002004D5" w:rsidRDefault="00773716" w:rsidP="001F4D18">
            <w:r w:rsidRPr="002004D5">
              <w:t>None</w:t>
            </w:r>
          </w:p>
        </w:tc>
      </w:tr>
    </w:tbl>
    <w:p w14:paraId="7B43A322" w14:textId="77777777" w:rsidR="00653649" w:rsidRDefault="00653649" w:rsidP="00773716"/>
    <w:p w14:paraId="6CD63F97" w14:textId="77777777" w:rsidR="00653649" w:rsidRDefault="00653649" w:rsidP="00773716">
      <w:r>
        <w:br w:type="page"/>
      </w:r>
    </w:p>
    <w:p w14:paraId="725287F4" w14:textId="79C7C3EF" w:rsidR="00773716" w:rsidRDefault="00773716" w:rsidP="00773716">
      <w:r w:rsidRPr="002149B1">
        <w:rPr>
          <w:b/>
        </w:rPr>
        <w:lastRenderedPageBreak/>
        <w:t>Table 2</w:t>
      </w:r>
      <w:r w:rsidR="002149B1" w:rsidRPr="002149B1">
        <w:rPr>
          <w:b/>
        </w:rPr>
        <w:t xml:space="preserve"> Pressures</w:t>
      </w:r>
      <w:r w:rsidRPr="002149B1">
        <w:rPr>
          <w:b/>
        </w:rPr>
        <w:t>:</w:t>
      </w:r>
      <w:r>
        <w:t xml:space="preserve"> Description of updates to data and methods.</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4E4CA3F3" w:rsidR="00773716" w:rsidRPr="004D0249" w:rsidRDefault="00D72497" w:rsidP="001F4D18">
            <w:pPr>
              <w:rPr>
                <w:b/>
              </w:rPr>
            </w:pPr>
            <w:r>
              <w:rPr>
                <w:b/>
              </w:rPr>
              <w:t>Pressure</w:t>
            </w:r>
          </w:p>
        </w:tc>
        <w:tc>
          <w:tcPr>
            <w:tcW w:w="2520" w:type="dxa"/>
          </w:tcPr>
          <w:p w14:paraId="3C9EB1E9" w14:textId="77777777" w:rsidR="00773716" w:rsidRPr="004D0249" w:rsidRDefault="00773716" w:rsidP="001F4D18">
            <w:pPr>
              <w:rPr>
                <w:b/>
              </w:rPr>
            </w:pPr>
            <w:r w:rsidRPr="004D0249">
              <w:rPr>
                <w:b/>
              </w:rPr>
              <w:t>Updates to data</w:t>
            </w:r>
          </w:p>
        </w:tc>
        <w:tc>
          <w:tcPr>
            <w:tcW w:w="2880" w:type="dxa"/>
          </w:tcPr>
          <w:p w14:paraId="2F1C1C33" w14:textId="77777777" w:rsidR="00773716" w:rsidRPr="004D0249" w:rsidRDefault="00773716" w:rsidP="001F4D18">
            <w:pPr>
              <w:rPr>
                <w:b/>
              </w:rPr>
            </w:pPr>
            <w:r w:rsidRPr="004D0249">
              <w:rPr>
                <w:b/>
              </w:rPr>
              <w:t>Updates to data preparation or model</w:t>
            </w:r>
          </w:p>
        </w:tc>
        <w:tc>
          <w:tcPr>
            <w:tcW w:w="4140" w:type="dxa"/>
          </w:tcPr>
          <w:p w14:paraId="6472A139" w14:textId="77777777" w:rsidR="00773716" w:rsidRPr="004D0249" w:rsidRDefault="00773716" w:rsidP="001F4D18">
            <w:pPr>
              <w:rPr>
                <w:b/>
              </w:rPr>
            </w:pPr>
            <w:r w:rsidRPr="004D0249">
              <w:rPr>
                <w:b/>
              </w:rPr>
              <w:t>Notes</w:t>
            </w:r>
          </w:p>
        </w:tc>
      </w:tr>
      <w:tr w:rsidR="00773716" w14:paraId="68647894" w14:textId="77777777" w:rsidTr="002004D5">
        <w:tc>
          <w:tcPr>
            <w:tcW w:w="3145" w:type="dxa"/>
            <w:shd w:val="clear" w:color="auto" w:fill="auto"/>
          </w:tcPr>
          <w:p w14:paraId="40374005" w14:textId="77777777" w:rsidR="00773716" w:rsidRPr="002004D5" w:rsidRDefault="00773716" w:rsidP="001F4D18">
            <w:r w:rsidRPr="002004D5">
              <w:t>Social: World Governance Index</w:t>
            </w:r>
          </w:p>
        </w:tc>
        <w:tc>
          <w:tcPr>
            <w:tcW w:w="2520" w:type="dxa"/>
            <w:shd w:val="clear" w:color="auto" w:fill="auto"/>
          </w:tcPr>
          <w:p w14:paraId="229FC6B3" w14:textId="408937DE" w:rsidR="00773716" w:rsidRPr="002004D5" w:rsidRDefault="00985ACD" w:rsidP="001F4D18">
            <w:r w:rsidRPr="002004D5">
              <w:t xml:space="preserve">Additional year </w:t>
            </w:r>
            <w:r w:rsidR="00773716" w:rsidRPr="002004D5">
              <w:t>data</w:t>
            </w:r>
          </w:p>
        </w:tc>
        <w:tc>
          <w:tcPr>
            <w:tcW w:w="2880" w:type="dxa"/>
            <w:shd w:val="clear" w:color="auto" w:fill="auto"/>
          </w:tcPr>
          <w:p w14:paraId="6696946C" w14:textId="06C8232E" w:rsidR="00773716" w:rsidRPr="002004D5" w:rsidRDefault="00E16BE1" w:rsidP="001F4D18">
            <w:r w:rsidRPr="002004D5">
              <w:t>None</w:t>
            </w:r>
          </w:p>
        </w:tc>
        <w:tc>
          <w:tcPr>
            <w:tcW w:w="4140" w:type="dxa"/>
            <w:shd w:val="clear" w:color="auto" w:fill="auto"/>
          </w:tcPr>
          <w:p w14:paraId="39C8D371" w14:textId="5E23B727" w:rsidR="00773716" w:rsidRPr="002004D5" w:rsidRDefault="00BA5E61" w:rsidP="001F4D18">
            <w:r w:rsidRPr="002004D5">
              <w:t xml:space="preserve">Changes to source data resulted in very small changes to pressure scores (&lt; </w:t>
            </w:r>
            <w:r w:rsidRPr="002004D5">
              <w:rPr>
                <w:rFonts w:cstheme="minorHAnsi"/>
              </w:rPr>
              <w:t>±</w:t>
            </w:r>
            <w:r w:rsidRPr="002004D5">
              <w:t>0.5)</w:t>
            </w:r>
            <w:r w:rsidR="00F70DD0">
              <w:t>.</w:t>
            </w:r>
          </w:p>
        </w:tc>
      </w:tr>
      <w:tr w:rsidR="00773716" w14:paraId="12B297A2" w14:textId="77777777" w:rsidTr="002004D5">
        <w:tc>
          <w:tcPr>
            <w:tcW w:w="3145" w:type="dxa"/>
            <w:shd w:val="clear" w:color="auto" w:fill="auto"/>
          </w:tcPr>
          <w:p w14:paraId="5A4FB635" w14:textId="16B9444C" w:rsidR="00773716" w:rsidRPr="002004D5" w:rsidRDefault="00773716" w:rsidP="001F4D18">
            <w:r w:rsidRPr="002004D5">
              <w:t xml:space="preserve">Social: Social Progress Index </w:t>
            </w:r>
          </w:p>
        </w:tc>
        <w:tc>
          <w:tcPr>
            <w:tcW w:w="2520" w:type="dxa"/>
            <w:shd w:val="clear" w:color="auto" w:fill="auto"/>
          </w:tcPr>
          <w:p w14:paraId="3F0DE2A6" w14:textId="468598DD" w:rsidR="00773716" w:rsidRPr="002004D5" w:rsidRDefault="00D94C92" w:rsidP="00F65A5A">
            <w:r w:rsidRPr="002004D5">
              <w:t>Additional year data</w:t>
            </w:r>
            <w:r w:rsidR="00E16BE1" w:rsidRPr="002004D5">
              <w:t xml:space="preserve"> </w:t>
            </w:r>
          </w:p>
        </w:tc>
        <w:tc>
          <w:tcPr>
            <w:tcW w:w="2880" w:type="dxa"/>
            <w:shd w:val="clear" w:color="auto" w:fill="auto"/>
          </w:tcPr>
          <w:p w14:paraId="12BCDA84" w14:textId="0033A88B" w:rsidR="00773716" w:rsidRPr="002004D5" w:rsidRDefault="00F65A5A" w:rsidP="001F4D18">
            <w:r w:rsidRPr="002004D5">
              <w:t>None</w:t>
            </w:r>
          </w:p>
        </w:tc>
        <w:tc>
          <w:tcPr>
            <w:tcW w:w="4140" w:type="dxa"/>
            <w:shd w:val="clear" w:color="auto" w:fill="auto"/>
          </w:tcPr>
          <w:p w14:paraId="7217B61E" w14:textId="3F436901" w:rsidR="00E06211" w:rsidRPr="002004D5" w:rsidRDefault="00AC7142" w:rsidP="004762D1">
            <w:r w:rsidRPr="002004D5">
              <w:t>None</w:t>
            </w:r>
          </w:p>
        </w:tc>
      </w:tr>
      <w:tr w:rsidR="00773716" w14:paraId="6D4D3A52" w14:textId="77777777" w:rsidTr="002004D5">
        <w:tc>
          <w:tcPr>
            <w:tcW w:w="3145" w:type="dxa"/>
            <w:shd w:val="clear" w:color="auto" w:fill="auto"/>
          </w:tcPr>
          <w:p w14:paraId="2865A603" w14:textId="68ACEA19" w:rsidR="00773716" w:rsidRPr="002004D5" w:rsidRDefault="00773716" w:rsidP="001F4D18">
            <w:r w:rsidRPr="002004D5">
              <w:t>Climate change: Ocean acidification</w:t>
            </w:r>
          </w:p>
        </w:tc>
        <w:tc>
          <w:tcPr>
            <w:tcW w:w="2520" w:type="dxa"/>
            <w:shd w:val="clear" w:color="auto" w:fill="auto"/>
          </w:tcPr>
          <w:p w14:paraId="5E9E9216" w14:textId="6143E46E" w:rsidR="00773716" w:rsidRPr="002004D5" w:rsidRDefault="00995860" w:rsidP="001F4D18">
            <w:r w:rsidRPr="002004D5">
              <w:t>None</w:t>
            </w:r>
            <w:r w:rsidR="00B061E2" w:rsidRPr="002004D5">
              <w:t>, but additional year of data because there were projections to 2020</w:t>
            </w:r>
          </w:p>
        </w:tc>
        <w:tc>
          <w:tcPr>
            <w:tcW w:w="2880" w:type="dxa"/>
            <w:shd w:val="clear" w:color="auto" w:fill="auto"/>
          </w:tcPr>
          <w:p w14:paraId="04573D66" w14:textId="39082C32" w:rsidR="00773716" w:rsidRPr="002004D5" w:rsidRDefault="00B60A41" w:rsidP="006C04EA">
            <w:r w:rsidRPr="002004D5">
              <w:t>None</w:t>
            </w:r>
          </w:p>
        </w:tc>
        <w:tc>
          <w:tcPr>
            <w:tcW w:w="4140" w:type="dxa"/>
            <w:shd w:val="clear" w:color="auto" w:fill="auto"/>
          </w:tcPr>
          <w:p w14:paraId="21DB18A5" w14:textId="1790315B" w:rsidR="00773716" w:rsidRPr="002004D5" w:rsidRDefault="00F85B60" w:rsidP="001F4D18">
            <w:r w:rsidRPr="002004D5">
              <w:t>None</w:t>
            </w:r>
          </w:p>
        </w:tc>
      </w:tr>
      <w:tr w:rsidR="00773716" w14:paraId="6597E24E" w14:textId="77777777" w:rsidTr="002004D5">
        <w:tc>
          <w:tcPr>
            <w:tcW w:w="3145" w:type="dxa"/>
            <w:shd w:val="clear" w:color="auto" w:fill="auto"/>
          </w:tcPr>
          <w:p w14:paraId="4C995474" w14:textId="1381F7AD" w:rsidR="00773716" w:rsidRPr="002004D5" w:rsidRDefault="00773716" w:rsidP="001F4D18">
            <w:r w:rsidRPr="002004D5">
              <w:t>Climate change: UV</w:t>
            </w:r>
            <w:r w:rsidR="00920069" w:rsidRPr="002004D5">
              <w:t xml:space="preserve"> </w:t>
            </w:r>
          </w:p>
        </w:tc>
        <w:tc>
          <w:tcPr>
            <w:tcW w:w="2520" w:type="dxa"/>
            <w:shd w:val="clear" w:color="auto" w:fill="auto"/>
          </w:tcPr>
          <w:p w14:paraId="3149D722" w14:textId="5EE5CC55" w:rsidR="002B23CA" w:rsidRPr="002004D5" w:rsidRDefault="00985ACD" w:rsidP="00985ACD">
            <w:r w:rsidRPr="002004D5">
              <w:t>Additional year data</w:t>
            </w:r>
          </w:p>
        </w:tc>
        <w:tc>
          <w:tcPr>
            <w:tcW w:w="2880" w:type="dxa"/>
            <w:shd w:val="clear" w:color="auto" w:fill="auto"/>
          </w:tcPr>
          <w:p w14:paraId="78CF09E4" w14:textId="30DCC1DB" w:rsidR="00985ACD" w:rsidRPr="002004D5" w:rsidRDefault="00985ACD" w:rsidP="0016410F"/>
        </w:tc>
        <w:tc>
          <w:tcPr>
            <w:tcW w:w="4140" w:type="dxa"/>
            <w:shd w:val="clear" w:color="auto" w:fill="auto"/>
          </w:tcPr>
          <w:p w14:paraId="39BB682A" w14:textId="4D6CB941" w:rsidR="00773716" w:rsidRPr="002004D5" w:rsidRDefault="0062639B" w:rsidP="00650399">
            <w:r w:rsidRPr="002004D5">
              <w:t xml:space="preserve">Very small changes </w:t>
            </w:r>
            <w:r w:rsidR="004762D1" w:rsidRPr="002004D5">
              <w:t>in pressures</w:t>
            </w:r>
            <w:r w:rsidRPr="002004D5">
              <w:t xml:space="preserve"> (&lt; </w:t>
            </w:r>
            <w:r w:rsidRPr="002004D5">
              <w:rPr>
                <w:rFonts w:cstheme="minorHAnsi"/>
              </w:rPr>
              <w:t>±</w:t>
            </w:r>
            <w:r w:rsidR="00F85B60" w:rsidRPr="002004D5">
              <w:rPr>
                <w:rFonts w:cstheme="minorHAnsi"/>
              </w:rPr>
              <w:t>0.5</w:t>
            </w:r>
            <w:r w:rsidRPr="002004D5">
              <w:t>)</w:t>
            </w:r>
            <w:r w:rsidR="00F70DD0">
              <w:t>.</w:t>
            </w:r>
          </w:p>
        </w:tc>
      </w:tr>
      <w:tr w:rsidR="00773716" w14:paraId="669E6998" w14:textId="77777777" w:rsidTr="002004D5">
        <w:tc>
          <w:tcPr>
            <w:tcW w:w="3145" w:type="dxa"/>
            <w:shd w:val="clear" w:color="auto" w:fill="auto"/>
          </w:tcPr>
          <w:p w14:paraId="1F349A40" w14:textId="0C004A30" w:rsidR="00773716" w:rsidRPr="002004D5" w:rsidRDefault="00773716" w:rsidP="001F4D18">
            <w:r w:rsidRPr="002004D5">
              <w:t>Climate change: Sea level rise</w:t>
            </w:r>
          </w:p>
        </w:tc>
        <w:tc>
          <w:tcPr>
            <w:tcW w:w="2520" w:type="dxa"/>
            <w:shd w:val="clear" w:color="auto" w:fill="auto"/>
          </w:tcPr>
          <w:p w14:paraId="400E47E4" w14:textId="3D6077D1" w:rsidR="00773716" w:rsidRPr="002004D5" w:rsidRDefault="00B60A41" w:rsidP="001F4D18">
            <w:r w:rsidRPr="002004D5">
              <w:t>Additional year data</w:t>
            </w:r>
          </w:p>
        </w:tc>
        <w:tc>
          <w:tcPr>
            <w:tcW w:w="2880" w:type="dxa"/>
            <w:shd w:val="clear" w:color="auto" w:fill="auto"/>
          </w:tcPr>
          <w:p w14:paraId="7EE8C9F8" w14:textId="61A3DC65" w:rsidR="002B23CA" w:rsidRPr="002004D5" w:rsidRDefault="00B60A41" w:rsidP="001F4D18">
            <w:r w:rsidRPr="002004D5">
              <w:t>None</w:t>
            </w:r>
          </w:p>
        </w:tc>
        <w:tc>
          <w:tcPr>
            <w:tcW w:w="4140" w:type="dxa"/>
            <w:shd w:val="clear" w:color="auto" w:fill="auto"/>
          </w:tcPr>
          <w:p w14:paraId="43992E9F" w14:textId="64C47CB2" w:rsidR="00773716" w:rsidRPr="002004D5" w:rsidRDefault="00F85B60" w:rsidP="001F4D18">
            <w:r w:rsidRPr="002004D5">
              <w:t>None</w:t>
            </w:r>
          </w:p>
        </w:tc>
      </w:tr>
      <w:tr w:rsidR="00773716" w14:paraId="4FB8CE83" w14:textId="77777777" w:rsidTr="002004D5">
        <w:tc>
          <w:tcPr>
            <w:tcW w:w="3145" w:type="dxa"/>
            <w:shd w:val="clear" w:color="auto" w:fill="auto"/>
          </w:tcPr>
          <w:p w14:paraId="1FA08A0B" w14:textId="4D72C52C" w:rsidR="00773716" w:rsidRPr="002004D5" w:rsidRDefault="00773716" w:rsidP="001F4D18">
            <w:r w:rsidRPr="002004D5">
              <w:t>Climate</w:t>
            </w:r>
            <w:r w:rsidR="00E16BE1" w:rsidRPr="002004D5">
              <w:t xml:space="preserve"> change: Sea surface temperature</w:t>
            </w:r>
          </w:p>
        </w:tc>
        <w:tc>
          <w:tcPr>
            <w:tcW w:w="2520" w:type="dxa"/>
            <w:shd w:val="clear" w:color="auto" w:fill="auto"/>
          </w:tcPr>
          <w:p w14:paraId="6CDC8DD4" w14:textId="695512E9" w:rsidR="00773716" w:rsidRPr="002004D5" w:rsidRDefault="00B6355C" w:rsidP="001F4D18">
            <w:r w:rsidRPr="002004D5">
              <w:t>None</w:t>
            </w:r>
          </w:p>
        </w:tc>
        <w:tc>
          <w:tcPr>
            <w:tcW w:w="2880" w:type="dxa"/>
            <w:shd w:val="clear" w:color="auto" w:fill="auto"/>
          </w:tcPr>
          <w:p w14:paraId="6439E2F1" w14:textId="5AA9DDA6" w:rsidR="00773716" w:rsidRPr="002004D5" w:rsidRDefault="00E16BE1" w:rsidP="001F4D18">
            <w:r w:rsidRPr="002004D5">
              <w:t>None</w:t>
            </w:r>
          </w:p>
        </w:tc>
        <w:tc>
          <w:tcPr>
            <w:tcW w:w="4140" w:type="dxa"/>
            <w:shd w:val="clear" w:color="auto" w:fill="auto"/>
          </w:tcPr>
          <w:p w14:paraId="1BC42B2B" w14:textId="45B878A5" w:rsidR="00773716" w:rsidRPr="002004D5" w:rsidRDefault="00B6355C" w:rsidP="001F4D18">
            <w:r w:rsidRPr="002004D5">
              <w:t>None</w:t>
            </w:r>
          </w:p>
        </w:tc>
      </w:tr>
      <w:tr w:rsidR="00773716" w14:paraId="4CF04726" w14:textId="77777777" w:rsidTr="002004D5">
        <w:tc>
          <w:tcPr>
            <w:tcW w:w="3145" w:type="dxa"/>
            <w:shd w:val="clear" w:color="auto" w:fill="auto"/>
          </w:tcPr>
          <w:p w14:paraId="7FD752C6" w14:textId="77777777" w:rsidR="00773716" w:rsidRPr="002004D5" w:rsidRDefault="00773716" w:rsidP="001F4D18">
            <w:r w:rsidRPr="002004D5">
              <w:t>Pollution: Land-based nutrient pollution</w:t>
            </w:r>
          </w:p>
        </w:tc>
        <w:tc>
          <w:tcPr>
            <w:tcW w:w="2520" w:type="dxa"/>
            <w:shd w:val="clear" w:color="auto" w:fill="auto"/>
          </w:tcPr>
          <w:p w14:paraId="028F784F" w14:textId="5B3E2E0A" w:rsidR="00773716" w:rsidRPr="002004D5" w:rsidRDefault="00B60A41" w:rsidP="001F4D18">
            <w:r w:rsidRPr="002004D5">
              <w:t>None</w:t>
            </w:r>
          </w:p>
        </w:tc>
        <w:tc>
          <w:tcPr>
            <w:tcW w:w="2880" w:type="dxa"/>
            <w:shd w:val="clear" w:color="auto" w:fill="auto"/>
          </w:tcPr>
          <w:p w14:paraId="55072446" w14:textId="77777777" w:rsidR="00773716" w:rsidRPr="002004D5" w:rsidRDefault="00773716" w:rsidP="001F4D18">
            <w:r w:rsidRPr="002004D5">
              <w:t>None</w:t>
            </w:r>
          </w:p>
        </w:tc>
        <w:tc>
          <w:tcPr>
            <w:tcW w:w="4140" w:type="dxa"/>
            <w:shd w:val="clear" w:color="auto" w:fill="auto"/>
          </w:tcPr>
          <w:p w14:paraId="0E076667" w14:textId="6E4C8F1A" w:rsidR="00773716" w:rsidRPr="002004D5" w:rsidRDefault="00AC7142" w:rsidP="001F4D18">
            <w:r w:rsidRPr="002004D5">
              <w:t>None</w:t>
            </w:r>
          </w:p>
        </w:tc>
      </w:tr>
      <w:tr w:rsidR="00773716" w14:paraId="01716858" w14:textId="77777777" w:rsidTr="002004D5">
        <w:tc>
          <w:tcPr>
            <w:tcW w:w="3145" w:type="dxa"/>
            <w:shd w:val="clear" w:color="auto" w:fill="auto"/>
          </w:tcPr>
          <w:p w14:paraId="38E64C74" w14:textId="77777777" w:rsidR="00773716" w:rsidRPr="002004D5" w:rsidRDefault="00773716" w:rsidP="001F4D18">
            <w:r w:rsidRPr="002004D5">
              <w:t>Pollution: Chemical pollution</w:t>
            </w:r>
          </w:p>
        </w:tc>
        <w:tc>
          <w:tcPr>
            <w:tcW w:w="2520" w:type="dxa"/>
            <w:shd w:val="clear" w:color="auto" w:fill="auto"/>
          </w:tcPr>
          <w:p w14:paraId="760FDB33" w14:textId="2C434775" w:rsidR="00773716" w:rsidRPr="002004D5" w:rsidRDefault="00773716" w:rsidP="001F4D18">
            <w:r w:rsidRPr="002004D5">
              <w:t xml:space="preserve">Organic land-based: </w:t>
            </w:r>
            <w:r w:rsidR="00B60A41" w:rsidRPr="002004D5">
              <w:t>None</w:t>
            </w:r>
          </w:p>
          <w:p w14:paraId="5959244B" w14:textId="77777777" w:rsidR="00773716" w:rsidRPr="002004D5" w:rsidRDefault="00773716" w:rsidP="001F4D18"/>
          <w:p w14:paraId="4BD23952" w14:textId="77777777" w:rsidR="00773716" w:rsidRPr="002004D5" w:rsidRDefault="00773716" w:rsidP="001F4D18">
            <w:r w:rsidRPr="002004D5">
              <w:t>Shipping ports: None</w:t>
            </w:r>
          </w:p>
          <w:p w14:paraId="5AEDE417" w14:textId="77777777" w:rsidR="00773716" w:rsidRPr="002004D5" w:rsidRDefault="00773716" w:rsidP="001F4D18"/>
          <w:p w14:paraId="7354365F" w14:textId="015377E1" w:rsidR="00773716" w:rsidRPr="002004D5" w:rsidRDefault="00773716" w:rsidP="001F4D18">
            <w:r w:rsidRPr="002004D5">
              <w:t>Inorganic land</w:t>
            </w:r>
            <w:r w:rsidR="006C04EA" w:rsidRPr="002004D5">
              <w:t>-</w:t>
            </w:r>
            <w:r w:rsidRPr="002004D5">
              <w:t xml:space="preserve">based: None </w:t>
            </w:r>
          </w:p>
        </w:tc>
        <w:tc>
          <w:tcPr>
            <w:tcW w:w="2880" w:type="dxa"/>
            <w:shd w:val="clear" w:color="auto" w:fill="auto"/>
          </w:tcPr>
          <w:p w14:paraId="00B6C98F" w14:textId="77777777" w:rsidR="00773716" w:rsidRPr="002004D5" w:rsidRDefault="00773716" w:rsidP="001F4D18">
            <w:r w:rsidRPr="002004D5">
              <w:t>None</w:t>
            </w:r>
          </w:p>
        </w:tc>
        <w:tc>
          <w:tcPr>
            <w:tcW w:w="4140" w:type="dxa"/>
            <w:shd w:val="clear" w:color="auto" w:fill="auto"/>
          </w:tcPr>
          <w:p w14:paraId="7F5F2DEA" w14:textId="5AAB83FE" w:rsidR="00773716" w:rsidRPr="002004D5" w:rsidRDefault="00AC7142" w:rsidP="001F4D18">
            <w:r w:rsidRPr="002004D5">
              <w:t>None</w:t>
            </w:r>
          </w:p>
        </w:tc>
      </w:tr>
      <w:tr w:rsidR="00773716" w14:paraId="252FAA53" w14:textId="77777777" w:rsidTr="002004D5">
        <w:tc>
          <w:tcPr>
            <w:tcW w:w="3145" w:type="dxa"/>
            <w:shd w:val="clear" w:color="auto" w:fill="auto"/>
          </w:tcPr>
          <w:p w14:paraId="76BC9A0F" w14:textId="77777777" w:rsidR="00773716" w:rsidRPr="002004D5" w:rsidRDefault="00773716" w:rsidP="001F4D18">
            <w:r w:rsidRPr="002004D5">
              <w:t>Pollution: Trash</w:t>
            </w:r>
          </w:p>
        </w:tc>
        <w:tc>
          <w:tcPr>
            <w:tcW w:w="2520" w:type="dxa"/>
            <w:shd w:val="clear" w:color="auto" w:fill="auto"/>
          </w:tcPr>
          <w:p w14:paraId="3C6F2417" w14:textId="77777777" w:rsidR="00773716" w:rsidRPr="002004D5" w:rsidRDefault="00773716" w:rsidP="001F4D18">
            <w:r w:rsidRPr="002004D5">
              <w:t>None</w:t>
            </w:r>
          </w:p>
        </w:tc>
        <w:tc>
          <w:tcPr>
            <w:tcW w:w="2880" w:type="dxa"/>
            <w:shd w:val="clear" w:color="auto" w:fill="auto"/>
          </w:tcPr>
          <w:p w14:paraId="0EC8684A" w14:textId="77777777" w:rsidR="00773716" w:rsidRPr="002004D5" w:rsidRDefault="00773716" w:rsidP="001F4D18">
            <w:r w:rsidRPr="002004D5">
              <w:t>None</w:t>
            </w:r>
          </w:p>
        </w:tc>
        <w:tc>
          <w:tcPr>
            <w:tcW w:w="4140" w:type="dxa"/>
            <w:shd w:val="clear" w:color="auto" w:fill="auto"/>
          </w:tcPr>
          <w:p w14:paraId="3955A1DF" w14:textId="7FB4B31D" w:rsidR="00773716" w:rsidRPr="002004D5" w:rsidRDefault="00AC7142" w:rsidP="001F4D18">
            <w:r w:rsidRPr="002004D5">
              <w:t>None</w:t>
            </w:r>
          </w:p>
        </w:tc>
      </w:tr>
      <w:tr w:rsidR="00773716" w14:paraId="2BB232F2" w14:textId="77777777" w:rsidTr="002004D5">
        <w:tc>
          <w:tcPr>
            <w:tcW w:w="3145" w:type="dxa"/>
            <w:shd w:val="clear" w:color="auto" w:fill="auto"/>
          </w:tcPr>
          <w:p w14:paraId="30A6027A" w14:textId="77777777" w:rsidR="00773716" w:rsidRPr="002004D5" w:rsidRDefault="00773716" w:rsidP="001F4D18">
            <w:r w:rsidRPr="002004D5">
              <w:t>Pollution: Pathogens</w:t>
            </w:r>
          </w:p>
        </w:tc>
        <w:tc>
          <w:tcPr>
            <w:tcW w:w="2520" w:type="dxa"/>
            <w:shd w:val="clear" w:color="auto" w:fill="auto"/>
          </w:tcPr>
          <w:p w14:paraId="6BB9D15E" w14:textId="75B3733A" w:rsidR="00773716" w:rsidRPr="002004D5" w:rsidRDefault="00DC06DE" w:rsidP="001F4D18">
            <w:r w:rsidRPr="002004D5">
              <w:t>Additional 2 years of data</w:t>
            </w:r>
          </w:p>
        </w:tc>
        <w:tc>
          <w:tcPr>
            <w:tcW w:w="2880" w:type="dxa"/>
            <w:shd w:val="clear" w:color="auto" w:fill="auto"/>
          </w:tcPr>
          <w:p w14:paraId="52A1F530" w14:textId="00586D7D" w:rsidR="00773716" w:rsidRPr="002004D5" w:rsidRDefault="00773716" w:rsidP="001F4D18"/>
        </w:tc>
        <w:tc>
          <w:tcPr>
            <w:tcW w:w="4140" w:type="dxa"/>
            <w:shd w:val="clear" w:color="auto" w:fill="auto"/>
          </w:tcPr>
          <w:p w14:paraId="2A481DF6" w14:textId="3BAABD22" w:rsidR="00773716" w:rsidRPr="002004D5" w:rsidRDefault="004762D1" w:rsidP="001F4D18">
            <w:r w:rsidRPr="002004D5">
              <w:t>Small changes to pressures</w:t>
            </w:r>
          </w:p>
        </w:tc>
      </w:tr>
      <w:tr w:rsidR="00773716" w14:paraId="42DCEF80" w14:textId="77777777" w:rsidTr="002004D5">
        <w:tc>
          <w:tcPr>
            <w:tcW w:w="3145" w:type="dxa"/>
            <w:shd w:val="clear" w:color="auto" w:fill="auto"/>
          </w:tcPr>
          <w:p w14:paraId="6E5939D0" w14:textId="77777777" w:rsidR="00773716" w:rsidRPr="002004D5" w:rsidRDefault="00773716" w:rsidP="001F4D18">
            <w:r w:rsidRPr="002004D5">
              <w:t>Species: Genetic escapes</w:t>
            </w:r>
          </w:p>
        </w:tc>
        <w:tc>
          <w:tcPr>
            <w:tcW w:w="2520" w:type="dxa"/>
            <w:shd w:val="clear" w:color="auto" w:fill="auto"/>
          </w:tcPr>
          <w:p w14:paraId="700BE0D6" w14:textId="7731861A" w:rsidR="00773716" w:rsidRPr="002004D5" w:rsidRDefault="00773716" w:rsidP="004762D1">
            <w:r w:rsidRPr="002004D5">
              <w:t xml:space="preserve">Additional year </w:t>
            </w:r>
            <w:r w:rsidR="00006A6F" w:rsidRPr="002004D5">
              <w:t>mariculture data, no updates to probability of invasiveness (Tru</w:t>
            </w:r>
            <w:r w:rsidR="00F0726C" w:rsidRPr="002004D5">
              <w:t>j</w:t>
            </w:r>
            <w:r w:rsidR="00006A6F" w:rsidRPr="002004D5">
              <w:t>illo data)</w:t>
            </w:r>
          </w:p>
        </w:tc>
        <w:tc>
          <w:tcPr>
            <w:tcW w:w="2880" w:type="dxa"/>
            <w:shd w:val="clear" w:color="auto" w:fill="auto"/>
          </w:tcPr>
          <w:p w14:paraId="12BD70C0" w14:textId="5D9D95C9" w:rsidR="00773716" w:rsidRPr="002004D5" w:rsidRDefault="00B95FE0" w:rsidP="001F4D18">
            <w:r w:rsidRPr="002004D5">
              <w:t>None</w:t>
            </w:r>
          </w:p>
        </w:tc>
        <w:tc>
          <w:tcPr>
            <w:tcW w:w="4140" w:type="dxa"/>
            <w:shd w:val="clear" w:color="auto" w:fill="auto"/>
          </w:tcPr>
          <w:p w14:paraId="089B24BC" w14:textId="055B8A1F" w:rsidR="00773716" w:rsidRPr="002004D5" w:rsidRDefault="00B95FE0" w:rsidP="004762D1">
            <w:r w:rsidRPr="002004D5">
              <w:t>All changes to pressure scores &lt;2 due to changes to mariculture source data</w:t>
            </w:r>
          </w:p>
        </w:tc>
      </w:tr>
      <w:tr w:rsidR="00773716" w14:paraId="5EBE25A4" w14:textId="77777777" w:rsidTr="002004D5">
        <w:tc>
          <w:tcPr>
            <w:tcW w:w="3145" w:type="dxa"/>
            <w:shd w:val="clear" w:color="auto" w:fill="auto"/>
          </w:tcPr>
          <w:p w14:paraId="30DCEBF9" w14:textId="77777777" w:rsidR="00773716" w:rsidRPr="002004D5" w:rsidRDefault="00773716" w:rsidP="001F4D18">
            <w:r w:rsidRPr="002004D5">
              <w:t>Species: Targeted harvest</w:t>
            </w:r>
          </w:p>
        </w:tc>
        <w:tc>
          <w:tcPr>
            <w:tcW w:w="2520" w:type="dxa"/>
            <w:shd w:val="clear" w:color="auto" w:fill="auto"/>
          </w:tcPr>
          <w:p w14:paraId="26558D92" w14:textId="77777777" w:rsidR="00773716" w:rsidRPr="002004D5" w:rsidRDefault="00773716" w:rsidP="001F4D18">
            <w:r w:rsidRPr="002004D5">
              <w:t>Additional year data</w:t>
            </w:r>
          </w:p>
        </w:tc>
        <w:tc>
          <w:tcPr>
            <w:tcW w:w="2880" w:type="dxa"/>
            <w:shd w:val="clear" w:color="auto" w:fill="auto"/>
          </w:tcPr>
          <w:p w14:paraId="3B24D2E9" w14:textId="77777777" w:rsidR="00773716" w:rsidRPr="002004D5" w:rsidRDefault="00773716" w:rsidP="001F4D18">
            <w:r w:rsidRPr="002004D5">
              <w:t>None</w:t>
            </w:r>
          </w:p>
        </w:tc>
        <w:tc>
          <w:tcPr>
            <w:tcW w:w="4140" w:type="dxa"/>
            <w:shd w:val="clear" w:color="auto" w:fill="auto"/>
          </w:tcPr>
          <w:p w14:paraId="0EBC0951" w14:textId="23CE7D36" w:rsidR="00773716" w:rsidRPr="002004D5" w:rsidRDefault="0062639B" w:rsidP="004762D1">
            <w:r w:rsidRPr="002004D5">
              <w:t xml:space="preserve">Small changes to </w:t>
            </w:r>
            <w:r w:rsidR="004762D1" w:rsidRPr="002004D5">
              <w:t>pressure scores</w:t>
            </w:r>
            <w:r w:rsidRPr="002004D5">
              <w:t xml:space="preserve"> (</w:t>
            </w:r>
            <w:r w:rsidR="00B95FE0" w:rsidRPr="002004D5">
              <w:t>&lt;&lt;</w:t>
            </w:r>
            <w:r w:rsidRPr="002004D5">
              <w:t>&lt;</w:t>
            </w:r>
            <w:r w:rsidRPr="002004D5">
              <w:rPr>
                <w:rFonts w:cstheme="minorHAnsi"/>
              </w:rPr>
              <w:t>±</w:t>
            </w:r>
            <w:r w:rsidRPr="002004D5">
              <w:t xml:space="preserve"> </w:t>
            </w:r>
            <w:r w:rsidR="00B95FE0" w:rsidRPr="002004D5">
              <w:t>1</w:t>
            </w:r>
            <w:r w:rsidRPr="002004D5">
              <w:t xml:space="preserve">) due to changes in source </w:t>
            </w:r>
            <w:r w:rsidR="00B95FE0" w:rsidRPr="002004D5">
              <w:t>data</w:t>
            </w:r>
          </w:p>
        </w:tc>
      </w:tr>
      <w:tr w:rsidR="00773716" w14:paraId="11C967B3" w14:textId="77777777" w:rsidTr="002004D5">
        <w:tc>
          <w:tcPr>
            <w:tcW w:w="3145" w:type="dxa"/>
            <w:shd w:val="clear" w:color="auto" w:fill="auto"/>
          </w:tcPr>
          <w:p w14:paraId="3FB6EDC7" w14:textId="77777777" w:rsidR="00773716" w:rsidRPr="002004D5" w:rsidRDefault="00773716" w:rsidP="001F4D18">
            <w:r w:rsidRPr="002004D5">
              <w:t>Species: Invasive species</w:t>
            </w:r>
          </w:p>
        </w:tc>
        <w:tc>
          <w:tcPr>
            <w:tcW w:w="2520" w:type="dxa"/>
            <w:shd w:val="clear" w:color="auto" w:fill="auto"/>
          </w:tcPr>
          <w:p w14:paraId="67CCC607" w14:textId="77777777" w:rsidR="00773716" w:rsidRPr="002004D5" w:rsidRDefault="00773716" w:rsidP="001F4D18">
            <w:r w:rsidRPr="002004D5">
              <w:t>None</w:t>
            </w:r>
          </w:p>
        </w:tc>
        <w:tc>
          <w:tcPr>
            <w:tcW w:w="2880" w:type="dxa"/>
            <w:shd w:val="clear" w:color="auto" w:fill="auto"/>
          </w:tcPr>
          <w:p w14:paraId="35D5F979" w14:textId="77777777" w:rsidR="00773716" w:rsidRPr="002004D5" w:rsidRDefault="00773716" w:rsidP="001F4D18">
            <w:r w:rsidRPr="002004D5">
              <w:t>None</w:t>
            </w:r>
          </w:p>
        </w:tc>
        <w:tc>
          <w:tcPr>
            <w:tcW w:w="4140" w:type="dxa"/>
            <w:shd w:val="clear" w:color="auto" w:fill="auto"/>
          </w:tcPr>
          <w:p w14:paraId="6CD06541" w14:textId="3B8F0EF5" w:rsidR="00773716" w:rsidRPr="002004D5" w:rsidRDefault="00B95FE0" w:rsidP="001F4D18">
            <w:r w:rsidRPr="002004D5">
              <w:t>None</w:t>
            </w:r>
          </w:p>
        </w:tc>
      </w:tr>
      <w:tr w:rsidR="00773716" w14:paraId="0B08BC22" w14:textId="77777777" w:rsidTr="00F345DF">
        <w:tc>
          <w:tcPr>
            <w:tcW w:w="3145" w:type="dxa"/>
          </w:tcPr>
          <w:p w14:paraId="769C05E1" w14:textId="77777777" w:rsidR="00773716" w:rsidRDefault="00773716" w:rsidP="001F4D18">
            <w:r>
              <w:lastRenderedPageBreak/>
              <w:t>Commercial fisheries: high bycatch</w:t>
            </w:r>
          </w:p>
          <w:p w14:paraId="5A9A905B" w14:textId="39DB2823" w:rsidR="00773716" w:rsidRDefault="00773716" w:rsidP="001F4D18"/>
        </w:tc>
        <w:tc>
          <w:tcPr>
            <w:tcW w:w="2520" w:type="dxa"/>
          </w:tcPr>
          <w:p w14:paraId="24025B4A" w14:textId="31D6E00C" w:rsidR="00773716" w:rsidRDefault="00B60A41" w:rsidP="00B60A41">
            <w:r>
              <w:t>Catch</w:t>
            </w:r>
            <w:r w:rsidR="0062639B">
              <w:t>:</w:t>
            </w:r>
            <w:r>
              <w:t xml:space="preserve"> </w:t>
            </w:r>
            <w:r w:rsidR="00AC7142">
              <w:t>Updates to Watson data, but no additional year of data</w:t>
            </w:r>
          </w:p>
          <w:p w14:paraId="0974F9CE" w14:textId="77777777" w:rsidR="00B60A41" w:rsidRDefault="00B60A41" w:rsidP="00B60A41"/>
          <w:p w14:paraId="76A0EA91" w14:textId="1BA62F21" w:rsidR="00B60A41" w:rsidRDefault="00B60A41" w:rsidP="00B60A41">
            <w:r>
              <w:t xml:space="preserve">NPP: </w:t>
            </w:r>
            <w:r w:rsidR="00AC7142">
              <w:t>None</w:t>
            </w:r>
          </w:p>
        </w:tc>
        <w:tc>
          <w:tcPr>
            <w:tcW w:w="2880" w:type="dxa"/>
          </w:tcPr>
          <w:p w14:paraId="1653B204" w14:textId="5245DC5F" w:rsidR="00773716" w:rsidRDefault="00F70DD0" w:rsidP="00AE5260">
            <w:r>
              <w:t>None</w:t>
            </w:r>
          </w:p>
        </w:tc>
        <w:tc>
          <w:tcPr>
            <w:tcW w:w="4140" w:type="dxa"/>
          </w:tcPr>
          <w:p w14:paraId="23E10850" w14:textId="45EF333D" w:rsidR="00773716" w:rsidRDefault="00E4455B" w:rsidP="001F4D18">
            <w:r>
              <w:t xml:space="preserve"> </w:t>
            </w:r>
            <w:r w:rsidR="00F70DD0">
              <w:t>Small changes</w:t>
            </w:r>
          </w:p>
        </w:tc>
      </w:tr>
      <w:tr w:rsidR="00773716" w14:paraId="411300FB" w14:textId="77777777" w:rsidTr="00F345DF">
        <w:tc>
          <w:tcPr>
            <w:tcW w:w="3145" w:type="dxa"/>
          </w:tcPr>
          <w:p w14:paraId="75CEAD4A" w14:textId="3C5400C2" w:rsidR="00773716" w:rsidRDefault="00773716" w:rsidP="001F4D18">
            <w:r>
              <w:t>Commercial fisheries: low bycatch</w:t>
            </w:r>
          </w:p>
        </w:tc>
        <w:tc>
          <w:tcPr>
            <w:tcW w:w="2520" w:type="dxa"/>
          </w:tcPr>
          <w:p w14:paraId="31F5BB9D" w14:textId="77777777" w:rsidR="00AC7142" w:rsidRDefault="00AC7142" w:rsidP="00AC7142">
            <w:r>
              <w:t>Catch: Updates to Watson data, but no additional year of data</w:t>
            </w:r>
          </w:p>
          <w:p w14:paraId="3B2B460F" w14:textId="77777777" w:rsidR="00AC7142" w:rsidRDefault="00AC7142" w:rsidP="00AC7142"/>
          <w:p w14:paraId="14DAD69D" w14:textId="062B86FE" w:rsidR="00B60A41" w:rsidRDefault="00AC7142" w:rsidP="00AC7142">
            <w:r>
              <w:t>NPP: None</w:t>
            </w:r>
          </w:p>
        </w:tc>
        <w:tc>
          <w:tcPr>
            <w:tcW w:w="2880" w:type="dxa"/>
          </w:tcPr>
          <w:p w14:paraId="2A67F9B6" w14:textId="35BC8323" w:rsidR="00773716" w:rsidRDefault="00F70DD0" w:rsidP="002B23CA">
            <w:r>
              <w:t>None</w:t>
            </w:r>
          </w:p>
        </w:tc>
        <w:tc>
          <w:tcPr>
            <w:tcW w:w="4140" w:type="dxa"/>
          </w:tcPr>
          <w:p w14:paraId="71E38931" w14:textId="45C3B0B2" w:rsidR="00773716" w:rsidRDefault="00E4455B" w:rsidP="001F4D18">
            <w:r>
              <w:t xml:space="preserve"> </w:t>
            </w:r>
            <w:r w:rsidR="00F70DD0">
              <w:t>Small changes</w:t>
            </w:r>
          </w:p>
        </w:tc>
      </w:tr>
      <w:tr w:rsidR="00773716" w14:paraId="63DC368E" w14:textId="77777777" w:rsidTr="00F345DF">
        <w:tc>
          <w:tcPr>
            <w:tcW w:w="3145" w:type="dxa"/>
          </w:tcPr>
          <w:p w14:paraId="18233C6D" w14:textId="09931D19" w:rsidR="00773716" w:rsidRDefault="00773716" w:rsidP="001F4D18">
            <w:r>
              <w:t>Artisanal fisheries: low bycatch</w:t>
            </w:r>
          </w:p>
        </w:tc>
        <w:tc>
          <w:tcPr>
            <w:tcW w:w="2520" w:type="dxa"/>
          </w:tcPr>
          <w:p w14:paraId="79FFC069" w14:textId="77777777" w:rsidR="00AC7142" w:rsidRDefault="00AC7142" w:rsidP="00AC7142">
            <w:r>
              <w:t>Catch: Updates to Watson data, but no additional year of data</w:t>
            </w:r>
          </w:p>
          <w:p w14:paraId="63856F3C" w14:textId="77777777" w:rsidR="00AC7142" w:rsidRDefault="00AC7142" w:rsidP="00AC7142"/>
          <w:p w14:paraId="1AD1D2AE" w14:textId="11092AA4" w:rsidR="00B60A41" w:rsidRDefault="00AC7142" w:rsidP="00AC7142">
            <w:r>
              <w:t>NPP: None</w:t>
            </w:r>
          </w:p>
        </w:tc>
        <w:tc>
          <w:tcPr>
            <w:tcW w:w="2880" w:type="dxa"/>
          </w:tcPr>
          <w:p w14:paraId="7E8C0FB6" w14:textId="5D01AF41" w:rsidR="00773716" w:rsidRDefault="00F70DD0" w:rsidP="00AE5260">
            <w:r>
              <w:t>None</w:t>
            </w:r>
          </w:p>
        </w:tc>
        <w:tc>
          <w:tcPr>
            <w:tcW w:w="4140" w:type="dxa"/>
          </w:tcPr>
          <w:p w14:paraId="5E43A34A" w14:textId="7F5E78AC" w:rsidR="00773716" w:rsidRDefault="00F70DD0" w:rsidP="001F4D18">
            <w:r>
              <w:t>Small changes</w:t>
            </w:r>
          </w:p>
        </w:tc>
      </w:tr>
      <w:tr w:rsidR="00773716" w14:paraId="0B31739E" w14:textId="77777777" w:rsidTr="00F345DF">
        <w:tc>
          <w:tcPr>
            <w:tcW w:w="3145" w:type="dxa"/>
          </w:tcPr>
          <w:p w14:paraId="5180387A" w14:textId="306E155A" w:rsidR="00773716" w:rsidRDefault="00773716" w:rsidP="001F4D18">
            <w:r>
              <w:t xml:space="preserve">Artisanal fisheries: high bycatch </w:t>
            </w:r>
          </w:p>
        </w:tc>
        <w:tc>
          <w:tcPr>
            <w:tcW w:w="2520" w:type="dxa"/>
          </w:tcPr>
          <w:p w14:paraId="791E5DDA" w14:textId="77777777" w:rsidR="00AC7142" w:rsidRDefault="00AC7142" w:rsidP="00AC7142">
            <w:r>
              <w:t>Catch: Updates to Watson data, but no additional year of data</w:t>
            </w:r>
          </w:p>
          <w:p w14:paraId="1D0368C9" w14:textId="77777777" w:rsidR="00AC7142" w:rsidRDefault="00AC7142" w:rsidP="00AC7142"/>
          <w:p w14:paraId="3F03925D" w14:textId="26D7B2C6" w:rsidR="00F65A5A" w:rsidRDefault="00AC7142" w:rsidP="00AC7142">
            <w:r>
              <w:t>NPP: None</w:t>
            </w:r>
          </w:p>
        </w:tc>
        <w:tc>
          <w:tcPr>
            <w:tcW w:w="2880" w:type="dxa"/>
          </w:tcPr>
          <w:p w14:paraId="0DC2D7E6" w14:textId="12DCFCD4" w:rsidR="00773716" w:rsidRDefault="00F70DD0" w:rsidP="00F65A5A">
            <w:r>
              <w:t>None</w:t>
            </w:r>
          </w:p>
        </w:tc>
        <w:tc>
          <w:tcPr>
            <w:tcW w:w="4140" w:type="dxa"/>
          </w:tcPr>
          <w:p w14:paraId="06E1456F" w14:textId="664860C8" w:rsidR="00773716" w:rsidRDefault="00F70DD0" w:rsidP="001F4D18">
            <w:r>
              <w:t>Small changes</w:t>
            </w:r>
          </w:p>
        </w:tc>
      </w:tr>
      <w:tr w:rsidR="00773716" w14:paraId="20FAF91D" w14:textId="77777777" w:rsidTr="00F345DF">
        <w:tc>
          <w:tcPr>
            <w:tcW w:w="3145" w:type="dxa"/>
          </w:tcPr>
          <w:p w14:paraId="757F5822" w14:textId="3CAB8889" w:rsidR="00773716" w:rsidRDefault="00773716" w:rsidP="00B60A41">
            <w:r>
              <w:t>Habitat destruction: soft-bottom subtidal</w:t>
            </w:r>
          </w:p>
        </w:tc>
        <w:tc>
          <w:tcPr>
            <w:tcW w:w="2520" w:type="dxa"/>
          </w:tcPr>
          <w:p w14:paraId="5253022B" w14:textId="77777777" w:rsidR="00F86710" w:rsidRDefault="00F86710" w:rsidP="00F86710">
            <w:r>
              <w:t>Catch: Updates to Watson data, but no additional year of data</w:t>
            </w:r>
          </w:p>
          <w:p w14:paraId="55870396" w14:textId="77777777" w:rsidR="00F86710" w:rsidRDefault="00F86710" w:rsidP="00F86710"/>
          <w:p w14:paraId="3164F848" w14:textId="48099D41" w:rsidR="00773716" w:rsidRDefault="00F86710" w:rsidP="00F86710">
            <w:r>
              <w:t xml:space="preserve">NPP: None </w:t>
            </w:r>
          </w:p>
        </w:tc>
        <w:tc>
          <w:tcPr>
            <w:tcW w:w="2880" w:type="dxa"/>
          </w:tcPr>
          <w:p w14:paraId="0995AA2A" w14:textId="16E8597B" w:rsidR="00773716" w:rsidRDefault="00F70DD0" w:rsidP="00B60A41">
            <w:r>
              <w:t>None</w:t>
            </w:r>
          </w:p>
        </w:tc>
        <w:tc>
          <w:tcPr>
            <w:tcW w:w="4140" w:type="dxa"/>
          </w:tcPr>
          <w:p w14:paraId="4DADD616" w14:textId="01B5D411" w:rsidR="00773716" w:rsidRDefault="00F70DD0" w:rsidP="0062639B">
            <w:r>
              <w:t>Small changes</w:t>
            </w:r>
          </w:p>
        </w:tc>
      </w:tr>
      <w:tr w:rsidR="00773716" w14:paraId="1EA3E2B3" w14:textId="77777777" w:rsidTr="00F345DF">
        <w:tc>
          <w:tcPr>
            <w:tcW w:w="3145" w:type="dxa"/>
          </w:tcPr>
          <w:p w14:paraId="57338F52" w14:textId="77777777" w:rsidR="00773716" w:rsidRPr="002004D5" w:rsidRDefault="00773716" w:rsidP="001F4D18">
            <w:r w:rsidRPr="002004D5">
              <w:t>Habitat destruction:</w:t>
            </w:r>
          </w:p>
          <w:p w14:paraId="6A4A1058" w14:textId="78FA4A05" w:rsidR="00773716" w:rsidRPr="002004D5" w:rsidRDefault="00773716" w:rsidP="001F4D18">
            <w:r w:rsidRPr="002004D5">
              <w:t>Intertidal (nearshore population used as proxy)</w:t>
            </w:r>
          </w:p>
        </w:tc>
        <w:tc>
          <w:tcPr>
            <w:tcW w:w="2520" w:type="dxa"/>
          </w:tcPr>
          <w:p w14:paraId="78361A7B" w14:textId="37982DEE" w:rsidR="00995860" w:rsidRPr="002004D5" w:rsidRDefault="00B60A41" w:rsidP="00995860">
            <w:r w:rsidRPr="002004D5">
              <w:t>Additional year of data</w:t>
            </w:r>
            <w:r w:rsidR="00C06B7D" w:rsidRPr="002004D5">
              <w:t xml:space="preserve"> </w:t>
            </w:r>
          </w:p>
          <w:p w14:paraId="3661EF63" w14:textId="15865033" w:rsidR="00B60A41" w:rsidRPr="002004D5" w:rsidRDefault="00B60A41" w:rsidP="001F4D18"/>
        </w:tc>
        <w:tc>
          <w:tcPr>
            <w:tcW w:w="2880" w:type="dxa"/>
          </w:tcPr>
          <w:p w14:paraId="47B76F0A" w14:textId="7D257A42" w:rsidR="00773716" w:rsidRPr="002004D5" w:rsidRDefault="00C52047" w:rsidP="001F4D18">
            <w:r w:rsidRPr="002004D5">
              <w:t>Correction to our coastal spatial file (some coastline was not showing up)</w:t>
            </w:r>
          </w:p>
        </w:tc>
        <w:tc>
          <w:tcPr>
            <w:tcW w:w="4140" w:type="dxa"/>
          </w:tcPr>
          <w:p w14:paraId="632BB3F6" w14:textId="379549DF" w:rsidR="00773716" w:rsidRPr="002004D5" w:rsidRDefault="00B95FE0" w:rsidP="001F4D18">
            <w:r w:rsidRPr="002004D5">
              <w:t>Most pressure scores decreased due to changes in source data, but in nearly all cases change was &lt;2 points.</w:t>
            </w:r>
            <w:r w:rsidR="00C52047" w:rsidRPr="002004D5">
              <w:t xml:space="preserve">  The one larger change was due to improvements to our coastal raster file.</w:t>
            </w:r>
          </w:p>
        </w:tc>
      </w:tr>
      <w:tr w:rsidR="00773716" w14:paraId="72315682" w14:textId="77777777" w:rsidTr="00F345DF">
        <w:tc>
          <w:tcPr>
            <w:tcW w:w="3145" w:type="dxa"/>
          </w:tcPr>
          <w:p w14:paraId="103CA9F3" w14:textId="4EA2EAC7" w:rsidR="00773716" w:rsidRPr="002004D5" w:rsidRDefault="00773716" w:rsidP="001F4D18">
            <w:r w:rsidRPr="002004D5">
              <w:t>Habitat destruction: subtidal hard-bottom</w:t>
            </w:r>
          </w:p>
        </w:tc>
        <w:tc>
          <w:tcPr>
            <w:tcW w:w="2520" w:type="dxa"/>
          </w:tcPr>
          <w:p w14:paraId="0250763F" w14:textId="77777777" w:rsidR="00773716" w:rsidRPr="002004D5" w:rsidRDefault="00773716" w:rsidP="001F4D18">
            <w:r w:rsidRPr="002004D5">
              <w:t>None</w:t>
            </w:r>
          </w:p>
        </w:tc>
        <w:tc>
          <w:tcPr>
            <w:tcW w:w="2880" w:type="dxa"/>
          </w:tcPr>
          <w:p w14:paraId="63D4ED61" w14:textId="77777777" w:rsidR="00773716" w:rsidRPr="002004D5" w:rsidRDefault="00773716" w:rsidP="001F4D18">
            <w:r w:rsidRPr="002004D5">
              <w:t>None</w:t>
            </w:r>
          </w:p>
        </w:tc>
        <w:tc>
          <w:tcPr>
            <w:tcW w:w="4140" w:type="dxa"/>
          </w:tcPr>
          <w:p w14:paraId="7AA39FAB" w14:textId="5465693E" w:rsidR="00773716" w:rsidRPr="002004D5" w:rsidRDefault="00B95FE0" w:rsidP="001F4D18">
            <w:r w:rsidRPr="002004D5">
              <w:t>None</w:t>
            </w:r>
          </w:p>
        </w:tc>
      </w:tr>
    </w:tbl>
    <w:p w14:paraId="69D0AEF0" w14:textId="76EC53A8" w:rsidR="00773716" w:rsidRDefault="00773716" w:rsidP="00773716"/>
    <w:p w14:paraId="2511EB66" w14:textId="50156274" w:rsidR="00FD7FE8" w:rsidRDefault="004762D1" w:rsidP="00FD7FE8">
      <w:r w:rsidRPr="004762D1">
        <w:rPr>
          <w:b/>
        </w:rPr>
        <w:lastRenderedPageBreak/>
        <w:t>Table 3</w:t>
      </w:r>
      <w:r w:rsidR="00FD7FE8" w:rsidRPr="004762D1">
        <w:rPr>
          <w:b/>
        </w:rPr>
        <w:t xml:space="preserve"> </w:t>
      </w:r>
      <w:r w:rsidRPr="004762D1">
        <w:rPr>
          <w:b/>
        </w:rPr>
        <w:t>Resilience:</w:t>
      </w:r>
      <w:r>
        <w:t xml:space="preserve"> </w:t>
      </w:r>
      <w:r w:rsidR="00FD7FE8">
        <w:t>Description of updates to data and methods.</w:t>
      </w:r>
    </w:p>
    <w:tbl>
      <w:tblPr>
        <w:tblStyle w:val="TableGrid"/>
        <w:tblW w:w="0" w:type="auto"/>
        <w:tblLook w:val="04A0" w:firstRow="1" w:lastRow="0" w:firstColumn="1" w:lastColumn="0" w:noHBand="0" w:noVBand="1"/>
      </w:tblPr>
      <w:tblGrid>
        <w:gridCol w:w="3145"/>
        <w:gridCol w:w="2520"/>
        <w:gridCol w:w="2880"/>
        <w:gridCol w:w="4140"/>
      </w:tblGrid>
      <w:tr w:rsidR="00FD7FE8" w14:paraId="269E7FEB" w14:textId="77777777" w:rsidTr="001F4D18">
        <w:tc>
          <w:tcPr>
            <w:tcW w:w="3145" w:type="dxa"/>
          </w:tcPr>
          <w:p w14:paraId="3B805F6D" w14:textId="5785B405" w:rsidR="00FD7FE8" w:rsidRPr="004D0249" w:rsidRDefault="00D72497" w:rsidP="001F4D18">
            <w:pPr>
              <w:rPr>
                <w:b/>
              </w:rPr>
            </w:pPr>
            <w:r>
              <w:rPr>
                <w:b/>
              </w:rPr>
              <w:t>Resilience</w:t>
            </w:r>
          </w:p>
        </w:tc>
        <w:tc>
          <w:tcPr>
            <w:tcW w:w="2520" w:type="dxa"/>
          </w:tcPr>
          <w:p w14:paraId="46D9BB5A" w14:textId="77777777" w:rsidR="00FD7FE8" w:rsidRPr="004D0249" w:rsidRDefault="00FD7FE8" w:rsidP="001F4D18">
            <w:pPr>
              <w:rPr>
                <w:b/>
              </w:rPr>
            </w:pPr>
            <w:r w:rsidRPr="004D0249">
              <w:rPr>
                <w:b/>
              </w:rPr>
              <w:t>Updates to data</w:t>
            </w:r>
          </w:p>
        </w:tc>
        <w:tc>
          <w:tcPr>
            <w:tcW w:w="2880" w:type="dxa"/>
          </w:tcPr>
          <w:p w14:paraId="29F554F9" w14:textId="77777777" w:rsidR="00FD7FE8" w:rsidRPr="004D0249" w:rsidRDefault="00FD7FE8" w:rsidP="001F4D18">
            <w:pPr>
              <w:rPr>
                <w:b/>
              </w:rPr>
            </w:pPr>
            <w:r w:rsidRPr="004D0249">
              <w:rPr>
                <w:b/>
              </w:rPr>
              <w:t>Updates to data preparation or model</w:t>
            </w:r>
          </w:p>
        </w:tc>
        <w:tc>
          <w:tcPr>
            <w:tcW w:w="4140" w:type="dxa"/>
          </w:tcPr>
          <w:p w14:paraId="43C98FCD" w14:textId="77777777" w:rsidR="00FD7FE8" w:rsidRPr="004D0249" w:rsidRDefault="00FD7FE8" w:rsidP="001F4D18">
            <w:pPr>
              <w:rPr>
                <w:b/>
              </w:rPr>
            </w:pPr>
            <w:r w:rsidRPr="004D0249">
              <w:rPr>
                <w:b/>
              </w:rPr>
              <w:t>Notes</w:t>
            </w:r>
          </w:p>
        </w:tc>
      </w:tr>
      <w:tr w:rsidR="00FD7FE8" w14:paraId="17A14ECE" w14:textId="77777777" w:rsidTr="001F4D18">
        <w:tc>
          <w:tcPr>
            <w:tcW w:w="3145" w:type="dxa"/>
          </w:tcPr>
          <w:p w14:paraId="299E290C" w14:textId="7C085F91" w:rsidR="00FD7FE8" w:rsidRPr="002004D5" w:rsidRDefault="00FD7FE8" w:rsidP="001F4D18">
            <w:r w:rsidRPr="002004D5">
              <w:t>Coastal marine protected areas (3nm and eez)</w:t>
            </w:r>
          </w:p>
        </w:tc>
        <w:tc>
          <w:tcPr>
            <w:tcW w:w="2520" w:type="dxa"/>
          </w:tcPr>
          <w:p w14:paraId="3399808F" w14:textId="77777777" w:rsidR="00FD7FE8" w:rsidRPr="002004D5" w:rsidRDefault="00FD7FE8" w:rsidP="001F4D18">
            <w:r w:rsidRPr="002004D5">
              <w:t>Additional year of data</w:t>
            </w:r>
          </w:p>
        </w:tc>
        <w:tc>
          <w:tcPr>
            <w:tcW w:w="2880" w:type="dxa"/>
          </w:tcPr>
          <w:p w14:paraId="22E5C791" w14:textId="77777777" w:rsidR="00FD7FE8" w:rsidRPr="002004D5" w:rsidRDefault="00FD7FE8" w:rsidP="001F4D18">
            <w:r w:rsidRPr="002004D5">
              <w:t>None</w:t>
            </w:r>
          </w:p>
        </w:tc>
        <w:tc>
          <w:tcPr>
            <w:tcW w:w="4140" w:type="dxa"/>
          </w:tcPr>
          <w:p w14:paraId="6425C271" w14:textId="239EFD20" w:rsidR="00FD7FE8" w:rsidRPr="002004D5" w:rsidRDefault="00AC7142" w:rsidP="001F4D18">
            <w:r w:rsidRPr="002004D5">
              <w:t>Changes to source data had small effects on resilience scores of most goals, although change in resilience was &gt;5 and &lt;15 for a couple regions/goals.</w:t>
            </w:r>
          </w:p>
        </w:tc>
      </w:tr>
      <w:tr w:rsidR="00FD7FE8" w14:paraId="7D41E034" w14:textId="77777777" w:rsidTr="001F4D18">
        <w:tc>
          <w:tcPr>
            <w:tcW w:w="3145" w:type="dxa"/>
          </w:tcPr>
          <w:p w14:paraId="225901F0" w14:textId="09A6E29E" w:rsidR="00FD7FE8" w:rsidRPr="002004D5" w:rsidRDefault="00FD7FE8" w:rsidP="001F4D18">
            <w:r w:rsidRPr="002004D5">
              <w:t xml:space="preserve">Species condition (3nm and eez) </w:t>
            </w:r>
          </w:p>
        </w:tc>
        <w:tc>
          <w:tcPr>
            <w:tcW w:w="2520" w:type="dxa"/>
          </w:tcPr>
          <w:p w14:paraId="4BAC2A81" w14:textId="6D229362" w:rsidR="00FD7FE8" w:rsidRPr="002004D5" w:rsidRDefault="00FD7FE8" w:rsidP="00FD7FE8">
            <w:r w:rsidRPr="002004D5">
              <w:t>Additional year of data</w:t>
            </w:r>
          </w:p>
        </w:tc>
        <w:tc>
          <w:tcPr>
            <w:tcW w:w="2880" w:type="dxa"/>
          </w:tcPr>
          <w:p w14:paraId="26E77A4C" w14:textId="2021BBC2" w:rsidR="00FD7FE8" w:rsidRPr="002004D5" w:rsidRDefault="00B95FE0" w:rsidP="001F4D18">
            <w:r w:rsidRPr="002004D5">
              <w:t>None</w:t>
            </w:r>
          </w:p>
        </w:tc>
        <w:tc>
          <w:tcPr>
            <w:tcW w:w="4140" w:type="dxa"/>
          </w:tcPr>
          <w:p w14:paraId="194B6A83" w14:textId="01243456" w:rsidR="00FD7FE8" w:rsidRPr="002004D5" w:rsidRDefault="003A4A27" w:rsidP="001F4D18">
            <w:r w:rsidRPr="002004D5">
              <w:t xml:space="preserve">Changes to </w:t>
            </w:r>
            <w:r w:rsidR="00B95FE0" w:rsidRPr="002004D5">
              <w:t>source data</w:t>
            </w:r>
            <w:r w:rsidRPr="002004D5">
              <w:t xml:space="preserve"> cause</w:t>
            </w:r>
            <w:r w:rsidR="00B95FE0" w:rsidRPr="002004D5">
              <w:t>d</w:t>
            </w:r>
            <w:r w:rsidRPr="002004D5">
              <w:t xml:space="preserve"> </w:t>
            </w:r>
            <w:r w:rsidR="00B95FE0" w:rsidRPr="002004D5">
              <w:t xml:space="preserve">small increases in </w:t>
            </w:r>
            <w:r w:rsidRPr="002004D5">
              <w:t xml:space="preserve">resilience scores </w:t>
            </w:r>
            <w:r w:rsidR="00B95FE0" w:rsidRPr="002004D5">
              <w:t>in most cases (typically &lt;1).</w:t>
            </w:r>
          </w:p>
        </w:tc>
      </w:tr>
      <w:tr w:rsidR="00FD7FE8" w14:paraId="435CEE6E" w14:textId="77777777" w:rsidTr="001F4D18">
        <w:tc>
          <w:tcPr>
            <w:tcW w:w="3145" w:type="dxa"/>
          </w:tcPr>
          <w:p w14:paraId="55B76BC0" w14:textId="5DDDCF0A" w:rsidR="00FD7FE8" w:rsidRPr="002004D5" w:rsidRDefault="00FD7FE8" w:rsidP="001F4D18">
            <w:r w:rsidRPr="002004D5">
              <w:t>CITES signatories</w:t>
            </w:r>
          </w:p>
        </w:tc>
        <w:tc>
          <w:tcPr>
            <w:tcW w:w="2520" w:type="dxa"/>
          </w:tcPr>
          <w:p w14:paraId="78AD796A" w14:textId="6FB7FAB6" w:rsidR="00FD7FE8" w:rsidRPr="002004D5" w:rsidRDefault="003A4A27" w:rsidP="001F4D18">
            <w:r w:rsidRPr="002004D5">
              <w:t>No</w:t>
            </w:r>
            <w:r w:rsidR="00AC7142" w:rsidRPr="002004D5">
              <w:t>ne</w:t>
            </w:r>
          </w:p>
        </w:tc>
        <w:tc>
          <w:tcPr>
            <w:tcW w:w="2880" w:type="dxa"/>
          </w:tcPr>
          <w:p w14:paraId="3217E174" w14:textId="4C3E390E" w:rsidR="00FD7FE8" w:rsidRPr="002004D5" w:rsidRDefault="003A4A27" w:rsidP="001F4D18">
            <w:r w:rsidRPr="002004D5">
              <w:t>None</w:t>
            </w:r>
          </w:p>
        </w:tc>
        <w:tc>
          <w:tcPr>
            <w:tcW w:w="4140" w:type="dxa"/>
          </w:tcPr>
          <w:p w14:paraId="5930E20D" w14:textId="536CC88F" w:rsidR="00FD7FE8" w:rsidRPr="002004D5" w:rsidRDefault="00AC7142" w:rsidP="001F4D18">
            <w:r w:rsidRPr="002004D5">
              <w:t>None</w:t>
            </w:r>
          </w:p>
        </w:tc>
      </w:tr>
      <w:tr w:rsidR="00FD7FE8" w14:paraId="6B80997E" w14:textId="77777777" w:rsidTr="001F4D18">
        <w:tc>
          <w:tcPr>
            <w:tcW w:w="3145" w:type="dxa"/>
          </w:tcPr>
          <w:p w14:paraId="5F33C667" w14:textId="22C36D65" w:rsidR="00FD7FE8" w:rsidRPr="002004D5" w:rsidRDefault="00FD7FE8" w:rsidP="001F4D18">
            <w:r w:rsidRPr="002004D5">
              <w:t>Social Progress Index</w:t>
            </w:r>
          </w:p>
        </w:tc>
        <w:tc>
          <w:tcPr>
            <w:tcW w:w="2520" w:type="dxa"/>
          </w:tcPr>
          <w:p w14:paraId="604F5274" w14:textId="0C6A7ADF" w:rsidR="00FD7FE8" w:rsidRPr="002004D5" w:rsidRDefault="002004D5" w:rsidP="003A4A27">
            <w:r>
              <w:t>Additional year of data</w:t>
            </w:r>
          </w:p>
        </w:tc>
        <w:tc>
          <w:tcPr>
            <w:tcW w:w="2880" w:type="dxa"/>
          </w:tcPr>
          <w:p w14:paraId="5E1B21B4" w14:textId="63A132A6" w:rsidR="00FD7FE8" w:rsidRPr="002004D5" w:rsidRDefault="002004D5" w:rsidP="001F4D18">
            <w:r>
              <w:t>None</w:t>
            </w:r>
          </w:p>
        </w:tc>
        <w:tc>
          <w:tcPr>
            <w:tcW w:w="4140" w:type="dxa"/>
          </w:tcPr>
          <w:p w14:paraId="51E8D001" w14:textId="2A69E394" w:rsidR="00E06211" w:rsidRPr="002004D5" w:rsidRDefault="00436FFF" w:rsidP="004762D1">
            <w:r>
              <w:t>None</w:t>
            </w:r>
          </w:p>
        </w:tc>
      </w:tr>
      <w:tr w:rsidR="00FD7FE8" w14:paraId="1CC0ADF4" w14:textId="77777777" w:rsidTr="001F4D18">
        <w:tc>
          <w:tcPr>
            <w:tcW w:w="3145" w:type="dxa"/>
          </w:tcPr>
          <w:p w14:paraId="3F8D5C87" w14:textId="7285EDDB" w:rsidR="00FD7FE8" w:rsidRPr="002004D5" w:rsidRDefault="00FD7FE8" w:rsidP="001F4D18">
            <w:r w:rsidRPr="002004D5">
              <w:t>World Governance Indicators</w:t>
            </w:r>
          </w:p>
        </w:tc>
        <w:tc>
          <w:tcPr>
            <w:tcW w:w="2520" w:type="dxa"/>
          </w:tcPr>
          <w:p w14:paraId="2D23744C" w14:textId="0144EBB4" w:rsidR="00FD7FE8" w:rsidRPr="002004D5" w:rsidRDefault="00FD7FE8" w:rsidP="001F4D18">
            <w:r w:rsidRPr="002004D5">
              <w:t>Additional year of data</w:t>
            </w:r>
          </w:p>
        </w:tc>
        <w:tc>
          <w:tcPr>
            <w:tcW w:w="2880" w:type="dxa"/>
          </w:tcPr>
          <w:p w14:paraId="44314580" w14:textId="77777777" w:rsidR="00FD7FE8" w:rsidRPr="002004D5" w:rsidRDefault="00FD7FE8" w:rsidP="001F4D18">
            <w:r w:rsidRPr="002004D5">
              <w:t>None</w:t>
            </w:r>
          </w:p>
        </w:tc>
        <w:tc>
          <w:tcPr>
            <w:tcW w:w="4140" w:type="dxa"/>
          </w:tcPr>
          <w:p w14:paraId="31441AB0" w14:textId="2CBE9484" w:rsidR="003A4A27" w:rsidRPr="002004D5" w:rsidRDefault="003A4A27" w:rsidP="004762D1">
            <w:r w:rsidRPr="002004D5">
              <w:t xml:space="preserve">Updates to source data </w:t>
            </w:r>
            <w:r w:rsidR="004762D1" w:rsidRPr="002004D5">
              <w:t>resulted in c</w:t>
            </w:r>
            <w:r w:rsidRPr="002004D5">
              <w:t xml:space="preserve">hanges to resilience scores &lt; </w:t>
            </w:r>
            <w:r w:rsidRPr="002004D5">
              <w:rPr>
                <w:rFonts w:cstheme="minorHAnsi"/>
              </w:rPr>
              <w:t>±</w:t>
            </w:r>
            <w:r w:rsidRPr="002004D5">
              <w:t>0.5 points in most cases</w:t>
            </w:r>
            <w:r w:rsidR="00430968" w:rsidRPr="002004D5">
              <w:t>.</w:t>
            </w:r>
          </w:p>
        </w:tc>
      </w:tr>
      <w:tr w:rsidR="00FD7FE8" w14:paraId="75B8B485" w14:textId="77777777" w:rsidTr="001F4D18">
        <w:tc>
          <w:tcPr>
            <w:tcW w:w="3145" w:type="dxa"/>
          </w:tcPr>
          <w:p w14:paraId="26DE1F37" w14:textId="638E514F" w:rsidR="00FD7FE8" w:rsidRPr="002004D5" w:rsidRDefault="00FD7FE8" w:rsidP="001F4D18">
            <w:r w:rsidRPr="002004D5">
              <w:t xml:space="preserve">Effectiveness of commercial fisheries management </w:t>
            </w:r>
          </w:p>
        </w:tc>
        <w:tc>
          <w:tcPr>
            <w:tcW w:w="2520" w:type="dxa"/>
          </w:tcPr>
          <w:p w14:paraId="4CF9F84F" w14:textId="77777777" w:rsidR="00FD7FE8" w:rsidRPr="002004D5" w:rsidRDefault="00AC7142" w:rsidP="001F4D18">
            <w:r w:rsidRPr="002004D5">
              <w:t>New data source</w:t>
            </w:r>
          </w:p>
          <w:p w14:paraId="326055F3" w14:textId="0059F538" w:rsidR="00AC7142" w:rsidRPr="002004D5" w:rsidRDefault="00AC7142" w:rsidP="001F4D18">
            <w:r w:rsidRPr="002004D5">
              <w:t>(</w:t>
            </w:r>
            <w:proofErr w:type="spellStart"/>
            <w:r w:rsidRPr="002004D5">
              <w:t>Melycheck</w:t>
            </w:r>
            <w:proofErr w:type="spellEnd"/>
            <w:r w:rsidRPr="002004D5">
              <w:t xml:space="preserve"> et al. 201</w:t>
            </w:r>
            <w:r w:rsidR="00436FFF">
              <w:t>7</w:t>
            </w:r>
            <w:r w:rsidRPr="002004D5">
              <w:t>)</w:t>
            </w:r>
          </w:p>
        </w:tc>
        <w:tc>
          <w:tcPr>
            <w:tcW w:w="2880" w:type="dxa"/>
          </w:tcPr>
          <w:p w14:paraId="7E207878" w14:textId="595CE14A" w:rsidR="00FD7FE8" w:rsidRPr="002004D5" w:rsidRDefault="00AC7142" w:rsidP="001F4D18">
            <w:r w:rsidRPr="002004D5">
              <w:t>Adjustments made to accommodate new data</w:t>
            </w:r>
          </w:p>
          <w:p w14:paraId="34CE245E" w14:textId="4C131169" w:rsidR="00FD7FE8" w:rsidRPr="002004D5" w:rsidRDefault="00FD7FE8" w:rsidP="001F4D18"/>
        </w:tc>
        <w:tc>
          <w:tcPr>
            <w:tcW w:w="4140" w:type="dxa"/>
          </w:tcPr>
          <w:p w14:paraId="635602DD" w14:textId="74A8D3E3" w:rsidR="00FD7FE8" w:rsidRPr="002004D5" w:rsidRDefault="00AC7142" w:rsidP="001F4D18">
            <w:r w:rsidRPr="002004D5">
              <w:t>Very large changes to the data.  The new measures of fisheries management were very different from previous data.</w:t>
            </w:r>
            <w:r w:rsidR="00DC06DE" w:rsidRPr="002004D5">
              <w:t xml:space="preserve">  However, translated to changes in resilience of &lt;+/- 3 points.</w:t>
            </w:r>
          </w:p>
        </w:tc>
      </w:tr>
      <w:tr w:rsidR="0007086B" w14:paraId="366D118F" w14:textId="77777777" w:rsidTr="001F4D18">
        <w:tc>
          <w:tcPr>
            <w:tcW w:w="3145" w:type="dxa"/>
          </w:tcPr>
          <w:p w14:paraId="3F94E6F3" w14:textId="4AB59181" w:rsidR="0007086B" w:rsidRPr="002004D5" w:rsidRDefault="0007086B" w:rsidP="0007086B">
            <w:r w:rsidRPr="002004D5">
              <w:t>Effectiveness of artisanal fisheries management (Mora data)</w:t>
            </w:r>
          </w:p>
        </w:tc>
        <w:tc>
          <w:tcPr>
            <w:tcW w:w="2520" w:type="dxa"/>
          </w:tcPr>
          <w:p w14:paraId="4E6CDC3B" w14:textId="329BE2F9" w:rsidR="0007086B" w:rsidRPr="002004D5" w:rsidRDefault="0007086B" w:rsidP="001F4D18">
            <w:r w:rsidRPr="002004D5">
              <w:t>None</w:t>
            </w:r>
          </w:p>
        </w:tc>
        <w:tc>
          <w:tcPr>
            <w:tcW w:w="2880" w:type="dxa"/>
          </w:tcPr>
          <w:p w14:paraId="4149A91D" w14:textId="215F2D85" w:rsidR="0007086B" w:rsidRPr="002004D5" w:rsidRDefault="0007086B" w:rsidP="001F4D18">
            <w:r w:rsidRPr="002004D5">
              <w:t>None</w:t>
            </w:r>
          </w:p>
        </w:tc>
        <w:tc>
          <w:tcPr>
            <w:tcW w:w="4140" w:type="dxa"/>
          </w:tcPr>
          <w:p w14:paraId="41E983AB" w14:textId="5E407DE3" w:rsidR="0007086B" w:rsidRPr="002004D5" w:rsidRDefault="00AC7142" w:rsidP="001F4D18">
            <w:r w:rsidRPr="002004D5">
              <w:t>None</w:t>
            </w:r>
          </w:p>
        </w:tc>
      </w:tr>
      <w:tr w:rsidR="00FD7FE8" w14:paraId="54D5BD2C" w14:textId="77777777" w:rsidTr="001F4D18">
        <w:tc>
          <w:tcPr>
            <w:tcW w:w="3145" w:type="dxa"/>
          </w:tcPr>
          <w:p w14:paraId="49F24328" w14:textId="76EE8BCE" w:rsidR="00FD7FE8" w:rsidRPr="002004D5" w:rsidRDefault="00FD7FE8" w:rsidP="001F4D18">
            <w:r w:rsidRPr="002004D5">
              <w:t>CBD data</w:t>
            </w:r>
            <w:r w:rsidR="0007086B" w:rsidRPr="002004D5">
              <w:t xml:space="preserve"> (5 resilience measures)</w:t>
            </w:r>
            <w:r w:rsidRPr="002004D5">
              <w:t xml:space="preserve">: Management of habitat diversity; </w:t>
            </w:r>
            <w:r w:rsidR="002F5C31" w:rsidRPr="002004D5">
              <w:t>protect</w:t>
            </w:r>
            <w:r w:rsidR="0007086B" w:rsidRPr="002004D5">
              <w:t>ion of</w:t>
            </w:r>
            <w:r w:rsidR="002F5C31" w:rsidRPr="002004D5">
              <w:t xml:space="preserve"> biodiversity from following pressures: Mariculture, invasive species, tourism, pollution</w:t>
            </w:r>
          </w:p>
        </w:tc>
        <w:tc>
          <w:tcPr>
            <w:tcW w:w="2520" w:type="dxa"/>
          </w:tcPr>
          <w:p w14:paraId="129CF4D6" w14:textId="0AF654E8" w:rsidR="00FD7FE8" w:rsidRPr="002004D5" w:rsidRDefault="002F5C31" w:rsidP="001F4D18">
            <w:r w:rsidRPr="002004D5">
              <w:t>None</w:t>
            </w:r>
          </w:p>
        </w:tc>
        <w:tc>
          <w:tcPr>
            <w:tcW w:w="2880" w:type="dxa"/>
          </w:tcPr>
          <w:p w14:paraId="2A696DCA" w14:textId="2723FAC9" w:rsidR="00FD7FE8" w:rsidRPr="002004D5" w:rsidRDefault="002F5C31" w:rsidP="001F4D18">
            <w:r w:rsidRPr="002004D5">
              <w:t>None</w:t>
            </w:r>
          </w:p>
        </w:tc>
        <w:tc>
          <w:tcPr>
            <w:tcW w:w="4140" w:type="dxa"/>
          </w:tcPr>
          <w:p w14:paraId="29A5B321" w14:textId="3F07A437" w:rsidR="00FD7FE8" w:rsidRPr="002004D5" w:rsidRDefault="00AC7142" w:rsidP="001F4D18">
            <w:r w:rsidRPr="002004D5">
              <w:t>None</w:t>
            </w:r>
          </w:p>
        </w:tc>
      </w:tr>
      <w:tr w:rsidR="00FD7FE8" w14:paraId="52CA4B4F" w14:textId="77777777" w:rsidTr="001F4D18">
        <w:tc>
          <w:tcPr>
            <w:tcW w:w="3145" w:type="dxa"/>
          </w:tcPr>
          <w:p w14:paraId="26C72611" w14:textId="4DC8EA52" w:rsidR="00FD7FE8" w:rsidRPr="002004D5" w:rsidRDefault="002F5C31" w:rsidP="001F4D18">
            <w:r w:rsidRPr="002004D5">
              <w:t>Mariculture Sustainability Index</w:t>
            </w:r>
          </w:p>
        </w:tc>
        <w:tc>
          <w:tcPr>
            <w:tcW w:w="2520" w:type="dxa"/>
          </w:tcPr>
          <w:p w14:paraId="410C0EED" w14:textId="2AD81039" w:rsidR="00FD7FE8" w:rsidRPr="002004D5" w:rsidRDefault="002F5C31" w:rsidP="001F4D18">
            <w:r w:rsidRPr="002004D5">
              <w:t>None</w:t>
            </w:r>
          </w:p>
        </w:tc>
        <w:tc>
          <w:tcPr>
            <w:tcW w:w="2880" w:type="dxa"/>
          </w:tcPr>
          <w:p w14:paraId="06A56F25" w14:textId="3DF32E54" w:rsidR="00FD7FE8" w:rsidRPr="002004D5" w:rsidRDefault="002F5C31" w:rsidP="001F4D18">
            <w:r w:rsidRPr="002004D5">
              <w:t>None</w:t>
            </w:r>
          </w:p>
        </w:tc>
        <w:tc>
          <w:tcPr>
            <w:tcW w:w="4140" w:type="dxa"/>
          </w:tcPr>
          <w:p w14:paraId="13A59824" w14:textId="5FAE9EA0" w:rsidR="00FD7FE8" w:rsidRPr="002004D5" w:rsidRDefault="00AC7142" w:rsidP="001F4D18">
            <w:r w:rsidRPr="002004D5">
              <w:t>None</w:t>
            </w:r>
          </w:p>
        </w:tc>
      </w:tr>
      <w:tr w:rsidR="00FD7FE8" w14:paraId="186444C2" w14:textId="77777777" w:rsidTr="001F4D18">
        <w:tc>
          <w:tcPr>
            <w:tcW w:w="3145" w:type="dxa"/>
          </w:tcPr>
          <w:p w14:paraId="35B7F250" w14:textId="2ED28384" w:rsidR="00FD7FE8" w:rsidRPr="002004D5" w:rsidRDefault="00FA6D7F" w:rsidP="001F4D18">
            <w:r w:rsidRPr="002004D5">
              <w:t>Global Competitiveness Index</w:t>
            </w:r>
          </w:p>
        </w:tc>
        <w:tc>
          <w:tcPr>
            <w:tcW w:w="2520" w:type="dxa"/>
          </w:tcPr>
          <w:p w14:paraId="6CD7AE04" w14:textId="0BF56E08" w:rsidR="00FD7FE8" w:rsidRPr="002004D5" w:rsidRDefault="00B6355C" w:rsidP="003A4A27">
            <w:r w:rsidRPr="002004D5">
              <w:t>None</w:t>
            </w:r>
          </w:p>
        </w:tc>
        <w:tc>
          <w:tcPr>
            <w:tcW w:w="2880" w:type="dxa"/>
          </w:tcPr>
          <w:p w14:paraId="293BD02F" w14:textId="653963E7" w:rsidR="00FD7FE8" w:rsidRPr="002004D5" w:rsidRDefault="00B6355C" w:rsidP="001F4D18">
            <w:r w:rsidRPr="002004D5">
              <w:t>None</w:t>
            </w:r>
          </w:p>
        </w:tc>
        <w:tc>
          <w:tcPr>
            <w:tcW w:w="4140" w:type="dxa"/>
          </w:tcPr>
          <w:p w14:paraId="76AE50F2" w14:textId="4771D648" w:rsidR="00FD7FE8" w:rsidRPr="002004D5" w:rsidRDefault="00B6355C" w:rsidP="004762D1">
            <w:r w:rsidRPr="002004D5">
              <w:t>None</w:t>
            </w:r>
          </w:p>
        </w:tc>
      </w:tr>
    </w:tbl>
    <w:p w14:paraId="342F516B" w14:textId="2102D6A8" w:rsidR="00413C4A" w:rsidRDefault="00413C4A"/>
    <w:p w14:paraId="6474EA4F" w14:textId="77777777" w:rsidR="00362AE5" w:rsidRDefault="00362AE5"/>
    <w:p w14:paraId="04F1BD88" w14:textId="27BBA350" w:rsidR="00362AE5" w:rsidRPr="00362AE5" w:rsidRDefault="00362AE5">
      <w:pPr>
        <w:rPr>
          <w:b/>
          <w:bCs/>
        </w:rPr>
      </w:pPr>
      <w:r w:rsidRPr="00362AE5">
        <w:rPr>
          <w:b/>
          <w:bCs/>
        </w:rPr>
        <w:lastRenderedPageBreak/>
        <w:t>References</w:t>
      </w:r>
    </w:p>
    <w:p w14:paraId="4D4BF977" w14:textId="4A11AFD3" w:rsidR="00362AE5" w:rsidRDefault="00362AE5" w:rsidP="00362AE5">
      <w:r>
        <w:t xml:space="preserve">Gentry, Rebecca R., Halley E. Froehlich, Dietmar Grimm, Peter </w:t>
      </w:r>
      <w:proofErr w:type="spellStart"/>
      <w:r>
        <w:t>Kareiva</w:t>
      </w:r>
      <w:proofErr w:type="spellEnd"/>
      <w:r>
        <w:t xml:space="preserve">, Michael Parke, Michael Rust, Steven D. Gaines, and Benjamin S. Halpern. 2017. Mapping the Global Potential for Marine Aquaculture. </w:t>
      </w:r>
      <w:r>
        <w:rPr>
          <w:i/>
          <w:iCs/>
        </w:rPr>
        <w:t>Nature Ecology &amp; Evolution</w:t>
      </w:r>
      <w:r>
        <w:t xml:space="preserve"> 1, no. 9: 1317–24. </w:t>
      </w:r>
      <w:hyperlink r:id="rId8" w:history="1">
        <w:r>
          <w:rPr>
            <w:rStyle w:val="Hyperlink"/>
          </w:rPr>
          <w:t>https://doi.org/10.1038/s41559-017-0257-9</w:t>
        </w:r>
      </w:hyperlink>
      <w:r>
        <w:t>.</w:t>
      </w:r>
    </w:p>
    <w:p w14:paraId="5933C70A" w14:textId="4FA29A92" w:rsidR="00BC1CC9" w:rsidRDefault="00BC1CC9" w:rsidP="00BC1CC9">
      <w:r>
        <w:t xml:space="preserve">Melnychuk, Michael C., Emily Peterson, Matthew Elliott, and Ray </w:t>
      </w:r>
      <w:proofErr w:type="spellStart"/>
      <w:r>
        <w:t>Hilborn</w:t>
      </w:r>
      <w:proofErr w:type="spellEnd"/>
      <w:r>
        <w:t xml:space="preserve">. 2017. Fisheries Management Impacts on Target Species Status. </w:t>
      </w:r>
      <w:r>
        <w:rPr>
          <w:i/>
          <w:iCs/>
        </w:rPr>
        <w:t>Proceedings of the National Academy of Sciences</w:t>
      </w:r>
      <w:r>
        <w:t xml:space="preserve"> 114, no. 1: 178–83. </w:t>
      </w:r>
      <w:hyperlink r:id="rId9" w:history="1">
        <w:r>
          <w:rPr>
            <w:rStyle w:val="Hyperlink"/>
          </w:rPr>
          <w:t>https://doi.org/10.1073/pnas.1609915114</w:t>
        </w:r>
      </w:hyperlink>
      <w:r>
        <w:t>.</w:t>
      </w:r>
    </w:p>
    <w:p w14:paraId="4B4CB3A6" w14:textId="77777777" w:rsidR="00362AE5" w:rsidRDefault="00362AE5"/>
    <w:sectPr w:rsidR="00362AE5"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33745"/>
    <w:multiLevelType w:val="hybridMultilevel"/>
    <w:tmpl w:val="7C00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15600"/>
    <w:multiLevelType w:val="hybridMultilevel"/>
    <w:tmpl w:val="FD7C37A8"/>
    <w:lvl w:ilvl="0" w:tplc="595EC45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B0C10"/>
    <w:multiLevelType w:val="hybridMultilevel"/>
    <w:tmpl w:val="F4E6E59E"/>
    <w:lvl w:ilvl="0" w:tplc="673A8C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83D90"/>
    <w:multiLevelType w:val="hybridMultilevel"/>
    <w:tmpl w:val="06D8F6B6"/>
    <w:lvl w:ilvl="0" w:tplc="BB568C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D46AD"/>
    <w:multiLevelType w:val="multilevel"/>
    <w:tmpl w:val="1B3A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43C38"/>
    <w:multiLevelType w:val="hybridMultilevel"/>
    <w:tmpl w:val="D28E1544"/>
    <w:lvl w:ilvl="0" w:tplc="E432DB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9"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65878"/>
    <w:multiLevelType w:val="hybridMultilevel"/>
    <w:tmpl w:val="1004BD76"/>
    <w:lvl w:ilvl="0" w:tplc="06C656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5"/>
  </w:num>
  <w:num w:numId="6">
    <w:abstractNumId w:val="7"/>
  </w:num>
  <w:num w:numId="7">
    <w:abstractNumId w:val="10"/>
  </w:num>
  <w:num w:numId="8">
    <w:abstractNumId w:val="4"/>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C4A"/>
    <w:rsid w:val="0000058B"/>
    <w:rsid w:val="00006A6F"/>
    <w:rsid w:val="00010528"/>
    <w:rsid w:val="000106DB"/>
    <w:rsid w:val="00010F8D"/>
    <w:rsid w:val="000123F9"/>
    <w:rsid w:val="00012AF4"/>
    <w:rsid w:val="0001502D"/>
    <w:rsid w:val="00015E73"/>
    <w:rsid w:val="000166F9"/>
    <w:rsid w:val="000167FE"/>
    <w:rsid w:val="00020C75"/>
    <w:rsid w:val="00021B46"/>
    <w:rsid w:val="00023CC5"/>
    <w:rsid w:val="000274BD"/>
    <w:rsid w:val="0003507A"/>
    <w:rsid w:val="000354EC"/>
    <w:rsid w:val="00036B48"/>
    <w:rsid w:val="00043753"/>
    <w:rsid w:val="00045228"/>
    <w:rsid w:val="00051A80"/>
    <w:rsid w:val="00053F73"/>
    <w:rsid w:val="00060B8C"/>
    <w:rsid w:val="00061C8A"/>
    <w:rsid w:val="00064F39"/>
    <w:rsid w:val="00065EAB"/>
    <w:rsid w:val="0007086B"/>
    <w:rsid w:val="00071CDD"/>
    <w:rsid w:val="00073D5A"/>
    <w:rsid w:val="00080581"/>
    <w:rsid w:val="00087A29"/>
    <w:rsid w:val="00094D1D"/>
    <w:rsid w:val="00096637"/>
    <w:rsid w:val="000972D2"/>
    <w:rsid w:val="00097C9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59D6"/>
    <w:rsid w:val="000F7144"/>
    <w:rsid w:val="000F78DD"/>
    <w:rsid w:val="00100C17"/>
    <w:rsid w:val="00101EEF"/>
    <w:rsid w:val="0010559D"/>
    <w:rsid w:val="00107396"/>
    <w:rsid w:val="00123562"/>
    <w:rsid w:val="00124056"/>
    <w:rsid w:val="00125136"/>
    <w:rsid w:val="00127AE6"/>
    <w:rsid w:val="00141026"/>
    <w:rsid w:val="00145A47"/>
    <w:rsid w:val="00154257"/>
    <w:rsid w:val="0016410F"/>
    <w:rsid w:val="0016472F"/>
    <w:rsid w:val="00164DDB"/>
    <w:rsid w:val="0016651A"/>
    <w:rsid w:val="001726B4"/>
    <w:rsid w:val="001727E6"/>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25BC"/>
    <w:rsid w:val="001D3B49"/>
    <w:rsid w:val="001D68C5"/>
    <w:rsid w:val="001E0B00"/>
    <w:rsid w:val="001E2A59"/>
    <w:rsid w:val="001E3718"/>
    <w:rsid w:val="001E4AC9"/>
    <w:rsid w:val="001E55FE"/>
    <w:rsid w:val="001E5D53"/>
    <w:rsid w:val="001E6F8A"/>
    <w:rsid w:val="001E6FC2"/>
    <w:rsid w:val="001E754C"/>
    <w:rsid w:val="001F0209"/>
    <w:rsid w:val="001F077E"/>
    <w:rsid w:val="001F282F"/>
    <w:rsid w:val="001F4D18"/>
    <w:rsid w:val="001F65C5"/>
    <w:rsid w:val="002004D5"/>
    <w:rsid w:val="0020112F"/>
    <w:rsid w:val="00204A61"/>
    <w:rsid w:val="00207094"/>
    <w:rsid w:val="002079F3"/>
    <w:rsid w:val="00211428"/>
    <w:rsid w:val="0021343C"/>
    <w:rsid w:val="002149B1"/>
    <w:rsid w:val="00215F8A"/>
    <w:rsid w:val="002233B2"/>
    <w:rsid w:val="002252E0"/>
    <w:rsid w:val="00227BD0"/>
    <w:rsid w:val="0023107E"/>
    <w:rsid w:val="00231EB0"/>
    <w:rsid w:val="00233C8A"/>
    <w:rsid w:val="002371E8"/>
    <w:rsid w:val="00240BA4"/>
    <w:rsid w:val="00243946"/>
    <w:rsid w:val="0024785D"/>
    <w:rsid w:val="00250B11"/>
    <w:rsid w:val="00252702"/>
    <w:rsid w:val="00254656"/>
    <w:rsid w:val="00254781"/>
    <w:rsid w:val="0025542A"/>
    <w:rsid w:val="00255724"/>
    <w:rsid w:val="00256CAF"/>
    <w:rsid w:val="00256DD1"/>
    <w:rsid w:val="0026287B"/>
    <w:rsid w:val="00264A6B"/>
    <w:rsid w:val="00273D6A"/>
    <w:rsid w:val="002745F8"/>
    <w:rsid w:val="00275C28"/>
    <w:rsid w:val="00281D3B"/>
    <w:rsid w:val="00282BE1"/>
    <w:rsid w:val="00283167"/>
    <w:rsid w:val="00286917"/>
    <w:rsid w:val="00290439"/>
    <w:rsid w:val="002905D0"/>
    <w:rsid w:val="00290E22"/>
    <w:rsid w:val="00290EAB"/>
    <w:rsid w:val="002911DA"/>
    <w:rsid w:val="00295CB9"/>
    <w:rsid w:val="002A0653"/>
    <w:rsid w:val="002A0A34"/>
    <w:rsid w:val="002A0E84"/>
    <w:rsid w:val="002A2BFA"/>
    <w:rsid w:val="002A4F10"/>
    <w:rsid w:val="002A7383"/>
    <w:rsid w:val="002B1BE5"/>
    <w:rsid w:val="002B23CA"/>
    <w:rsid w:val="002C0807"/>
    <w:rsid w:val="002C1729"/>
    <w:rsid w:val="002C301B"/>
    <w:rsid w:val="002C35D3"/>
    <w:rsid w:val="002C43FD"/>
    <w:rsid w:val="002C4676"/>
    <w:rsid w:val="002D710A"/>
    <w:rsid w:val="002E4289"/>
    <w:rsid w:val="002E5DDA"/>
    <w:rsid w:val="002E688D"/>
    <w:rsid w:val="002E7172"/>
    <w:rsid w:val="002E75E5"/>
    <w:rsid w:val="002F0243"/>
    <w:rsid w:val="002F02A1"/>
    <w:rsid w:val="002F1CAA"/>
    <w:rsid w:val="002F4EEE"/>
    <w:rsid w:val="002F57A0"/>
    <w:rsid w:val="002F5C31"/>
    <w:rsid w:val="002F6EB5"/>
    <w:rsid w:val="003023F5"/>
    <w:rsid w:val="003024DB"/>
    <w:rsid w:val="0030345B"/>
    <w:rsid w:val="00305893"/>
    <w:rsid w:val="003058D8"/>
    <w:rsid w:val="00306411"/>
    <w:rsid w:val="00307C7C"/>
    <w:rsid w:val="00316039"/>
    <w:rsid w:val="0032113F"/>
    <w:rsid w:val="00321E9E"/>
    <w:rsid w:val="00322549"/>
    <w:rsid w:val="00322F22"/>
    <w:rsid w:val="00324C85"/>
    <w:rsid w:val="00324CB9"/>
    <w:rsid w:val="00326E98"/>
    <w:rsid w:val="003270EB"/>
    <w:rsid w:val="00327E7E"/>
    <w:rsid w:val="00331826"/>
    <w:rsid w:val="00332022"/>
    <w:rsid w:val="003345A2"/>
    <w:rsid w:val="003363F2"/>
    <w:rsid w:val="00336589"/>
    <w:rsid w:val="00340A46"/>
    <w:rsid w:val="00341E94"/>
    <w:rsid w:val="00344516"/>
    <w:rsid w:val="00344580"/>
    <w:rsid w:val="00344AEF"/>
    <w:rsid w:val="00346C44"/>
    <w:rsid w:val="0035052D"/>
    <w:rsid w:val="00350A97"/>
    <w:rsid w:val="003518D6"/>
    <w:rsid w:val="00355C2A"/>
    <w:rsid w:val="00357958"/>
    <w:rsid w:val="00357DE9"/>
    <w:rsid w:val="00360BEF"/>
    <w:rsid w:val="00360C84"/>
    <w:rsid w:val="00362AE5"/>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A4A27"/>
    <w:rsid w:val="003B0B78"/>
    <w:rsid w:val="003B4885"/>
    <w:rsid w:val="003B5F15"/>
    <w:rsid w:val="003B635A"/>
    <w:rsid w:val="003C2E73"/>
    <w:rsid w:val="003C5AD7"/>
    <w:rsid w:val="003C6326"/>
    <w:rsid w:val="003D19E5"/>
    <w:rsid w:val="003D3408"/>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0968"/>
    <w:rsid w:val="00434705"/>
    <w:rsid w:val="0043546B"/>
    <w:rsid w:val="00436FFF"/>
    <w:rsid w:val="004456E8"/>
    <w:rsid w:val="00447474"/>
    <w:rsid w:val="00454178"/>
    <w:rsid w:val="004614E0"/>
    <w:rsid w:val="00462CC1"/>
    <w:rsid w:val="00464324"/>
    <w:rsid w:val="00464C70"/>
    <w:rsid w:val="00464E0C"/>
    <w:rsid w:val="0046710C"/>
    <w:rsid w:val="00471AC9"/>
    <w:rsid w:val="004733CD"/>
    <w:rsid w:val="00475F32"/>
    <w:rsid w:val="004762D1"/>
    <w:rsid w:val="00476AAA"/>
    <w:rsid w:val="00477378"/>
    <w:rsid w:val="00477B17"/>
    <w:rsid w:val="00480744"/>
    <w:rsid w:val="00484A05"/>
    <w:rsid w:val="00485831"/>
    <w:rsid w:val="00492B3A"/>
    <w:rsid w:val="004974A7"/>
    <w:rsid w:val="004A0C34"/>
    <w:rsid w:val="004A1096"/>
    <w:rsid w:val="004A12B1"/>
    <w:rsid w:val="004A6AE5"/>
    <w:rsid w:val="004A7954"/>
    <w:rsid w:val="004B046B"/>
    <w:rsid w:val="004B090F"/>
    <w:rsid w:val="004B2098"/>
    <w:rsid w:val="004B3594"/>
    <w:rsid w:val="004B3E00"/>
    <w:rsid w:val="004B6D91"/>
    <w:rsid w:val="004C2509"/>
    <w:rsid w:val="004D0249"/>
    <w:rsid w:val="004D3366"/>
    <w:rsid w:val="004D516D"/>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0192"/>
    <w:rsid w:val="0051028E"/>
    <w:rsid w:val="0051202B"/>
    <w:rsid w:val="00514080"/>
    <w:rsid w:val="00515A6D"/>
    <w:rsid w:val="00517142"/>
    <w:rsid w:val="00533A6D"/>
    <w:rsid w:val="00534532"/>
    <w:rsid w:val="005358D1"/>
    <w:rsid w:val="00537C26"/>
    <w:rsid w:val="005413DE"/>
    <w:rsid w:val="00541B55"/>
    <w:rsid w:val="0054417D"/>
    <w:rsid w:val="00544526"/>
    <w:rsid w:val="00544AF6"/>
    <w:rsid w:val="00546215"/>
    <w:rsid w:val="00551203"/>
    <w:rsid w:val="00553266"/>
    <w:rsid w:val="00555F05"/>
    <w:rsid w:val="0056338A"/>
    <w:rsid w:val="00576977"/>
    <w:rsid w:val="00576AEE"/>
    <w:rsid w:val="005770E5"/>
    <w:rsid w:val="00582DA6"/>
    <w:rsid w:val="005835FA"/>
    <w:rsid w:val="00586D14"/>
    <w:rsid w:val="00587D00"/>
    <w:rsid w:val="005907D6"/>
    <w:rsid w:val="00591566"/>
    <w:rsid w:val="00593C70"/>
    <w:rsid w:val="00593D27"/>
    <w:rsid w:val="00597230"/>
    <w:rsid w:val="005A0A22"/>
    <w:rsid w:val="005A79EC"/>
    <w:rsid w:val="005B5D0B"/>
    <w:rsid w:val="005C0E44"/>
    <w:rsid w:val="005C1F44"/>
    <w:rsid w:val="005C3E93"/>
    <w:rsid w:val="005C4E3F"/>
    <w:rsid w:val="005D0166"/>
    <w:rsid w:val="005D06E4"/>
    <w:rsid w:val="005D686F"/>
    <w:rsid w:val="005E152D"/>
    <w:rsid w:val="005E3579"/>
    <w:rsid w:val="005E51F7"/>
    <w:rsid w:val="005E5798"/>
    <w:rsid w:val="005E79CF"/>
    <w:rsid w:val="005F0EE7"/>
    <w:rsid w:val="005F7AA8"/>
    <w:rsid w:val="0060037C"/>
    <w:rsid w:val="00600869"/>
    <w:rsid w:val="0060173E"/>
    <w:rsid w:val="00606A8F"/>
    <w:rsid w:val="00606F2E"/>
    <w:rsid w:val="006171B1"/>
    <w:rsid w:val="00617C36"/>
    <w:rsid w:val="00622906"/>
    <w:rsid w:val="00622F85"/>
    <w:rsid w:val="0062467A"/>
    <w:rsid w:val="00624A24"/>
    <w:rsid w:val="00624CD6"/>
    <w:rsid w:val="006254E3"/>
    <w:rsid w:val="0062639B"/>
    <w:rsid w:val="00631FD6"/>
    <w:rsid w:val="0063402D"/>
    <w:rsid w:val="006359A2"/>
    <w:rsid w:val="00646A37"/>
    <w:rsid w:val="00647E44"/>
    <w:rsid w:val="00650399"/>
    <w:rsid w:val="00653649"/>
    <w:rsid w:val="00655348"/>
    <w:rsid w:val="00656C10"/>
    <w:rsid w:val="00660E39"/>
    <w:rsid w:val="00662942"/>
    <w:rsid w:val="00662E7E"/>
    <w:rsid w:val="00663703"/>
    <w:rsid w:val="0066468D"/>
    <w:rsid w:val="00664B0F"/>
    <w:rsid w:val="00666C67"/>
    <w:rsid w:val="00672386"/>
    <w:rsid w:val="00676010"/>
    <w:rsid w:val="006775DC"/>
    <w:rsid w:val="00682008"/>
    <w:rsid w:val="00684C83"/>
    <w:rsid w:val="00685331"/>
    <w:rsid w:val="0069298D"/>
    <w:rsid w:val="00696569"/>
    <w:rsid w:val="0069715E"/>
    <w:rsid w:val="006975F6"/>
    <w:rsid w:val="006A2E33"/>
    <w:rsid w:val="006B44DB"/>
    <w:rsid w:val="006B6F52"/>
    <w:rsid w:val="006B7ACB"/>
    <w:rsid w:val="006C04EA"/>
    <w:rsid w:val="006C43A6"/>
    <w:rsid w:val="006C5612"/>
    <w:rsid w:val="006D0B33"/>
    <w:rsid w:val="006D1C75"/>
    <w:rsid w:val="006D27DB"/>
    <w:rsid w:val="006D2E13"/>
    <w:rsid w:val="006D3FC4"/>
    <w:rsid w:val="006D4169"/>
    <w:rsid w:val="006D5AD8"/>
    <w:rsid w:val="006D7DF3"/>
    <w:rsid w:val="006E021C"/>
    <w:rsid w:val="006E191E"/>
    <w:rsid w:val="006E5C07"/>
    <w:rsid w:val="006E7714"/>
    <w:rsid w:val="006F0193"/>
    <w:rsid w:val="006F1231"/>
    <w:rsid w:val="006F3605"/>
    <w:rsid w:val="006F6310"/>
    <w:rsid w:val="007035D4"/>
    <w:rsid w:val="0070433D"/>
    <w:rsid w:val="00707279"/>
    <w:rsid w:val="00707A14"/>
    <w:rsid w:val="0071270D"/>
    <w:rsid w:val="00712A74"/>
    <w:rsid w:val="0072457E"/>
    <w:rsid w:val="007249E3"/>
    <w:rsid w:val="0072562D"/>
    <w:rsid w:val="00726717"/>
    <w:rsid w:val="00727618"/>
    <w:rsid w:val="00733F57"/>
    <w:rsid w:val="007344D5"/>
    <w:rsid w:val="00735A3D"/>
    <w:rsid w:val="00737218"/>
    <w:rsid w:val="007379CC"/>
    <w:rsid w:val="007442F9"/>
    <w:rsid w:val="00745DB6"/>
    <w:rsid w:val="00746E17"/>
    <w:rsid w:val="00753E02"/>
    <w:rsid w:val="007541FA"/>
    <w:rsid w:val="0075668D"/>
    <w:rsid w:val="007575B2"/>
    <w:rsid w:val="00761143"/>
    <w:rsid w:val="00762732"/>
    <w:rsid w:val="00763A43"/>
    <w:rsid w:val="00773716"/>
    <w:rsid w:val="00774785"/>
    <w:rsid w:val="0078135C"/>
    <w:rsid w:val="007826C7"/>
    <w:rsid w:val="00782EF5"/>
    <w:rsid w:val="00783AAA"/>
    <w:rsid w:val="00783E9A"/>
    <w:rsid w:val="00784C52"/>
    <w:rsid w:val="00785A0A"/>
    <w:rsid w:val="00785B08"/>
    <w:rsid w:val="00792378"/>
    <w:rsid w:val="007929C6"/>
    <w:rsid w:val="007960B7"/>
    <w:rsid w:val="007A296F"/>
    <w:rsid w:val="007A4A4A"/>
    <w:rsid w:val="007A62E3"/>
    <w:rsid w:val="007A7872"/>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05A2"/>
    <w:rsid w:val="007E2F16"/>
    <w:rsid w:val="007E474F"/>
    <w:rsid w:val="007E7B31"/>
    <w:rsid w:val="007F332D"/>
    <w:rsid w:val="007F4D30"/>
    <w:rsid w:val="007F6CE6"/>
    <w:rsid w:val="00801FA1"/>
    <w:rsid w:val="0080451D"/>
    <w:rsid w:val="00804CE6"/>
    <w:rsid w:val="00806A91"/>
    <w:rsid w:val="0080712A"/>
    <w:rsid w:val="008100F8"/>
    <w:rsid w:val="008117F3"/>
    <w:rsid w:val="008135DA"/>
    <w:rsid w:val="00815093"/>
    <w:rsid w:val="0081555C"/>
    <w:rsid w:val="0081695A"/>
    <w:rsid w:val="00817C2E"/>
    <w:rsid w:val="008231B4"/>
    <w:rsid w:val="00844779"/>
    <w:rsid w:val="00847086"/>
    <w:rsid w:val="008474DB"/>
    <w:rsid w:val="00847DDB"/>
    <w:rsid w:val="0085250A"/>
    <w:rsid w:val="00852AE1"/>
    <w:rsid w:val="008557E3"/>
    <w:rsid w:val="00857C80"/>
    <w:rsid w:val="00863541"/>
    <w:rsid w:val="00865DA9"/>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B7D12"/>
    <w:rsid w:val="008C1719"/>
    <w:rsid w:val="008C4D4D"/>
    <w:rsid w:val="008C530B"/>
    <w:rsid w:val="008D2EA1"/>
    <w:rsid w:val="008E3D3C"/>
    <w:rsid w:val="008E566C"/>
    <w:rsid w:val="008E6706"/>
    <w:rsid w:val="008F4899"/>
    <w:rsid w:val="009048E3"/>
    <w:rsid w:val="00905165"/>
    <w:rsid w:val="00907006"/>
    <w:rsid w:val="00911C14"/>
    <w:rsid w:val="00914469"/>
    <w:rsid w:val="00915E22"/>
    <w:rsid w:val="00920069"/>
    <w:rsid w:val="00921951"/>
    <w:rsid w:val="0092433A"/>
    <w:rsid w:val="00924940"/>
    <w:rsid w:val="00925116"/>
    <w:rsid w:val="00927BBF"/>
    <w:rsid w:val="00933F5F"/>
    <w:rsid w:val="0094264F"/>
    <w:rsid w:val="0094317B"/>
    <w:rsid w:val="0094379D"/>
    <w:rsid w:val="00946394"/>
    <w:rsid w:val="0095014B"/>
    <w:rsid w:val="009536DF"/>
    <w:rsid w:val="009569B1"/>
    <w:rsid w:val="009620B2"/>
    <w:rsid w:val="00962397"/>
    <w:rsid w:val="00963110"/>
    <w:rsid w:val="0097115B"/>
    <w:rsid w:val="00971EEE"/>
    <w:rsid w:val="009751FC"/>
    <w:rsid w:val="0097681F"/>
    <w:rsid w:val="00977526"/>
    <w:rsid w:val="00981C8F"/>
    <w:rsid w:val="00983494"/>
    <w:rsid w:val="00984ABC"/>
    <w:rsid w:val="00985ACD"/>
    <w:rsid w:val="00986AA6"/>
    <w:rsid w:val="009923D3"/>
    <w:rsid w:val="00993363"/>
    <w:rsid w:val="009936DD"/>
    <w:rsid w:val="00995860"/>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E653E"/>
    <w:rsid w:val="009F425F"/>
    <w:rsid w:val="009F4279"/>
    <w:rsid w:val="009F5151"/>
    <w:rsid w:val="009F529E"/>
    <w:rsid w:val="00A03C8E"/>
    <w:rsid w:val="00A05E06"/>
    <w:rsid w:val="00A07535"/>
    <w:rsid w:val="00A1148F"/>
    <w:rsid w:val="00A12CFD"/>
    <w:rsid w:val="00A20820"/>
    <w:rsid w:val="00A20B2F"/>
    <w:rsid w:val="00A20BCE"/>
    <w:rsid w:val="00A227F6"/>
    <w:rsid w:val="00A22B1B"/>
    <w:rsid w:val="00A24BEA"/>
    <w:rsid w:val="00A30C5E"/>
    <w:rsid w:val="00A3276E"/>
    <w:rsid w:val="00A43011"/>
    <w:rsid w:val="00A4429F"/>
    <w:rsid w:val="00A453DB"/>
    <w:rsid w:val="00A503F1"/>
    <w:rsid w:val="00A568A9"/>
    <w:rsid w:val="00A57806"/>
    <w:rsid w:val="00A63C87"/>
    <w:rsid w:val="00A64C0A"/>
    <w:rsid w:val="00A715B0"/>
    <w:rsid w:val="00A76822"/>
    <w:rsid w:val="00A804D6"/>
    <w:rsid w:val="00A80992"/>
    <w:rsid w:val="00A81C59"/>
    <w:rsid w:val="00A83795"/>
    <w:rsid w:val="00A87D19"/>
    <w:rsid w:val="00A90657"/>
    <w:rsid w:val="00A908D8"/>
    <w:rsid w:val="00A91EC9"/>
    <w:rsid w:val="00A9328B"/>
    <w:rsid w:val="00A95EA0"/>
    <w:rsid w:val="00AA11BE"/>
    <w:rsid w:val="00AA33B1"/>
    <w:rsid w:val="00AA3639"/>
    <w:rsid w:val="00AA440E"/>
    <w:rsid w:val="00AB07B0"/>
    <w:rsid w:val="00AB22C2"/>
    <w:rsid w:val="00AC21BF"/>
    <w:rsid w:val="00AC2C87"/>
    <w:rsid w:val="00AC7142"/>
    <w:rsid w:val="00AD1A4C"/>
    <w:rsid w:val="00AD399A"/>
    <w:rsid w:val="00AD5512"/>
    <w:rsid w:val="00AD7124"/>
    <w:rsid w:val="00AE1895"/>
    <w:rsid w:val="00AE31E2"/>
    <w:rsid w:val="00AE3B1B"/>
    <w:rsid w:val="00AE457C"/>
    <w:rsid w:val="00AE5260"/>
    <w:rsid w:val="00AF0D4E"/>
    <w:rsid w:val="00AF462B"/>
    <w:rsid w:val="00AF6777"/>
    <w:rsid w:val="00AF7AF8"/>
    <w:rsid w:val="00AF7B36"/>
    <w:rsid w:val="00AF7F27"/>
    <w:rsid w:val="00B020A4"/>
    <w:rsid w:val="00B0254D"/>
    <w:rsid w:val="00B03E84"/>
    <w:rsid w:val="00B049C7"/>
    <w:rsid w:val="00B061E2"/>
    <w:rsid w:val="00B148BC"/>
    <w:rsid w:val="00B21318"/>
    <w:rsid w:val="00B2455A"/>
    <w:rsid w:val="00B277B6"/>
    <w:rsid w:val="00B27D50"/>
    <w:rsid w:val="00B31626"/>
    <w:rsid w:val="00B40B5F"/>
    <w:rsid w:val="00B42505"/>
    <w:rsid w:val="00B4312F"/>
    <w:rsid w:val="00B4464D"/>
    <w:rsid w:val="00B471DE"/>
    <w:rsid w:val="00B47488"/>
    <w:rsid w:val="00B5154B"/>
    <w:rsid w:val="00B519A7"/>
    <w:rsid w:val="00B5279B"/>
    <w:rsid w:val="00B52AA9"/>
    <w:rsid w:val="00B53268"/>
    <w:rsid w:val="00B55498"/>
    <w:rsid w:val="00B57446"/>
    <w:rsid w:val="00B600C3"/>
    <w:rsid w:val="00B60A41"/>
    <w:rsid w:val="00B61B2E"/>
    <w:rsid w:val="00B6355C"/>
    <w:rsid w:val="00B6583E"/>
    <w:rsid w:val="00B661D7"/>
    <w:rsid w:val="00B7095F"/>
    <w:rsid w:val="00B726F0"/>
    <w:rsid w:val="00B75AB7"/>
    <w:rsid w:val="00B81DB8"/>
    <w:rsid w:val="00B82876"/>
    <w:rsid w:val="00B86508"/>
    <w:rsid w:val="00B91168"/>
    <w:rsid w:val="00B9190A"/>
    <w:rsid w:val="00B921CE"/>
    <w:rsid w:val="00B9317E"/>
    <w:rsid w:val="00B94340"/>
    <w:rsid w:val="00B957CE"/>
    <w:rsid w:val="00B95E29"/>
    <w:rsid w:val="00B95FE0"/>
    <w:rsid w:val="00BA062D"/>
    <w:rsid w:val="00BA1FDA"/>
    <w:rsid w:val="00BA2397"/>
    <w:rsid w:val="00BA2F7E"/>
    <w:rsid w:val="00BA5E61"/>
    <w:rsid w:val="00BA68F6"/>
    <w:rsid w:val="00BA6A15"/>
    <w:rsid w:val="00BB134C"/>
    <w:rsid w:val="00BB48DC"/>
    <w:rsid w:val="00BB5877"/>
    <w:rsid w:val="00BB7C58"/>
    <w:rsid w:val="00BC0145"/>
    <w:rsid w:val="00BC0942"/>
    <w:rsid w:val="00BC1642"/>
    <w:rsid w:val="00BC1CC9"/>
    <w:rsid w:val="00BC59A8"/>
    <w:rsid w:val="00BC6CC3"/>
    <w:rsid w:val="00BC761E"/>
    <w:rsid w:val="00BD4B69"/>
    <w:rsid w:val="00BE440E"/>
    <w:rsid w:val="00BF0D5D"/>
    <w:rsid w:val="00BF3C4E"/>
    <w:rsid w:val="00BF5EFB"/>
    <w:rsid w:val="00C0234E"/>
    <w:rsid w:val="00C04F48"/>
    <w:rsid w:val="00C059EC"/>
    <w:rsid w:val="00C06B7D"/>
    <w:rsid w:val="00C125AE"/>
    <w:rsid w:val="00C206AD"/>
    <w:rsid w:val="00C235A2"/>
    <w:rsid w:val="00C40926"/>
    <w:rsid w:val="00C40A6E"/>
    <w:rsid w:val="00C43577"/>
    <w:rsid w:val="00C43809"/>
    <w:rsid w:val="00C52047"/>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CF7EE0"/>
    <w:rsid w:val="00D00683"/>
    <w:rsid w:val="00D03D41"/>
    <w:rsid w:val="00D111E5"/>
    <w:rsid w:val="00D1292B"/>
    <w:rsid w:val="00D136B3"/>
    <w:rsid w:val="00D13AC1"/>
    <w:rsid w:val="00D145A1"/>
    <w:rsid w:val="00D315C6"/>
    <w:rsid w:val="00D33643"/>
    <w:rsid w:val="00D373A3"/>
    <w:rsid w:val="00D43BB4"/>
    <w:rsid w:val="00D50028"/>
    <w:rsid w:val="00D5107C"/>
    <w:rsid w:val="00D5132F"/>
    <w:rsid w:val="00D51415"/>
    <w:rsid w:val="00D51FE6"/>
    <w:rsid w:val="00D52C94"/>
    <w:rsid w:val="00D5398A"/>
    <w:rsid w:val="00D5505D"/>
    <w:rsid w:val="00D60BB5"/>
    <w:rsid w:val="00D64713"/>
    <w:rsid w:val="00D64B3C"/>
    <w:rsid w:val="00D71083"/>
    <w:rsid w:val="00D72497"/>
    <w:rsid w:val="00D8051B"/>
    <w:rsid w:val="00D807F7"/>
    <w:rsid w:val="00D809A2"/>
    <w:rsid w:val="00D813EA"/>
    <w:rsid w:val="00D83EFA"/>
    <w:rsid w:val="00D8401E"/>
    <w:rsid w:val="00D85FD7"/>
    <w:rsid w:val="00D90CD8"/>
    <w:rsid w:val="00D91791"/>
    <w:rsid w:val="00D92C91"/>
    <w:rsid w:val="00D94C92"/>
    <w:rsid w:val="00D9718D"/>
    <w:rsid w:val="00D97ED3"/>
    <w:rsid w:val="00DB416A"/>
    <w:rsid w:val="00DB4723"/>
    <w:rsid w:val="00DB7283"/>
    <w:rsid w:val="00DB77DE"/>
    <w:rsid w:val="00DC06DE"/>
    <w:rsid w:val="00DC15E0"/>
    <w:rsid w:val="00DD0205"/>
    <w:rsid w:val="00DD3B06"/>
    <w:rsid w:val="00DD5714"/>
    <w:rsid w:val="00DD5D4D"/>
    <w:rsid w:val="00DE19F4"/>
    <w:rsid w:val="00DE1C9C"/>
    <w:rsid w:val="00DE3BC0"/>
    <w:rsid w:val="00DF1172"/>
    <w:rsid w:val="00DF137A"/>
    <w:rsid w:val="00DF5E07"/>
    <w:rsid w:val="00DF6A55"/>
    <w:rsid w:val="00E02495"/>
    <w:rsid w:val="00E06211"/>
    <w:rsid w:val="00E11419"/>
    <w:rsid w:val="00E11C61"/>
    <w:rsid w:val="00E127B2"/>
    <w:rsid w:val="00E139FE"/>
    <w:rsid w:val="00E156F6"/>
    <w:rsid w:val="00E16BE1"/>
    <w:rsid w:val="00E218F0"/>
    <w:rsid w:val="00E22F46"/>
    <w:rsid w:val="00E334EB"/>
    <w:rsid w:val="00E360AF"/>
    <w:rsid w:val="00E408DF"/>
    <w:rsid w:val="00E42F34"/>
    <w:rsid w:val="00E4455B"/>
    <w:rsid w:val="00E447DF"/>
    <w:rsid w:val="00E50E99"/>
    <w:rsid w:val="00E52A0C"/>
    <w:rsid w:val="00E53688"/>
    <w:rsid w:val="00E545E9"/>
    <w:rsid w:val="00E55DEB"/>
    <w:rsid w:val="00E56A67"/>
    <w:rsid w:val="00E570D0"/>
    <w:rsid w:val="00E61A73"/>
    <w:rsid w:val="00E63A57"/>
    <w:rsid w:val="00E750E1"/>
    <w:rsid w:val="00E816E0"/>
    <w:rsid w:val="00E81E4C"/>
    <w:rsid w:val="00E8302E"/>
    <w:rsid w:val="00E832FB"/>
    <w:rsid w:val="00E861AA"/>
    <w:rsid w:val="00E90DF4"/>
    <w:rsid w:val="00E9290E"/>
    <w:rsid w:val="00EA1BA5"/>
    <w:rsid w:val="00EA2985"/>
    <w:rsid w:val="00EA2D74"/>
    <w:rsid w:val="00EA300E"/>
    <w:rsid w:val="00EA305D"/>
    <w:rsid w:val="00EB130F"/>
    <w:rsid w:val="00EB15F9"/>
    <w:rsid w:val="00EC085F"/>
    <w:rsid w:val="00EC1CDF"/>
    <w:rsid w:val="00EC1D6B"/>
    <w:rsid w:val="00EC7FF9"/>
    <w:rsid w:val="00ED05B9"/>
    <w:rsid w:val="00ED1D39"/>
    <w:rsid w:val="00ED3752"/>
    <w:rsid w:val="00ED6FFC"/>
    <w:rsid w:val="00ED7B29"/>
    <w:rsid w:val="00EE19F0"/>
    <w:rsid w:val="00EE28CF"/>
    <w:rsid w:val="00EE2E7D"/>
    <w:rsid w:val="00EE422E"/>
    <w:rsid w:val="00EE4899"/>
    <w:rsid w:val="00EE7AE9"/>
    <w:rsid w:val="00EF2C43"/>
    <w:rsid w:val="00EF3EB3"/>
    <w:rsid w:val="00EF4510"/>
    <w:rsid w:val="00EF6066"/>
    <w:rsid w:val="00EF6697"/>
    <w:rsid w:val="00EF671B"/>
    <w:rsid w:val="00F017E9"/>
    <w:rsid w:val="00F01861"/>
    <w:rsid w:val="00F02640"/>
    <w:rsid w:val="00F0726C"/>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5A5A"/>
    <w:rsid w:val="00F66F37"/>
    <w:rsid w:val="00F70DD0"/>
    <w:rsid w:val="00F7761B"/>
    <w:rsid w:val="00F777C4"/>
    <w:rsid w:val="00F814C9"/>
    <w:rsid w:val="00F8310E"/>
    <w:rsid w:val="00F85B60"/>
    <w:rsid w:val="00F86710"/>
    <w:rsid w:val="00F868D8"/>
    <w:rsid w:val="00F87FB1"/>
    <w:rsid w:val="00F90822"/>
    <w:rsid w:val="00F90B17"/>
    <w:rsid w:val="00F954E3"/>
    <w:rsid w:val="00F96463"/>
    <w:rsid w:val="00F96C23"/>
    <w:rsid w:val="00F97116"/>
    <w:rsid w:val="00FA4963"/>
    <w:rsid w:val="00FA6D7F"/>
    <w:rsid w:val="00FA6EAF"/>
    <w:rsid w:val="00FA738A"/>
    <w:rsid w:val="00FB0C30"/>
    <w:rsid w:val="00FB2FD3"/>
    <w:rsid w:val="00FB3734"/>
    <w:rsid w:val="00FB42BB"/>
    <w:rsid w:val="00FB4949"/>
    <w:rsid w:val="00FB7174"/>
    <w:rsid w:val="00FC7668"/>
    <w:rsid w:val="00FD4D44"/>
    <w:rsid w:val="00FD7FE8"/>
    <w:rsid w:val="00FE2C06"/>
    <w:rsid w:val="00FE3CC6"/>
    <w:rsid w:val="00FE6971"/>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 w:type="character" w:styleId="PlaceholderText">
    <w:name w:val="Placeholder Text"/>
    <w:basedOn w:val="DefaultParagraphFont"/>
    <w:uiPriority w:val="99"/>
    <w:semiHidden/>
    <w:rsid w:val="0081555C"/>
    <w:rPr>
      <w:color w:val="808080"/>
    </w:rPr>
  </w:style>
  <w:style w:type="character" w:customStyle="1" w:styleId="il">
    <w:name w:val="il"/>
    <w:basedOn w:val="DefaultParagraphFont"/>
    <w:rsid w:val="00CF7EE0"/>
  </w:style>
  <w:style w:type="character" w:styleId="UnresolvedMention">
    <w:name w:val="Unresolved Mention"/>
    <w:basedOn w:val="DefaultParagraphFont"/>
    <w:uiPriority w:val="99"/>
    <w:semiHidden/>
    <w:unhideWhenUsed/>
    <w:rsid w:val="00CF7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8873">
      <w:bodyDiv w:val="1"/>
      <w:marLeft w:val="0"/>
      <w:marRight w:val="0"/>
      <w:marTop w:val="0"/>
      <w:marBottom w:val="0"/>
      <w:divBdr>
        <w:top w:val="none" w:sz="0" w:space="0" w:color="auto"/>
        <w:left w:val="none" w:sz="0" w:space="0" w:color="auto"/>
        <w:bottom w:val="none" w:sz="0" w:space="0" w:color="auto"/>
        <w:right w:val="none" w:sz="0" w:space="0" w:color="auto"/>
      </w:divBdr>
      <w:divsChild>
        <w:div w:id="374160572">
          <w:marLeft w:val="480"/>
          <w:marRight w:val="0"/>
          <w:marTop w:val="0"/>
          <w:marBottom w:val="0"/>
          <w:divBdr>
            <w:top w:val="none" w:sz="0" w:space="0" w:color="auto"/>
            <w:left w:val="none" w:sz="0" w:space="0" w:color="auto"/>
            <w:bottom w:val="none" w:sz="0" w:space="0" w:color="auto"/>
            <w:right w:val="none" w:sz="0" w:space="0" w:color="auto"/>
          </w:divBdr>
          <w:divsChild>
            <w:div w:id="4495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82">
      <w:bodyDiv w:val="1"/>
      <w:marLeft w:val="0"/>
      <w:marRight w:val="0"/>
      <w:marTop w:val="0"/>
      <w:marBottom w:val="0"/>
      <w:divBdr>
        <w:top w:val="none" w:sz="0" w:space="0" w:color="auto"/>
        <w:left w:val="none" w:sz="0" w:space="0" w:color="auto"/>
        <w:bottom w:val="none" w:sz="0" w:space="0" w:color="auto"/>
        <w:right w:val="none" w:sz="0" w:space="0" w:color="auto"/>
      </w:divBdr>
    </w:div>
    <w:div w:id="320160261">
      <w:bodyDiv w:val="1"/>
      <w:marLeft w:val="0"/>
      <w:marRight w:val="0"/>
      <w:marTop w:val="0"/>
      <w:marBottom w:val="0"/>
      <w:divBdr>
        <w:top w:val="none" w:sz="0" w:space="0" w:color="auto"/>
        <w:left w:val="none" w:sz="0" w:space="0" w:color="auto"/>
        <w:bottom w:val="none" w:sz="0" w:space="0" w:color="auto"/>
        <w:right w:val="none" w:sz="0" w:space="0" w:color="auto"/>
      </w:divBdr>
    </w:div>
    <w:div w:id="1494757064">
      <w:bodyDiv w:val="1"/>
      <w:marLeft w:val="0"/>
      <w:marRight w:val="0"/>
      <w:marTop w:val="0"/>
      <w:marBottom w:val="0"/>
      <w:divBdr>
        <w:top w:val="none" w:sz="0" w:space="0" w:color="auto"/>
        <w:left w:val="none" w:sz="0" w:space="0" w:color="auto"/>
        <w:bottom w:val="none" w:sz="0" w:space="0" w:color="auto"/>
        <w:right w:val="none" w:sz="0" w:space="0" w:color="auto"/>
      </w:divBdr>
      <w:divsChild>
        <w:div w:id="1045985641">
          <w:marLeft w:val="480"/>
          <w:marRight w:val="0"/>
          <w:marTop w:val="0"/>
          <w:marBottom w:val="0"/>
          <w:divBdr>
            <w:top w:val="none" w:sz="0" w:space="0" w:color="auto"/>
            <w:left w:val="none" w:sz="0" w:space="0" w:color="auto"/>
            <w:bottom w:val="none" w:sz="0" w:space="0" w:color="auto"/>
            <w:right w:val="none" w:sz="0" w:space="0" w:color="auto"/>
          </w:divBdr>
          <w:divsChild>
            <w:div w:id="17186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59-017-0257-9" TargetMode="External"/><Relationship Id="rId3" Type="http://schemas.openxmlformats.org/officeDocument/2006/relationships/styles" Target="styles.xml"/><Relationship Id="rId7" Type="http://schemas.openxmlformats.org/officeDocument/2006/relationships/hyperlink" Target="https://data.unep-wcmc.org/datasets/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unep-wcmc.org/datasets/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73/pnas.1609915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034C-E6D2-664F-A0E7-591D1B8B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Gage Clawson</cp:lastModifiedBy>
  <cp:revision>4</cp:revision>
  <dcterms:created xsi:type="dcterms:W3CDTF">2020-09-14T18:34:00Z</dcterms:created>
  <dcterms:modified xsi:type="dcterms:W3CDTF">2020-09-14T21:17:00Z</dcterms:modified>
</cp:coreProperties>
</file>