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C3816" w14:textId="77777777" w:rsidR="00343BD7" w:rsidRDefault="00343BD7" w:rsidP="00343BD7">
      <w:pPr>
        <w:pStyle w:val="Heading1"/>
        <w:rPr>
          <w:rFonts w:eastAsia="Times New Roman"/>
        </w:rPr>
      </w:pPr>
      <w:r w:rsidRPr="00343BD7">
        <w:rPr>
          <w:rFonts w:eastAsia="Times New Roman"/>
        </w:rPr>
        <w:t>Resilience Measures for the British Columbia Ocean Health Index</w:t>
      </w:r>
    </w:p>
    <w:p w14:paraId="47308EB1" w14:textId="77777777" w:rsidR="00343BD7" w:rsidRDefault="00022C3A" w:rsidP="00343BD7">
      <w:pPr>
        <w:rPr>
          <w:rFonts w:asciiTheme="majorHAnsi" w:eastAsia="Times New Roman" w:hAnsiTheme="majorHAnsi" w:cs="Times New Roman"/>
          <w:i/>
          <w:iCs/>
        </w:rPr>
      </w:pPr>
      <w:r>
        <w:rPr>
          <w:rFonts w:asciiTheme="majorHAnsi" w:eastAsia="Times New Roman" w:hAnsiTheme="majorHAnsi" w:cs="Times New Roman"/>
          <w:i/>
          <w:iCs/>
        </w:rPr>
        <w:t>Note: this document was created to explain and identify potential resilience measures for the OHI in British Columbia, Canada. It can be used as guidance for planning OHI+ assessments.</w:t>
      </w:r>
      <w:bookmarkStart w:id="0" w:name="_GoBack"/>
      <w:bookmarkEnd w:id="0"/>
    </w:p>
    <w:p w14:paraId="2CDEE8F4" w14:textId="77777777" w:rsidR="00022C3A" w:rsidRPr="00343BD7" w:rsidRDefault="00022C3A" w:rsidP="00343BD7"/>
    <w:p w14:paraId="7E9BAB82" w14:textId="77777777" w:rsidR="00343BD7" w:rsidRPr="00343BD7" w:rsidRDefault="00343BD7" w:rsidP="00343BD7">
      <w:pPr>
        <w:spacing w:line="240" w:lineRule="auto"/>
        <w:rPr>
          <w:rFonts w:asciiTheme="majorHAnsi" w:eastAsia="Times New Roman" w:hAnsiTheme="majorHAnsi" w:cs="Times New Roman"/>
          <w:color w:val="auto"/>
          <w:sz w:val="24"/>
          <w:szCs w:val="24"/>
        </w:rPr>
      </w:pPr>
      <w:r w:rsidRPr="00343BD7">
        <w:rPr>
          <w:rStyle w:val="Heading1Char"/>
        </w:rPr>
        <w:t>Project Goals:</w:t>
      </w:r>
      <w:r w:rsidRPr="00343BD7">
        <w:rPr>
          <w:rFonts w:asciiTheme="majorHAnsi" w:eastAsia="Times New Roman" w:hAnsiTheme="majorHAnsi" w:cs="Times New Roman"/>
          <w:b/>
          <w:bCs/>
          <w:i/>
          <w:iCs/>
          <w:color w:val="38761D"/>
          <w:sz w:val="28"/>
          <w:szCs w:val="28"/>
        </w:rPr>
        <w:t xml:space="preserve"> </w:t>
      </w:r>
      <w:r w:rsidRPr="00343BD7">
        <w:rPr>
          <w:rFonts w:asciiTheme="majorHAnsi" w:eastAsia="Times New Roman" w:hAnsiTheme="majorHAnsi" w:cs="Times New Roman"/>
          <w:i/>
          <w:iCs/>
        </w:rPr>
        <w:t xml:space="preserve">This project is focused on developing the Resilience component of the Ocean Health Index assessment for British Columbia. </w:t>
      </w:r>
      <w:r w:rsidRPr="00343BD7">
        <w:rPr>
          <w:rFonts w:asciiTheme="majorHAnsi" w:eastAsia="Times New Roman" w:hAnsiTheme="majorHAnsi" w:cs="Times New Roman"/>
          <w:i/>
          <w:iCs/>
          <w:shd w:val="clear" w:color="auto" w:fill="FFFFFF"/>
        </w:rPr>
        <w:t>The goal is to develop a timeline of governance actions enacted either in British Columbia or nationally that directly affected ocean policy and/or specific ocean pressures in BC. The majority of the work will be looking up what legislation exists, how well it addresses specific ocean pressures, when it was introduced, and detailing the changes. This may also include gathering reports that document enforcement and compliance with key regulations or effectiveness metrics through time and space.</w:t>
      </w:r>
    </w:p>
    <w:p w14:paraId="350F9662" w14:textId="77777777" w:rsidR="00343BD7" w:rsidRPr="00343BD7" w:rsidRDefault="00343BD7" w:rsidP="00343BD7">
      <w:pPr>
        <w:pStyle w:val="Heading1"/>
        <w:rPr>
          <w:rFonts w:eastAsia="Times New Roman"/>
          <w:color w:val="auto"/>
          <w:sz w:val="24"/>
          <w:szCs w:val="24"/>
        </w:rPr>
      </w:pPr>
      <w:r w:rsidRPr="00343BD7">
        <w:rPr>
          <w:rFonts w:eastAsia="Times New Roman"/>
        </w:rPr>
        <w:t>Global Ocean Health Index Resilience Definitions (Halpern et al. 2012):</w:t>
      </w:r>
    </w:p>
    <w:p w14:paraId="320906B1" w14:textId="77777777" w:rsidR="00343BD7" w:rsidRPr="00343BD7" w:rsidRDefault="00343BD7" w:rsidP="00343BD7">
      <w:pPr>
        <w:spacing w:line="240" w:lineRule="auto"/>
        <w:rPr>
          <w:rFonts w:asciiTheme="majorHAnsi" w:eastAsia="Times New Roman" w:hAnsiTheme="majorHAnsi" w:cs="Times New Roman"/>
          <w:color w:val="auto"/>
          <w:sz w:val="24"/>
          <w:szCs w:val="24"/>
        </w:rPr>
      </w:pPr>
    </w:p>
    <w:p w14:paraId="1F528D05" w14:textId="77777777" w:rsidR="00343BD7" w:rsidRPr="00343BD7" w:rsidRDefault="00343BD7" w:rsidP="00343BD7">
      <w:pPr>
        <w:spacing w:line="240" w:lineRule="auto"/>
        <w:rPr>
          <w:rFonts w:asciiTheme="majorHAnsi" w:eastAsia="Times New Roman" w:hAnsiTheme="majorHAnsi" w:cs="Times New Roman"/>
          <w:color w:val="auto"/>
          <w:sz w:val="24"/>
          <w:szCs w:val="24"/>
        </w:rPr>
      </w:pPr>
      <w:r w:rsidRPr="00343BD7">
        <w:rPr>
          <w:rStyle w:val="Heading1Char"/>
        </w:rPr>
        <w:t>Resilience:</w:t>
      </w:r>
      <w:r w:rsidRPr="00343BD7">
        <w:rPr>
          <w:rFonts w:asciiTheme="majorHAnsi" w:eastAsia="Times New Roman" w:hAnsiTheme="majorHAnsi" w:cs="Times New Roman"/>
          <w:color w:val="38761D"/>
          <w:sz w:val="28"/>
          <w:szCs w:val="28"/>
        </w:rPr>
        <w:t xml:space="preserve"> </w:t>
      </w:r>
      <w:r w:rsidRPr="00343BD7">
        <w:rPr>
          <w:rFonts w:asciiTheme="majorHAnsi" w:eastAsia="Times New Roman" w:hAnsiTheme="majorHAnsi" w:cs="Times New Roman"/>
        </w:rPr>
        <w:t>Social, institutional, and ecological factors that positively affect the ability of a goal to be delivered to people.</w:t>
      </w:r>
    </w:p>
    <w:p w14:paraId="3CF8AEB1" w14:textId="77777777" w:rsidR="00343BD7" w:rsidRPr="00343BD7" w:rsidRDefault="00343BD7" w:rsidP="00343BD7">
      <w:pPr>
        <w:spacing w:line="240" w:lineRule="auto"/>
        <w:rPr>
          <w:rFonts w:asciiTheme="majorHAnsi" w:eastAsia="Times New Roman" w:hAnsiTheme="majorHAnsi" w:cs="Times New Roman"/>
          <w:color w:val="auto"/>
          <w:sz w:val="24"/>
          <w:szCs w:val="24"/>
        </w:rPr>
      </w:pPr>
    </w:p>
    <w:p w14:paraId="2B5286C8" w14:textId="77777777" w:rsidR="00343BD7" w:rsidRPr="00343BD7" w:rsidRDefault="00343BD7" w:rsidP="00343BD7">
      <w:pPr>
        <w:spacing w:line="240" w:lineRule="auto"/>
        <w:rPr>
          <w:rFonts w:asciiTheme="majorHAnsi" w:eastAsia="Times New Roman" w:hAnsiTheme="majorHAnsi" w:cs="Times New Roman"/>
          <w:color w:val="auto"/>
          <w:sz w:val="24"/>
          <w:szCs w:val="24"/>
        </w:rPr>
      </w:pPr>
      <w:r w:rsidRPr="00343BD7">
        <w:rPr>
          <w:rFonts w:asciiTheme="majorHAnsi" w:eastAsia="Times New Roman" w:hAnsiTheme="majorHAnsi" w:cs="Times New Roman"/>
        </w:rPr>
        <w:t xml:space="preserve">Ideally, each pressure measured in the OHI should have a corresponding resilience measure, which is meant to ‘balance’ the pressures that negatively affect ocean health. The Ocean Health Index considers resilience in three categories: </w:t>
      </w:r>
      <w:r w:rsidRPr="00343BD7">
        <w:rPr>
          <w:rFonts w:asciiTheme="majorHAnsi" w:eastAsia="Times New Roman" w:hAnsiTheme="majorHAnsi" w:cs="Times New Roman"/>
          <w:i/>
          <w:iCs/>
        </w:rPr>
        <w:t xml:space="preserve">ecological integrity, goal/pressure-specific regulations </w:t>
      </w:r>
      <w:r w:rsidRPr="00343BD7">
        <w:rPr>
          <w:rFonts w:asciiTheme="majorHAnsi" w:eastAsia="Times New Roman" w:hAnsiTheme="majorHAnsi" w:cs="Times New Roman"/>
        </w:rPr>
        <w:t xml:space="preserve">aimed at addressing ecological pressures, and </w:t>
      </w:r>
      <w:r w:rsidRPr="00343BD7">
        <w:rPr>
          <w:rFonts w:asciiTheme="majorHAnsi" w:eastAsia="Times New Roman" w:hAnsiTheme="majorHAnsi" w:cs="Times New Roman"/>
          <w:i/>
          <w:iCs/>
        </w:rPr>
        <w:t>social integrity</w:t>
      </w:r>
      <w:r w:rsidRPr="00343BD7">
        <w:rPr>
          <w:rFonts w:asciiTheme="majorHAnsi" w:eastAsia="Times New Roman" w:hAnsiTheme="majorHAnsi" w:cs="Times New Roman"/>
        </w:rPr>
        <w:t>. The first two measures address ecological resilience while the third addresses social resilience.</w:t>
      </w:r>
    </w:p>
    <w:p w14:paraId="18096F44" w14:textId="77777777" w:rsidR="00F50E21" w:rsidRDefault="00343BD7" w:rsidP="00343BD7">
      <w:pPr>
        <w:numPr>
          <w:ilvl w:val="0"/>
          <w:numId w:val="1"/>
        </w:numPr>
        <w:spacing w:line="240" w:lineRule="auto"/>
        <w:textAlignment w:val="baseline"/>
        <w:rPr>
          <w:rFonts w:asciiTheme="majorHAnsi" w:eastAsia="Times New Roman" w:hAnsiTheme="majorHAnsi" w:cs="Times New Roman"/>
        </w:rPr>
      </w:pPr>
      <w:r w:rsidRPr="00F50E21">
        <w:rPr>
          <w:rFonts w:asciiTheme="majorHAnsi" w:eastAsia="Times New Roman" w:hAnsiTheme="majorHAnsi" w:cs="Times New Roman"/>
          <w:b/>
          <w:bCs/>
        </w:rPr>
        <w:t xml:space="preserve">Ecological integrity </w:t>
      </w:r>
    </w:p>
    <w:p w14:paraId="3CFE378E" w14:textId="77777777" w:rsidR="001A21EF" w:rsidRPr="00F50E21" w:rsidRDefault="00343BD7" w:rsidP="00343BD7">
      <w:pPr>
        <w:numPr>
          <w:ilvl w:val="0"/>
          <w:numId w:val="1"/>
        </w:numPr>
        <w:spacing w:line="240" w:lineRule="auto"/>
        <w:textAlignment w:val="baseline"/>
        <w:rPr>
          <w:rFonts w:asciiTheme="majorHAnsi" w:eastAsia="Times New Roman" w:hAnsiTheme="majorHAnsi" w:cs="Times New Roman"/>
        </w:rPr>
      </w:pPr>
      <w:r w:rsidRPr="00F50E21">
        <w:rPr>
          <w:rFonts w:asciiTheme="majorHAnsi" w:eastAsia="Times New Roman" w:hAnsiTheme="majorHAnsi" w:cs="Times New Roman"/>
          <w:b/>
          <w:bCs/>
        </w:rPr>
        <w:t>pressure-specific regulations</w:t>
      </w:r>
      <w:r w:rsidRPr="00F50E21">
        <w:rPr>
          <w:rFonts w:asciiTheme="majorHAnsi" w:eastAsia="Times New Roman" w:hAnsiTheme="majorHAnsi" w:cs="Times New Roman"/>
        </w:rPr>
        <w:t xml:space="preserve"> </w:t>
      </w:r>
      <w:r w:rsidRPr="00F50E21">
        <w:rPr>
          <w:rFonts w:asciiTheme="majorHAnsi" w:eastAsia="Times New Roman" w:hAnsiTheme="majorHAnsi" w:cs="Times New Roman"/>
          <w:color w:val="222222"/>
        </w:rPr>
        <w:t>are intended to address ecological pressures, and are</w:t>
      </w:r>
      <w:r w:rsidR="001A21EF" w:rsidRPr="00F50E21">
        <w:rPr>
          <w:rFonts w:asciiTheme="majorHAnsi" w:eastAsia="Times New Roman" w:hAnsiTheme="majorHAnsi" w:cs="Times New Roman"/>
          <w:color w:val="222222"/>
        </w:rPr>
        <w:t xml:space="preserve"> measured as laws, regulations</w:t>
      </w:r>
    </w:p>
    <w:p w14:paraId="7FA610BC" w14:textId="77777777" w:rsidR="00343BD7" w:rsidRPr="00343BD7" w:rsidRDefault="00343BD7" w:rsidP="00343BD7">
      <w:pPr>
        <w:numPr>
          <w:ilvl w:val="0"/>
          <w:numId w:val="1"/>
        </w:numPr>
        <w:spacing w:line="240" w:lineRule="auto"/>
        <w:textAlignment w:val="baseline"/>
        <w:rPr>
          <w:rFonts w:asciiTheme="majorHAnsi" w:eastAsia="Times New Roman" w:hAnsiTheme="majorHAnsi" w:cs="Times New Roman"/>
        </w:rPr>
      </w:pPr>
      <w:r w:rsidRPr="00343BD7">
        <w:rPr>
          <w:rFonts w:asciiTheme="majorHAnsi" w:eastAsia="Times New Roman" w:hAnsiTheme="majorHAnsi" w:cs="Times New Roman"/>
          <w:color w:val="222222"/>
        </w:rPr>
        <w:t>Ideally, for any resilience measure, you would have three tiers of information:</w:t>
      </w:r>
    </w:p>
    <w:p w14:paraId="20DCE772" w14:textId="77777777" w:rsidR="00343BD7" w:rsidRPr="00343BD7" w:rsidRDefault="00343BD7" w:rsidP="00343BD7">
      <w:pPr>
        <w:numPr>
          <w:ilvl w:val="1"/>
          <w:numId w:val="2"/>
        </w:numPr>
        <w:spacing w:line="240" w:lineRule="auto"/>
        <w:textAlignment w:val="baseline"/>
        <w:rPr>
          <w:rFonts w:asciiTheme="majorHAnsi" w:eastAsia="Times New Roman" w:hAnsiTheme="majorHAnsi" w:cs="Times New Roman"/>
        </w:rPr>
      </w:pPr>
      <w:r w:rsidRPr="00343BD7">
        <w:rPr>
          <w:rFonts w:asciiTheme="majorHAnsi" w:eastAsia="Times New Roman" w:hAnsiTheme="majorHAnsi" w:cs="Times New Roman"/>
          <w:b/>
          <w:bCs/>
          <w:color w:val="222222"/>
        </w:rPr>
        <w:t>Existence of regulations</w:t>
      </w:r>
      <w:r w:rsidRPr="00343BD7">
        <w:rPr>
          <w:rFonts w:asciiTheme="majorHAnsi" w:eastAsia="Times New Roman" w:hAnsiTheme="majorHAnsi" w:cs="Times New Roman"/>
          <w:color w:val="222222"/>
        </w:rPr>
        <w:t>: Are regulations in place to appropriately address the ecological pressure?</w:t>
      </w:r>
    </w:p>
    <w:p w14:paraId="55A7D0A9" w14:textId="77777777" w:rsidR="00343BD7" w:rsidRPr="00343BD7" w:rsidRDefault="00343BD7" w:rsidP="00343BD7">
      <w:pPr>
        <w:numPr>
          <w:ilvl w:val="1"/>
          <w:numId w:val="2"/>
        </w:numPr>
        <w:spacing w:line="240" w:lineRule="auto"/>
        <w:textAlignment w:val="baseline"/>
        <w:rPr>
          <w:rFonts w:asciiTheme="majorHAnsi" w:eastAsia="Times New Roman" w:hAnsiTheme="majorHAnsi" w:cs="Times New Roman"/>
        </w:rPr>
      </w:pPr>
      <w:r w:rsidRPr="00343BD7">
        <w:rPr>
          <w:rFonts w:asciiTheme="majorHAnsi" w:eastAsia="Times New Roman" w:hAnsiTheme="majorHAnsi" w:cs="Times New Roman"/>
          <w:b/>
          <w:bCs/>
          <w:color w:val="222222"/>
        </w:rPr>
        <w:t>Implementation and enforcement</w:t>
      </w:r>
      <w:r w:rsidRPr="00343BD7">
        <w:rPr>
          <w:rFonts w:asciiTheme="majorHAnsi" w:eastAsia="Times New Roman" w:hAnsiTheme="majorHAnsi" w:cs="Times New Roman"/>
          <w:color w:val="222222"/>
        </w:rPr>
        <w:t>: Have these regulations been appropriately implemented and are there enforcement mechanisms in place?</w:t>
      </w:r>
    </w:p>
    <w:p w14:paraId="21FCD1D7" w14:textId="77777777" w:rsidR="00343BD7" w:rsidRPr="00343BD7" w:rsidRDefault="00343BD7" w:rsidP="00343BD7">
      <w:pPr>
        <w:numPr>
          <w:ilvl w:val="1"/>
          <w:numId w:val="2"/>
        </w:numPr>
        <w:spacing w:line="240" w:lineRule="auto"/>
        <w:textAlignment w:val="baseline"/>
        <w:rPr>
          <w:rFonts w:asciiTheme="majorHAnsi" w:eastAsia="Times New Roman" w:hAnsiTheme="majorHAnsi" w:cs="Times New Roman"/>
        </w:rPr>
      </w:pPr>
      <w:r w:rsidRPr="00343BD7">
        <w:rPr>
          <w:rFonts w:asciiTheme="majorHAnsi" w:eastAsia="Times New Roman" w:hAnsiTheme="majorHAnsi" w:cs="Times New Roman"/>
          <w:b/>
          <w:bCs/>
          <w:color w:val="222222"/>
        </w:rPr>
        <w:t>Effectiveness and compliance</w:t>
      </w:r>
      <w:r w:rsidRPr="00343BD7">
        <w:rPr>
          <w:rFonts w:asciiTheme="majorHAnsi" w:eastAsia="Times New Roman" w:hAnsiTheme="majorHAnsi" w:cs="Times New Roman"/>
          <w:color w:val="222222"/>
        </w:rPr>
        <w:t>: How effective have the regulations been at mitigating these pressures and is there compliance with these regulations?</w:t>
      </w:r>
    </w:p>
    <w:p w14:paraId="7B0AF4E7" w14:textId="77777777" w:rsidR="00343BD7" w:rsidRPr="00343BD7" w:rsidRDefault="00343BD7" w:rsidP="00343BD7">
      <w:pPr>
        <w:numPr>
          <w:ilvl w:val="0"/>
          <w:numId w:val="3"/>
        </w:numPr>
        <w:spacing w:line="240" w:lineRule="auto"/>
        <w:textAlignment w:val="baseline"/>
        <w:rPr>
          <w:rFonts w:asciiTheme="majorHAnsi" w:eastAsia="Times New Roman" w:hAnsiTheme="majorHAnsi" w:cs="Times New Roman"/>
        </w:rPr>
      </w:pPr>
      <w:r w:rsidRPr="00343BD7">
        <w:rPr>
          <w:rFonts w:asciiTheme="majorHAnsi" w:eastAsia="Times New Roman" w:hAnsiTheme="majorHAnsi" w:cs="Times New Roman"/>
          <w:b/>
          <w:bCs/>
        </w:rPr>
        <w:t xml:space="preserve">Social integrity </w:t>
      </w:r>
      <w:r w:rsidRPr="00343BD7">
        <w:rPr>
          <w:rFonts w:asciiTheme="majorHAnsi" w:eastAsia="Times New Roman" w:hAnsiTheme="majorHAnsi" w:cs="Times New Roman"/>
        </w:rPr>
        <w:t>is intended to describe those processes internal to a community that affect its Resilience. It is a function of a wide range of aspects of social structure, nearly all of which lack global data.</w:t>
      </w:r>
    </w:p>
    <w:p w14:paraId="6E622CEA" w14:textId="77777777" w:rsidR="00343BD7" w:rsidRPr="00343BD7" w:rsidRDefault="00343BD7" w:rsidP="00343BD7">
      <w:pPr>
        <w:numPr>
          <w:ilvl w:val="1"/>
          <w:numId w:val="3"/>
        </w:numPr>
        <w:spacing w:line="240" w:lineRule="auto"/>
        <w:textAlignment w:val="baseline"/>
        <w:rPr>
          <w:rFonts w:asciiTheme="majorHAnsi" w:eastAsia="Times New Roman" w:hAnsiTheme="majorHAnsi" w:cs="Times New Roman"/>
        </w:rPr>
      </w:pPr>
      <w:r w:rsidRPr="00343BD7">
        <w:rPr>
          <w:rFonts w:asciiTheme="majorHAnsi" w:eastAsia="Times New Roman" w:hAnsiTheme="majorHAnsi" w:cs="Times New Roman"/>
        </w:rPr>
        <w:t xml:space="preserve">Ideally, assessments of social resilience would include state and federal level rules and other relevant institutional mechanisms as well. </w:t>
      </w:r>
    </w:p>
    <w:p w14:paraId="4761F588" w14:textId="77777777" w:rsidR="00343BD7" w:rsidRPr="00343BD7" w:rsidRDefault="00343BD7" w:rsidP="00343BD7">
      <w:pPr>
        <w:spacing w:line="240" w:lineRule="auto"/>
        <w:rPr>
          <w:rFonts w:asciiTheme="majorHAnsi" w:eastAsia="Times New Roman" w:hAnsiTheme="majorHAnsi" w:cs="Times New Roman"/>
          <w:color w:val="auto"/>
          <w:sz w:val="24"/>
          <w:szCs w:val="24"/>
        </w:rPr>
      </w:pPr>
    </w:p>
    <w:p w14:paraId="14154B3C" w14:textId="77777777" w:rsidR="00343BD7" w:rsidRDefault="00343BD7" w:rsidP="00343BD7">
      <w:pPr>
        <w:pStyle w:val="Heading1"/>
        <w:rPr>
          <w:rFonts w:eastAsia="Times New Roman"/>
        </w:rPr>
      </w:pPr>
      <w:r w:rsidRPr="00343BD7">
        <w:rPr>
          <w:rFonts w:eastAsia="Times New Roman"/>
        </w:rPr>
        <w:t xml:space="preserve">OHI Pressure and Goal diagram with corresponding Resilience measures?? </w:t>
      </w:r>
    </w:p>
    <w:p w14:paraId="0FF3F4B2" w14:textId="77777777" w:rsidR="00343BD7" w:rsidRDefault="00343BD7" w:rsidP="00343BD7"/>
    <w:p w14:paraId="1CFF1779" w14:textId="77777777" w:rsidR="00343BD7" w:rsidRPr="00343BD7" w:rsidRDefault="00343BD7" w:rsidP="00343BD7"/>
    <w:p w14:paraId="01344963" w14:textId="77777777" w:rsidR="007A1F6A" w:rsidRPr="00343BD7" w:rsidRDefault="007A1F6A">
      <w:pPr>
        <w:rPr>
          <w:rFonts w:asciiTheme="majorHAnsi" w:eastAsia="Times New Roman" w:hAnsiTheme="majorHAnsi" w:cs="Times New Roman"/>
          <w:b/>
          <w:bCs/>
          <w:shd w:val="clear" w:color="auto" w:fill="FFFFFF"/>
        </w:rPr>
      </w:pPr>
    </w:p>
    <w:p w14:paraId="4DF018EE" w14:textId="77777777" w:rsidR="00343BD7" w:rsidRDefault="00343BD7" w:rsidP="00343BD7">
      <w:pPr>
        <w:pStyle w:val="Heading1"/>
        <w:rPr>
          <w:shd w:val="clear" w:color="auto" w:fill="FFFFFF"/>
        </w:rPr>
      </w:pPr>
      <w:r>
        <w:rPr>
          <w:shd w:val="clear" w:color="auto" w:fill="FFFFFF"/>
        </w:rPr>
        <w:t>How to begin thinking about potential resilience metrics and if data may be available:</w:t>
      </w:r>
    </w:p>
    <w:p w14:paraId="0EF9449F" w14:textId="77777777" w:rsidR="00343BD7" w:rsidRPr="00343BD7" w:rsidRDefault="00343BD7" w:rsidP="00343BD7">
      <w:pPr>
        <w:rPr>
          <w:rFonts w:asciiTheme="majorHAnsi" w:hAnsiTheme="majorHAnsi"/>
          <w:shd w:val="clear" w:color="auto" w:fill="FFFFFF"/>
        </w:rPr>
      </w:pPr>
      <w:r w:rsidRPr="00343BD7">
        <w:rPr>
          <w:rFonts w:asciiTheme="majorHAnsi" w:hAnsiTheme="majorHAnsi"/>
          <w:shd w:val="clear" w:color="auto" w:fill="FFFFFF"/>
        </w:rPr>
        <w:t>When beginning a search for resilience metrics to counteract pressures to your system, there are three levels of questions you can ask yourself to begin to get to the heart of if regulations exist that address these pressures and how effective the implementation, enforcement, and compliance with these regulations is</w:t>
      </w:r>
      <w:r>
        <w:rPr>
          <w:rFonts w:asciiTheme="majorHAnsi" w:hAnsiTheme="majorHAnsi"/>
          <w:shd w:val="clear" w:color="auto" w:fill="FFFFFF"/>
        </w:rPr>
        <w:t>:</w:t>
      </w:r>
    </w:p>
    <w:p w14:paraId="0BCA44C2" w14:textId="77777777" w:rsidR="00343BD7" w:rsidRPr="00343BD7" w:rsidRDefault="00343BD7" w:rsidP="00343BD7">
      <w:pPr>
        <w:pStyle w:val="ListParagraph"/>
        <w:numPr>
          <w:ilvl w:val="0"/>
          <w:numId w:val="6"/>
        </w:numPr>
        <w:rPr>
          <w:rFonts w:asciiTheme="majorHAnsi" w:hAnsiTheme="majorHAnsi"/>
        </w:rPr>
      </w:pPr>
      <w:r w:rsidRPr="00343BD7">
        <w:rPr>
          <w:rFonts w:asciiTheme="majorHAnsi" w:hAnsiTheme="majorHAnsi"/>
        </w:rPr>
        <w:t xml:space="preserve">Does a regulation exist that appropriately addresses a specific pressure? </w:t>
      </w:r>
    </w:p>
    <w:p w14:paraId="69BC7468" w14:textId="77777777" w:rsidR="00343BD7" w:rsidRPr="00343BD7" w:rsidRDefault="00343BD7" w:rsidP="00343BD7">
      <w:pPr>
        <w:pStyle w:val="ListParagraph"/>
        <w:numPr>
          <w:ilvl w:val="0"/>
          <w:numId w:val="6"/>
        </w:numPr>
        <w:rPr>
          <w:rFonts w:asciiTheme="majorHAnsi" w:hAnsiTheme="majorHAnsi"/>
        </w:rPr>
      </w:pPr>
      <w:r w:rsidRPr="00343BD7">
        <w:rPr>
          <w:rFonts w:asciiTheme="majorHAnsi" w:hAnsiTheme="majorHAnsi"/>
        </w:rPr>
        <w:t xml:space="preserve">Is the regulation being appropriately complied with? </w:t>
      </w:r>
    </w:p>
    <w:p w14:paraId="7DCAA0E1" w14:textId="77777777" w:rsidR="00343BD7" w:rsidRDefault="00343BD7" w:rsidP="00343BD7">
      <w:pPr>
        <w:pStyle w:val="ListParagraph"/>
        <w:numPr>
          <w:ilvl w:val="0"/>
          <w:numId w:val="6"/>
        </w:numPr>
        <w:rPr>
          <w:rFonts w:asciiTheme="majorHAnsi" w:hAnsiTheme="majorHAnsi"/>
        </w:rPr>
      </w:pPr>
      <w:r w:rsidRPr="00343BD7">
        <w:rPr>
          <w:rFonts w:asciiTheme="majorHAnsi" w:hAnsiTheme="majorHAnsi"/>
        </w:rPr>
        <w:t>Are there mechanisms in place supporting enforcement of the regulation?</w:t>
      </w:r>
    </w:p>
    <w:p w14:paraId="618AD58B" w14:textId="77777777" w:rsidR="00343BD7" w:rsidRDefault="00343BD7" w:rsidP="00343BD7">
      <w:pPr>
        <w:rPr>
          <w:rFonts w:asciiTheme="majorHAnsi" w:hAnsiTheme="majorHAnsi"/>
        </w:rPr>
      </w:pPr>
    </w:p>
    <w:p w14:paraId="262F0E70" w14:textId="77777777" w:rsidR="00343BD7" w:rsidRPr="00343BD7" w:rsidRDefault="00343BD7" w:rsidP="00343BD7">
      <w:pPr>
        <w:rPr>
          <w:rFonts w:asciiTheme="majorHAnsi" w:hAnsiTheme="majorHAnsi"/>
        </w:rPr>
      </w:pPr>
      <w:r>
        <w:rPr>
          <w:rFonts w:asciiTheme="majorHAnsi" w:hAnsiTheme="majorHAnsi"/>
        </w:rPr>
        <w:t>Below are some specific questions you can begin to ask yourself when thinking about how to counter specific pressures. Here we organize these questions around the pressures used in the Global 2012 analysis, but these questions can be tailored to any number of pressures or groups of pressures depending on what is included in your own regional assessment:</w:t>
      </w:r>
    </w:p>
    <w:p w14:paraId="7649A977" w14:textId="77777777" w:rsidR="00343BD7" w:rsidRPr="00343BD7" w:rsidRDefault="00343BD7">
      <w:pPr>
        <w:rPr>
          <w:rFonts w:asciiTheme="majorHAnsi" w:hAnsiTheme="majorHAnsi"/>
        </w:rPr>
      </w:pPr>
    </w:p>
    <w:tbl>
      <w:tblPr>
        <w:tblW w:w="1030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95"/>
        <w:gridCol w:w="3150"/>
        <w:gridCol w:w="3587"/>
        <w:gridCol w:w="2173"/>
      </w:tblGrid>
      <w:tr w:rsidR="00343BD7" w:rsidRPr="00343BD7" w14:paraId="64552E4A" w14:textId="77777777" w:rsidTr="00343BD7">
        <w:trPr>
          <w:trHeight w:val="315"/>
        </w:trPr>
        <w:tc>
          <w:tcPr>
            <w:tcW w:w="1395" w:type="dxa"/>
            <w:tcBorders>
              <w:top w:val="single" w:sz="6" w:space="0" w:color="000000"/>
              <w:left w:val="single" w:sz="6" w:space="0" w:color="000000"/>
              <w:bottom w:val="single" w:sz="6" w:space="0" w:color="000000"/>
              <w:right w:val="single" w:sz="6" w:space="0" w:color="000000"/>
            </w:tcBorders>
            <w:shd w:val="clear" w:color="auto" w:fill="000000"/>
            <w:tcMar>
              <w:top w:w="30" w:type="dxa"/>
              <w:left w:w="45" w:type="dxa"/>
              <w:bottom w:w="30" w:type="dxa"/>
              <w:right w:w="45" w:type="dxa"/>
            </w:tcMar>
            <w:vAlign w:val="center"/>
            <w:hideMark/>
          </w:tcPr>
          <w:p w14:paraId="02F71EB7" w14:textId="77777777" w:rsidR="00343BD7" w:rsidRPr="00343BD7" w:rsidRDefault="00343BD7" w:rsidP="00343BD7">
            <w:pPr>
              <w:spacing w:line="240" w:lineRule="auto"/>
              <w:rPr>
                <w:rFonts w:asciiTheme="majorHAnsi" w:eastAsia="Times New Roman" w:hAnsiTheme="majorHAnsi"/>
                <w:b/>
                <w:bCs/>
                <w:color w:val="FFFFFF"/>
                <w:sz w:val="16"/>
                <w:szCs w:val="16"/>
              </w:rPr>
            </w:pPr>
            <w:r w:rsidRPr="00343BD7">
              <w:rPr>
                <w:rFonts w:asciiTheme="majorHAnsi" w:eastAsia="Times New Roman" w:hAnsiTheme="majorHAnsi"/>
                <w:b/>
                <w:bCs/>
                <w:color w:val="FFFFFF"/>
                <w:sz w:val="16"/>
                <w:szCs w:val="16"/>
              </w:rPr>
              <w:t>Pressure</w:t>
            </w:r>
          </w:p>
        </w:tc>
        <w:tc>
          <w:tcPr>
            <w:tcW w:w="3150" w:type="dxa"/>
            <w:tcBorders>
              <w:top w:val="single" w:sz="6" w:space="0" w:color="000000"/>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center"/>
            <w:hideMark/>
          </w:tcPr>
          <w:p w14:paraId="5D61F5EC" w14:textId="77777777" w:rsidR="00343BD7" w:rsidRPr="00343BD7" w:rsidRDefault="00343BD7" w:rsidP="00343BD7">
            <w:pPr>
              <w:spacing w:line="240" w:lineRule="auto"/>
              <w:rPr>
                <w:rFonts w:asciiTheme="majorHAnsi" w:eastAsia="Times New Roman" w:hAnsiTheme="majorHAnsi"/>
                <w:b/>
                <w:bCs/>
                <w:color w:val="FFFFFF"/>
                <w:sz w:val="16"/>
                <w:szCs w:val="16"/>
              </w:rPr>
            </w:pPr>
            <w:r w:rsidRPr="00343BD7">
              <w:rPr>
                <w:rFonts w:asciiTheme="majorHAnsi" w:eastAsia="Times New Roman" w:hAnsiTheme="majorHAnsi"/>
                <w:b/>
                <w:bCs/>
                <w:color w:val="FFFFFF"/>
                <w:sz w:val="16"/>
                <w:szCs w:val="16"/>
              </w:rPr>
              <w:t>Regulation?</w:t>
            </w:r>
          </w:p>
        </w:tc>
        <w:tc>
          <w:tcPr>
            <w:tcW w:w="3587" w:type="dxa"/>
            <w:tcBorders>
              <w:top w:val="single" w:sz="6" w:space="0" w:color="000000"/>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center"/>
            <w:hideMark/>
          </w:tcPr>
          <w:p w14:paraId="1224355B" w14:textId="77777777" w:rsidR="00343BD7" w:rsidRPr="00343BD7" w:rsidRDefault="00343BD7" w:rsidP="00343BD7">
            <w:pPr>
              <w:spacing w:line="240" w:lineRule="auto"/>
              <w:rPr>
                <w:rFonts w:asciiTheme="majorHAnsi" w:eastAsia="Times New Roman" w:hAnsiTheme="majorHAnsi"/>
                <w:b/>
                <w:bCs/>
                <w:color w:val="FFFFFF"/>
                <w:sz w:val="16"/>
                <w:szCs w:val="16"/>
              </w:rPr>
            </w:pPr>
            <w:r w:rsidRPr="00343BD7">
              <w:rPr>
                <w:rFonts w:asciiTheme="majorHAnsi" w:eastAsia="Times New Roman" w:hAnsiTheme="majorHAnsi"/>
                <w:b/>
                <w:bCs/>
                <w:color w:val="FFFFFF"/>
                <w:sz w:val="16"/>
                <w:szCs w:val="16"/>
              </w:rPr>
              <w:t>Compliance?</w:t>
            </w:r>
          </w:p>
        </w:tc>
        <w:tc>
          <w:tcPr>
            <w:tcW w:w="2173" w:type="dxa"/>
            <w:tcBorders>
              <w:top w:val="single" w:sz="6" w:space="0" w:color="000000"/>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center"/>
            <w:hideMark/>
          </w:tcPr>
          <w:p w14:paraId="121FADA4" w14:textId="77777777" w:rsidR="00343BD7" w:rsidRPr="00343BD7" w:rsidRDefault="00343BD7" w:rsidP="00343BD7">
            <w:pPr>
              <w:spacing w:line="240" w:lineRule="auto"/>
              <w:rPr>
                <w:rFonts w:asciiTheme="majorHAnsi" w:eastAsia="Times New Roman" w:hAnsiTheme="majorHAnsi"/>
                <w:b/>
                <w:bCs/>
                <w:color w:val="FFFFFF"/>
                <w:sz w:val="16"/>
                <w:szCs w:val="16"/>
              </w:rPr>
            </w:pPr>
            <w:r w:rsidRPr="00343BD7">
              <w:rPr>
                <w:rFonts w:asciiTheme="majorHAnsi" w:eastAsia="Times New Roman" w:hAnsiTheme="majorHAnsi"/>
                <w:b/>
                <w:bCs/>
                <w:color w:val="FFFFFF"/>
                <w:sz w:val="16"/>
                <w:szCs w:val="16"/>
              </w:rPr>
              <w:t>Enforcement?</w:t>
            </w:r>
          </w:p>
        </w:tc>
      </w:tr>
      <w:tr w:rsidR="00343BD7" w:rsidRPr="00343BD7" w14:paraId="572451EE" w14:textId="77777777" w:rsidTr="00343BD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32DDB230" w14:textId="77777777" w:rsidR="00343BD7" w:rsidRPr="00343BD7" w:rsidRDefault="00343BD7" w:rsidP="00343BD7">
            <w:pPr>
              <w:spacing w:line="240" w:lineRule="auto"/>
              <w:rPr>
                <w:rFonts w:asciiTheme="majorHAnsi" w:eastAsia="Times New Roman" w:hAnsiTheme="majorHAnsi"/>
                <w:b/>
                <w:bCs/>
                <w:color w:val="auto"/>
                <w:sz w:val="16"/>
                <w:szCs w:val="16"/>
              </w:rPr>
            </w:pPr>
            <w:r w:rsidRPr="00343BD7">
              <w:rPr>
                <w:rFonts w:asciiTheme="majorHAnsi" w:eastAsia="Times New Roman" w:hAnsiTheme="majorHAnsi"/>
                <w:b/>
                <w:bCs/>
                <w:color w:val="auto"/>
                <w:sz w:val="16"/>
                <w:szCs w:val="16"/>
              </w:rPr>
              <w:t>Water Pollution</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09A517"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regulations in place to address water pollution? </w:t>
            </w:r>
            <w:r w:rsidRPr="00343BD7">
              <w:rPr>
                <w:rFonts w:asciiTheme="majorHAnsi" w:eastAsia="Times New Roman" w:hAnsiTheme="majorHAnsi"/>
                <w:color w:val="auto"/>
                <w:sz w:val="16"/>
                <w:szCs w:val="16"/>
              </w:rPr>
              <w:br/>
              <w:t xml:space="preserve">For example: </w:t>
            </w:r>
            <w:r w:rsidRPr="00343BD7">
              <w:rPr>
                <w:rFonts w:asciiTheme="majorHAnsi" w:eastAsia="Times New Roman" w:hAnsiTheme="majorHAnsi"/>
                <w:color w:val="auto"/>
                <w:sz w:val="16"/>
                <w:szCs w:val="16"/>
              </w:rPr>
              <w:br/>
              <w:t>- High level acts or regulations governing marine water quality (e.g. US Clean Water Act)</w:t>
            </w:r>
            <w:r w:rsidRPr="00343BD7">
              <w:rPr>
                <w:rFonts w:asciiTheme="majorHAnsi" w:eastAsia="Times New Roman" w:hAnsiTheme="majorHAnsi"/>
                <w:color w:val="auto"/>
                <w:sz w:val="16"/>
                <w:szCs w:val="16"/>
              </w:rPr>
              <w:br/>
              <w:t>- Permit requirements for release of effluent into the environment</w:t>
            </w:r>
            <w:r w:rsidRPr="00343BD7">
              <w:rPr>
                <w:rFonts w:asciiTheme="majorHAnsi" w:eastAsia="Times New Roman" w:hAnsiTheme="majorHAnsi"/>
                <w:color w:val="auto"/>
                <w:sz w:val="16"/>
                <w:szCs w:val="16"/>
              </w:rPr>
              <w:br/>
              <w:t>- Maximum limits of effluent allowable from point or non-point sources</w:t>
            </w:r>
            <w:r w:rsidRPr="00343BD7">
              <w:rPr>
                <w:rFonts w:asciiTheme="majorHAnsi" w:eastAsia="Times New Roman" w:hAnsiTheme="majorHAnsi"/>
                <w:color w:val="auto"/>
                <w:sz w:val="16"/>
                <w:szCs w:val="16"/>
              </w:rPr>
              <w:br/>
              <w:t>- Maximum limits of specific nutrients, chemicals, or pathogens that are allowable in the marine environment-Laws or practices restricting or reducing trash generation and disposal that would reach beaches or marine waters</w:t>
            </w:r>
          </w:p>
        </w:tc>
        <w:tc>
          <w:tcPr>
            <w:tcW w:w="3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0F5266"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regulations or practices that indicate compliance with existing water pollution guidelines?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Reports on individual or group compliance (i.e. percent of regulated groups complying with the regulation)*</w:t>
            </w:r>
            <w:r w:rsidRPr="00343BD7">
              <w:rPr>
                <w:rFonts w:asciiTheme="majorHAnsi" w:eastAsia="Times New Roman" w:hAnsiTheme="majorHAnsi"/>
                <w:color w:val="auto"/>
                <w:sz w:val="16"/>
                <w:szCs w:val="16"/>
              </w:rPr>
              <w:br/>
              <w:t>- Reports on the percentage of discharge facilities with compliance violations*</w:t>
            </w:r>
            <w:r w:rsidRPr="00343BD7">
              <w:rPr>
                <w:rFonts w:asciiTheme="majorHAnsi" w:eastAsia="Times New Roman" w:hAnsiTheme="majorHAnsi"/>
                <w:color w:val="auto"/>
                <w:sz w:val="16"/>
                <w:szCs w:val="16"/>
              </w:rPr>
              <w:br/>
              <w:t>- Measures of compliance report submission (actual:expected)*</w:t>
            </w:r>
            <w:r w:rsidRPr="00343BD7">
              <w:rPr>
                <w:rFonts w:asciiTheme="majorHAnsi" w:eastAsia="Times New Roman" w:hAnsiTheme="majorHAnsi"/>
                <w:color w:val="auto"/>
                <w:sz w:val="16"/>
                <w:szCs w:val="16"/>
              </w:rPr>
              <w:br/>
              <w:t>- Measures of beach closures due to water samples exceeding maximum allowable pathogen concentrations*</w:t>
            </w:r>
            <w:r w:rsidRPr="00343BD7">
              <w:rPr>
                <w:rFonts w:asciiTheme="majorHAnsi" w:eastAsia="Times New Roman" w:hAnsiTheme="majorHAnsi"/>
                <w:color w:val="auto"/>
                <w:sz w:val="16"/>
                <w:szCs w:val="16"/>
              </w:rPr>
              <w:br/>
              <w:t>- Measure of shellfish advisories or fishing closures due to exceeding maximum allowable contaminant concentrations*</w:t>
            </w:r>
          </w:p>
        </w:tc>
        <w:tc>
          <w:tcPr>
            <w:tcW w:w="21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D8F464"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enforcement mechanisms in place to deal with non-compliance with water quality regulations?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Reported values of inspector enforcement coverage of effluent facilities*</w:t>
            </w:r>
            <w:r w:rsidRPr="00343BD7">
              <w:rPr>
                <w:rFonts w:asciiTheme="majorHAnsi" w:eastAsia="Times New Roman" w:hAnsiTheme="majorHAnsi"/>
                <w:color w:val="auto"/>
                <w:sz w:val="16"/>
                <w:szCs w:val="16"/>
              </w:rPr>
              <w:br/>
              <w:t>- Reported numbers of enforcement actions in response to non-compliance with a regulation*</w:t>
            </w:r>
            <w:r w:rsidRPr="00343BD7">
              <w:rPr>
                <w:rFonts w:asciiTheme="majorHAnsi" w:eastAsia="Times New Roman" w:hAnsiTheme="majorHAnsi"/>
                <w:color w:val="auto"/>
                <w:sz w:val="16"/>
                <w:szCs w:val="16"/>
              </w:rPr>
              <w:br/>
              <w:t>- Fines associated with non-compliance</w:t>
            </w:r>
          </w:p>
        </w:tc>
      </w:tr>
      <w:tr w:rsidR="00343BD7" w:rsidRPr="00343BD7" w14:paraId="69904A0D" w14:textId="77777777" w:rsidTr="00343BD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2767FABE" w14:textId="77777777" w:rsidR="00343BD7" w:rsidRPr="00343BD7" w:rsidRDefault="00343BD7" w:rsidP="00343BD7">
            <w:pPr>
              <w:spacing w:line="240" w:lineRule="auto"/>
              <w:rPr>
                <w:rFonts w:asciiTheme="majorHAnsi" w:eastAsia="Times New Roman" w:hAnsiTheme="majorHAnsi"/>
                <w:b/>
                <w:bCs/>
                <w:color w:val="auto"/>
                <w:sz w:val="16"/>
                <w:szCs w:val="16"/>
              </w:rPr>
            </w:pPr>
            <w:r w:rsidRPr="00343BD7">
              <w:rPr>
                <w:rFonts w:asciiTheme="majorHAnsi" w:eastAsia="Times New Roman" w:hAnsiTheme="majorHAnsi"/>
                <w:b/>
                <w:bCs/>
                <w:color w:val="auto"/>
                <w:sz w:val="16"/>
                <w:szCs w:val="16"/>
              </w:rPr>
              <w:t>Habitat Destruction</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0B1859"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regulations in place that guide habitat destruction?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Permit requirements for destruction of habitat for any reason (including coastal, intertidal, and subtidal habitats)</w:t>
            </w:r>
            <w:r w:rsidRPr="00343BD7">
              <w:rPr>
                <w:rFonts w:asciiTheme="majorHAnsi" w:eastAsia="Times New Roman" w:hAnsiTheme="majorHAnsi"/>
                <w:color w:val="auto"/>
                <w:sz w:val="16"/>
                <w:szCs w:val="16"/>
              </w:rPr>
              <w:br/>
              <w:t>- Marine protected areas designation in the region</w:t>
            </w:r>
            <w:r w:rsidRPr="00343BD7">
              <w:rPr>
                <w:rFonts w:asciiTheme="majorHAnsi" w:eastAsia="Times New Roman" w:hAnsiTheme="majorHAnsi"/>
                <w:color w:val="auto"/>
                <w:sz w:val="16"/>
                <w:szCs w:val="16"/>
              </w:rPr>
              <w:br/>
              <w:t>- Marine spatial planning in the region</w:t>
            </w:r>
          </w:p>
        </w:tc>
        <w:tc>
          <w:tcPr>
            <w:tcW w:w="3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B1F98E"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Are there regulations that indicate compliance with existing habitat destruction guidelines?</w:t>
            </w:r>
            <w:r w:rsidRPr="00343BD7">
              <w:rPr>
                <w:rFonts w:asciiTheme="majorHAnsi" w:eastAsia="Times New Roman" w:hAnsiTheme="majorHAnsi"/>
                <w:color w:val="auto"/>
                <w:sz w:val="16"/>
                <w:szCs w:val="16"/>
              </w:rPr>
              <w:br/>
              <w:t xml:space="preserve">For example: </w:t>
            </w:r>
            <w:r w:rsidRPr="00343BD7">
              <w:rPr>
                <w:rFonts w:asciiTheme="majorHAnsi" w:eastAsia="Times New Roman" w:hAnsiTheme="majorHAnsi"/>
                <w:color w:val="auto"/>
                <w:sz w:val="16"/>
                <w:szCs w:val="16"/>
              </w:rPr>
              <w:br/>
              <w:t>- Values for compliance with marine protected area regulations</w:t>
            </w:r>
          </w:p>
        </w:tc>
        <w:tc>
          <w:tcPr>
            <w:tcW w:w="21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BF93A6"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enforcement mechanisms in place to deal with non-compliance with habitat destruction regulations? </w:t>
            </w:r>
            <w:r w:rsidRPr="00343BD7">
              <w:rPr>
                <w:rFonts w:asciiTheme="majorHAnsi" w:eastAsia="Times New Roman" w:hAnsiTheme="majorHAnsi"/>
                <w:color w:val="auto"/>
                <w:sz w:val="16"/>
                <w:szCs w:val="16"/>
              </w:rPr>
              <w:br/>
              <w:t xml:space="preserve">For example: </w:t>
            </w:r>
            <w:r w:rsidRPr="00343BD7">
              <w:rPr>
                <w:rFonts w:asciiTheme="majorHAnsi" w:eastAsia="Times New Roman" w:hAnsiTheme="majorHAnsi"/>
                <w:color w:val="auto"/>
                <w:sz w:val="16"/>
                <w:szCs w:val="16"/>
              </w:rPr>
              <w:br/>
              <w:t>- Enforcement records for non-compliance with marine protected area regulations</w:t>
            </w:r>
            <w:r w:rsidRPr="00343BD7">
              <w:rPr>
                <w:rFonts w:asciiTheme="majorHAnsi" w:eastAsia="Times New Roman" w:hAnsiTheme="majorHAnsi"/>
                <w:color w:val="auto"/>
                <w:sz w:val="16"/>
                <w:szCs w:val="16"/>
              </w:rPr>
              <w:br/>
              <w:t>- Enforcement records for non-compliance with habitat destruction permits</w:t>
            </w:r>
            <w:r w:rsidRPr="00343BD7">
              <w:rPr>
                <w:rFonts w:asciiTheme="majorHAnsi" w:eastAsia="Times New Roman" w:hAnsiTheme="majorHAnsi"/>
                <w:color w:val="auto"/>
                <w:sz w:val="16"/>
                <w:szCs w:val="16"/>
              </w:rPr>
              <w:br/>
              <w:t>- Fines associated with non-compliance</w:t>
            </w:r>
          </w:p>
        </w:tc>
      </w:tr>
      <w:tr w:rsidR="00343BD7" w:rsidRPr="00343BD7" w14:paraId="4D035A8B" w14:textId="77777777" w:rsidTr="00343BD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5F75D393" w14:textId="77777777" w:rsidR="00343BD7" w:rsidRPr="00343BD7" w:rsidRDefault="00343BD7" w:rsidP="00343BD7">
            <w:pPr>
              <w:spacing w:line="240" w:lineRule="auto"/>
              <w:rPr>
                <w:rFonts w:asciiTheme="majorHAnsi" w:eastAsia="Times New Roman" w:hAnsiTheme="majorHAnsi"/>
                <w:b/>
                <w:bCs/>
                <w:color w:val="auto"/>
                <w:sz w:val="16"/>
                <w:szCs w:val="16"/>
              </w:rPr>
            </w:pPr>
            <w:r w:rsidRPr="00343BD7">
              <w:rPr>
                <w:rFonts w:asciiTheme="majorHAnsi" w:eastAsia="Times New Roman" w:hAnsiTheme="majorHAnsi"/>
                <w:b/>
                <w:bCs/>
                <w:color w:val="auto"/>
                <w:sz w:val="16"/>
                <w:szCs w:val="16"/>
              </w:rPr>
              <w:t>Species Pollution</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429C19"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Are there regulations in place that guide species pollution?</w:t>
            </w:r>
            <w:r w:rsidRPr="00343BD7">
              <w:rPr>
                <w:rFonts w:asciiTheme="majorHAnsi" w:eastAsia="Times New Roman" w:hAnsiTheme="majorHAnsi"/>
                <w:color w:val="auto"/>
                <w:sz w:val="16"/>
                <w:szCs w:val="16"/>
              </w:rPr>
              <w:br/>
              <w:t xml:space="preserve">For example: </w:t>
            </w:r>
            <w:r w:rsidRPr="00343BD7">
              <w:rPr>
                <w:rFonts w:asciiTheme="majorHAnsi" w:eastAsia="Times New Roman" w:hAnsiTheme="majorHAnsi"/>
                <w:color w:val="auto"/>
                <w:sz w:val="16"/>
                <w:szCs w:val="16"/>
              </w:rPr>
              <w:br/>
              <w:t xml:space="preserve">- Regulations governing the types of species that can be cultured in aquaculture facilities and information on native vs. invasive </w:t>
            </w:r>
            <w:r w:rsidRPr="00343BD7">
              <w:rPr>
                <w:rFonts w:asciiTheme="majorHAnsi" w:eastAsia="Times New Roman" w:hAnsiTheme="majorHAnsi"/>
                <w:color w:val="auto"/>
                <w:sz w:val="16"/>
                <w:szCs w:val="16"/>
              </w:rPr>
              <w:lastRenderedPageBreak/>
              <w:t>species</w:t>
            </w:r>
            <w:r w:rsidRPr="00343BD7">
              <w:rPr>
                <w:rFonts w:asciiTheme="majorHAnsi" w:eastAsia="Times New Roman" w:hAnsiTheme="majorHAnsi"/>
                <w:color w:val="auto"/>
                <w:sz w:val="16"/>
                <w:szCs w:val="16"/>
              </w:rPr>
              <w:br/>
              <w:t>- Regulations governing aquaculture escapes</w:t>
            </w:r>
            <w:r w:rsidRPr="00343BD7">
              <w:rPr>
                <w:rFonts w:asciiTheme="majorHAnsi" w:eastAsia="Times New Roman" w:hAnsiTheme="majorHAnsi"/>
                <w:color w:val="auto"/>
                <w:sz w:val="16"/>
                <w:szCs w:val="16"/>
              </w:rPr>
              <w:br/>
              <w:t>- Regulations governing ballast water discharge</w:t>
            </w:r>
          </w:p>
        </w:tc>
        <w:tc>
          <w:tcPr>
            <w:tcW w:w="3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6B41EE"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lastRenderedPageBreak/>
              <w:t xml:space="preserve">Are the regulations that indicate compliance with species pollution guidelines?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Values for compliance with regulations regarding aquaculture escapes</w:t>
            </w:r>
            <w:r w:rsidRPr="00343BD7">
              <w:rPr>
                <w:rFonts w:asciiTheme="majorHAnsi" w:eastAsia="Times New Roman" w:hAnsiTheme="majorHAnsi"/>
                <w:color w:val="auto"/>
                <w:sz w:val="16"/>
                <w:szCs w:val="16"/>
              </w:rPr>
              <w:br/>
              <w:t xml:space="preserve">- Values for compliance with regulations regarding </w:t>
            </w:r>
            <w:r w:rsidRPr="00343BD7">
              <w:rPr>
                <w:rFonts w:asciiTheme="majorHAnsi" w:eastAsia="Times New Roman" w:hAnsiTheme="majorHAnsi"/>
                <w:color w:val="auto"/>
                <w:sz w:val="16"/>
                <w:szCs w:val="16"/>
              </w:rPr>
              <w:lastRenderedPageBreak/>
              <w:t>ballast water discharge</w:t>
            </w:r>
          </w:p>
        </w:tc>
        <w:tc>
          <w:tcPr>
            <w:tcW w:w="21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CCE895"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lastRenderedPageBreak/>
              <w:t>Are there enforcement mechanisms in place to deal with non-compliance with the species pollution regulation?</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Fines associate with non-</w:t>
            </w:r>
            <w:r w:rsidRPr="00343BD7">
              <w:rPr>
                <w:rFonts w:asciiTheme="majorHAnsi" w:eastAsia="Times New Roman" w:hAnsiTheme="majorHAnsi"/>
                <w:color w:val="auto"/>
                <w:sz w:val="16"/>
                <w:szCs w:val="16"/>
              </w:rPr>
              <w:lastRenderedPageBreak/>
              <w:t>compliance</w:t>
            </w:r>
            <w:r w:rsidRPr="00343BD7">
              <w:rPr>
                <w:rFonts w:asciiTheme="majorHAnsi" w:eastAsia="Times New Roman" w:hAnsiTheme="majorHAnsi"/>
                <w:color w:val="auto"/>
                <w:sz w:val="16"/>
                <w:szCs w:val="16"/>
              </w:rPr>
              <w:br/>
              <w:t>- Enforcement records for non-compliance with aquaculture escape regulations</w:t>
            </w:r>
            <w:r w:rsidRPr="00343BD7">
              <w:rPr>
                <w:rFonts w:asciiTheme="majorHAnsi" w:eastAsia="Times New Roman" w:hAnsiTheme="majorHAnsi"/>
                <w:color w:val="auto"/>
                <w:sz w:val="16"/>
                <w:szCs w:val="16"/>
              </w:rPr>
              <w:br/>
              <w:t>- Enforcement records for non-compliance with ballast water discharge regulations</w:t>
            </w:r>
          </w:p>
        </w:tc>
      </w:tr>
      <w:tr w:rsidR="00343BD7" w:rsidRPr="00343BD7" w14:paraId="588EA3D7" w14:textId="77777777" w:rsidTr="00343BD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F4DAD1"/>
            <w:tcMar>
              <w:top w:w="30" w:type="dxa"/>
              <w:left w:w="45" w:type="dxa"/>
              <w:bottom w:w="30" w:type="dxa"/>
              <w:right w:w="45" w:type="dxa"/>
            </w:tcMar>
            <w:vAlign w:val="center"/>
            <w:hideMark/>
          </w:tcPr>
          <w:p w14:paraId="14B56C1A" w14:textId="77777777" w:rsidR="00343BD7" w:rsidRPr="00343BD7" w:rsidRDefault="00343BD7" w:rsidP="00343BD7">
            <w:pPr>
              <w:spacing w:line="240" w:lineRule="auto"/>
              <w:rPr>
                <w:rFonts w:asciiTheme="majorHAnsi" w:eastAsia="Times New Roman" w:hAnsiTheme="majorHAnsi"/>
                <w:b/>
                <w:bCs/>
                <w:color w:val="auto"/>
                <w:sz w:val="16"/>
                <w:szCs w:val="16"/>
              </w:rPr>
            </w:pPr>
            <w:r w:rsidRPr="00343BD7">
              <w:rPr>
                <w:rFonts w:asciiTheme="majorHAnsi" w:eastAsia="Times New Roman" w:hAnsiTheme="majorHAnsi"/>
                <w:b/>
                <w:bCs/>
                <w:color w:val="auto"/>
                <w:sz w:val="16"/>
                <w:szCs w:val="16"/>
              </w:rPr>
              <w:lastRenderedPageBreak/>
              <w:t>Fishing</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00E09D"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regulations in place that guide fishing pressure?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Trawl limits or regulations</w:t>
            </w:r>
            <w:r w:rsidRPr="00343BD7">
              <w:rPr>
                <w:rFonts w:asciiTheme="majorHAnsi" w:eastAsia="Times New Roman" w:hAnsiTheme="majorHAnsi"/>
                <w:color w:val="auto"/>
                <w:sz w:val="16"/>
                <w:szCs w:val="16"/>
              </w:rPr>
              <w:br/>
              <w:t>- Appropriate fishing size, length, and/or season restrictions</w:t>
            </w:r>
            <w:r w:rsidRPr="00343BD7">
              <w:rPr>
                <w:rFonts w:asciiTheme="majorHAnsi" w:eastAsia="Times New Roman" w:hAnsiTheme="majorHAnsi"/>
                <w:color w:val="auto"/>
                <w:sz w:val="16"/>
                <w:szCs w:val="16"/>
              </w:rPr>
              <w:br/>
              <w:t>- Formal stock assessments in place for fished species</w:t>
            </w:r>
          </w:p>
        </w:tc>
        <w:tc>
          <w:tcPr>
            <w:tcW w:w="3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B59F3C"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 regulations that indicate compliance with fishing pressure guidelines?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Values for compliance with regulations regarding fishing*</w:t>
            </w:r>
          </w:p>
        </w:tc>
        <w:tc>
          <w:tcPr>
            <w:tcW w:w="21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AA7D1D"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Are there enforcement mechanisms in place to deal with non-compliance with fishing pressure regulations?</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Reported values of inspector enforcement coverage of permitted emission facilities*</w:t>
            </w:r>
            <w:r w:rsidRPr="00343BD7">
              <w:rPr>
                <w:rFonts w:asciiTheme="majorHAnsi" w:eastAsia="Times New Roman" w:hAnsiTheme="majorHAnsi"/>
                <w:color w:val="auto"/>
                <w:sz w:val="16"/>
                <w:szCs w:val="16"/>
              </w:rPr>
              <w:br/>
              <w:t>- Reported numbers of enforcement actions in response to non-compliance with a regulation*</w:t>
            </w:r>
            <w:r w:rsidRPr="00343BD7">
              <w:rPr>
                <w:rFonts w:asciiTheme="majorHAnsi" w:eastAsia="Times New Roman" w:hAnsiTheme="majorHAnsi"/>
                <w:color w:val="auto"/>
                <w:sz w:val="16"/>
                <w:szCs w:val="16"/>
              </w:rPr>
              <w:br/>
              <w:t>- Fines associated with non-compliance</w:t>
            </w:r>
          </w:p>
        </w:tc>
      </w:tr>
      <w:tr w:rsidR="00343BD7" w:rsidRPr="00343BD7" w14:paraId="606CA93D" w14:textId="77777777" w:rsidTr="00343BD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B0F0B5"/>
            <w:tcMar>
              <w:top w:w="30" w:type="dxa"/>
              <w:left w:w="45" w:type="dxa"/>
              <w:bottom w:w="30" w:type="dxa"/>
              <w:right w:w="45" w:type="dxa"/>
            </w:tcMar>
            <w:vAlign w:val="center"/>
            <w:hideMark/>
          </w:tcPr>
          <w:p w14:paraId="733054EE" w14:textId="77777777" w:rsidR="00343BD7" w:rsidRPr="00343BD7" w:rsidRDefault="00343BD7" w:rsidP="00343BD7">
            <w:pPr>
              <w:spacing w:line="240" w:lineRule="auto"/>
              <w:rPr>
                <w:rFonts w:asciiTheme="majorHAnsi" w:eastAsia="Times New Roman" w:hAnsiTheme="majorHAnsi"/>
                <w:b/>
                <w:bCs/>
                <w:color w:val="auto"/>
                <w:sz w:val="16"/>
                <w:szCs w:val="16"/>
              </w:rPr>
            </w:pPr>
            <w:r w:rsidRPr="00343BD7">
              <w:rPr>
                <w:rFonts w:asciiTheme="majorHAnsi" w:eastAsia="Times New Roman" w:hAnsiTheme="majorHAnsi"/>
                <w:b/>
                <w:bCs/>
                <w:color w:val="auto"/>
                <w:sz w:val="16"/>
                <w:szCs w:val="16"/>
              </w:rPr>
              <w:t>Climate Change</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3728E5"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regulations in place that guide climate change?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Regulations guiding energy use, transportation, and building emissions</w:t>
            </w:r>
          </w:p>
        </w:tc>
        <w:tc>
          <w:tcPr>
            <w:tcW w:w="3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28AB89"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 regulations that indicate compliance with climate change guidelines?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Compliance statistics for climate change related regulations guiding energy use, transportation, and building emissions</w:t>
            </w:r>
          </w:p>
        </w:tc>
        <w:tc>
          <w:tcPr>
            <w:tcW w:w="21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499882"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enforcement mechanisms in place to deal with non-compliance with climate change regulations? </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Enforcement statistics for climate change related regulations guiding energy use, transportation, and building emissions</w:t>
            </w:r>
            <w:r w:rsidRPr="00343BD7">
              <w:rPr>
                <w:rFonts w:asciiTheme="majorHAnsi" w:eastAsia="Times New Roman" w:hAnsiTheme="majorHAnsi"/>
                <w:color w:val="auto"/>
                <w:sz w:val="16"/>
                <w:szCs w:val="16"/>
              </w:rPr>
              <w:br/>
              <w:t>- Fines associated with non-compliance</w:t>
            </w:r>
          </w:p>
        </w:tc>
      </w:tr>
      <w:tr w:rsidR="00343BD7" w:rsidRPr="00343BD7" w14:paraId="62334EA3" w14:textId="77777777" w:rsidTr="00343BD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43A56639" w14:textId="77777777" w:rsidR="00343BD7" w:rsidRPr="00343BD7" w:rsidRDefault="00343BD7" w:rsidP="00343BD7">
            <w:pPr>
              <w:spacing w:line="240" w:lineRule="auto"/>
              <w:rPr>
                <w:rFonts w:asciiTheme="majorHAnsi" w:eastAsia="Times New Roman" w:hAnsiTheme="majorHAnsi"/>
                <w:b/>
                <w:bCs/>
                <w:sz w:val="16"/>
                <w:szCs w:val="16"/>
              </w:rPr>
            </w:pPr>
            <w:r w:rsidRPr="00343BD7">
              <w:rPr>
                <w:rFonts w:asciiTheme="majorHAnsi" w:eastAsia="Times New Roman" w:hAnsiTheme="majorHAnsi"/>
                <w:b/>
                <w:bCs/>
                <w:sz w:val="16"/>
                <w:szCs w:val="16"/>
              </w:rPr>
              <w:t>Governance and Socio-Economic</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4F631D"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regulations in place that guide various social and governance structures? </w:t>
            </w:r>
            <w:r w:rsidRPr="00343BD7">
              <w:rPr>
                <w:rFonts w:asciiTheme="majorHAnsi" w:eastAsia="Times New Roman" w:hAnsiTheme="majorHAnsi"/>
                <w:color w:val="auto"/>
                <w:sz w:val="16"/>
                <w:szCs w:val="16"/>
              </w:rPr>
              <w:br/>
              <w:t xml:space="preserve">For example: </w:t>
            </w:r>
            <w:r w:rsidRPr="00343BD7">
              <w:rPr>
                <w:rFonts w:asciiTheme="majorHAnsi" w:eastAsia="Times New Roman" w:hAnsiTheme="majorHAnsi"/>
                <w:color w:val="auto"/>
                <w:sz w:val="16"/>
                <w:szCs w:val="16"/>
              </w:rPr>
              <w:br/>
              <w:t>- Government effectiveness, control of corruption, accountability, rule of law, regulatory quality, and political stability+</w:t>
            </w:r>
          </w:p>
        </w:tc>
        <w:tc>
          <w:tcPr>
            <w:tcW w:w="3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9A112B"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Are the regulations that guide various social and governance structures being complied with as evidenced by:</w:t>
            </w:r>
            <w:r w:rsidRPr="00343BD7">
              <w:rPr>
                <w:rFonts w:asciiTheme="majorHAnsi" w:eastAsia="Times New Roman" w:hAnsiTheme="majorHAnsi"/>
                <w:color w:val="auto"/>
                <w:sz w:val="16"/>
                <w:szCs w:val="16"/>
              </w:rPr>
              <w:br/>
              <w:t>- Comparative values for effectiveness or quality of governance related to qualities such as how well states manage employees, financial details and budgets, information and infrastructure as an overall assessment of the quality of management*</w:t>
            </w:r>
            <w:r w:rsidRPr="00343BD7">
              <w:rPr>
                <w:rFonts w:asciiTheme="majorHAnsi" w:eastAsia="Times New Roman" w:hAnsiTheme="majorHAnsi"/>
                <w:color w:val="auto"/>
                <w:sz w:val="16"/>
                <w:szCs w:val="16"/>
              </w:rPr>
              <w:br/>
              <w:t>- Comparative values of community and economic opportunity and mobility*</w:t>
            </w:r>
            <w:r w:rsidRPr="00343BD7">
              <w:rPr>
                <w:rFonts w:asciiTheme="majorHAnsi" w:eastAsia="Times New Roman" w:hAnsiTheme="majorHAnsi"/>
                <w:color w:val="auto"/>
                <w:sz w:val="16"/>
                <w:szCs w:val="16"/>
              </w:rPr>
              <w:br/>
              <w:t>- Comparative statistics of compliance with regulations regarding governement effectiveness, control of corruption, accountability, rule of law, regulatory quality, and political stability+</w:t>
            </w:r>
          </w:p>
        </w:tc>
        <w:tc>
          <w:tcPr>
            <w:tcW w:w="21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91A353"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Are there enforcement mechanisms in place to deal with non-compliance with the various social and governance structures regulation?</w:t>
            </w:r>
            <w:r w:rsidRPr="00343BD7">
              <w:rPr>
                <w:rFonts w:asciiTheme="majorHAnsi" w:eastAsia="Times New Roman" w:hAnsiTheme="majorHAnsi"/>
                <w:color w:val="auto"/>
                <w:sz w:val="16"/>
                <w:szCs w:val="16"/>
              </w:rPr>
              <w:br/>
              <w:t>For example:</w:t>
            </w:r>
            <w:r w:rsidRPr="00343BD7">
              <w:rPr>
                <w:rFonts w:asciiTheme="majorHAnsi" w:eastAsia="Times New Roman" w:hAnsiTheme="majorHAnsi"/>
                <w:color w:val="auto"/>
                <w:sz w:val="16"/>
                <w:szCs w:val="16"/>
              </w:rPr>
              <w:br/>
              <w:t>- Fines associated with non-compliance</w:t>
            </w:r>
          </w:p>
        </w:tc>
      </w:tr>
      <w:tr w:rsidR="00343BD7" w:rsidRPr="00343BD7" w14:paraId="37F94707" w14:textId="77777777" w:rsidTr="00343BD7">
        <w:trPr>
          <w:trHeight w:val="315"/>
        </w:trPr>
        <w:tc>
          <w:tcPr>
            <w:tcW w:w="1395" w:type="dxa"/>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center"/>
            <w:hideMark/>
          </w:tcPr>
          <w:p w14:paraId="655CB8DA" w14:textId="77777777" w:rsidR="00343BD7" w:rsidRPr="00343BD7" w:rsidRDefault="00343BD7" w:rsidP="00343BD7">
            <w:pPr>
              <w:spacing w:line="240" w:lineRule="auto"/>
              <w:rPr>
                <w:rFonts w:asciiTheme="majorHAnsi" w:eastAsia="Times New Roman" w:hAnsiTheme="majorHAnsi"/>
                <w:b/>
                <w:bCs/>
                <w:color w:val="auto"/>
                <w:sz w:val="16"/>
                <w:szCs w:val="16"/>
              </w:rPr>
            </w:pPr>
            <w:r w:rsidRPr="00343BD7">
              <w:rPr>
                <w:rFonts w:asciiTheme="majorHAnsi" w:eastAsia="Times New Roman" w:hAnsiTheme="majorHAnsi"/>
                <w:b/>
                <w:bCs/>
                <w:color w:val="auto"/>
                <w:sz w:val="16"/>
                <w:szCs w:val="16"/>
              </w:rPr>
              <w:t>Goal Specific Pressures</w:t>
            </w:r>
          </w:p>
        </w:tc>
        <w:tc>
          <w:tcPr>
            <w:tcW w:w="3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2C63C7"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there regulations in place that guide the governance of any of the specific 10 OHI goals? </w:t>
            </w:r>
            <w:r w:rsidRPr="00343BD7">
              <w:rPr>
                <w:rFonts w:asciiTheme="majorHAnsi" w:eastAsia="Times New Roman" w:hAnsiTheme="majorHAnsi"/>
                <w:color w:val="auto"/>
                <w:sz w:val="16"/>
                <w:szCs w:val="16"/>
              </w:rPr>
              <w:br/>
              <w:t xml:space="preserve">For example: </w:t>
            </w:r>
            <w:r w:rsidRPr="00343BD7">
              <w:rPr>
                <w:rFonts w:asciiTheme="majorHAnsi" w:eastAsia="Times New Roman" w:hAnsiTheme="majorHAnsi"/>
                <w:color w:val="auto"/>
                <w:sz w:val="16"/>
                <w:szCs w:val="16"/>
              </w:rPr>
              <w:br/>
              <w:t>- Regulations guiding the sustainably of mariculture or specific natural product extraction</w:t>
            </w:r>
            <w:r w:rsidRPr="00343BD7">
              <w:rPr>
                <w:rFonts w:asciiTheme="majorHAnsi" w:eastAsia="Times New Roman" w:hAnsiTheme="majorHAnsi"/>
                <w:color w:val="auto"/>
                <w:sz w:val="16"/>
                <w:szCs w:val="16"/>
              </w:rPr>
              <w:br/>
              <w:t>- Permitting requirements for mariculture pen siting, artisanal fishing opportunities, etc.</w:t>
            </w:r>
          </w:p>
        </w:tc>
        <w:tc>
          <w:tcPr>
            <w:tcW w:w="3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FCA84E"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Are the regulations that indicate compliance with the governance of any of the specific 10 OHI goals? </w:t>
            </w:r>
            <w:r w:rsidRPr="00343BD7">
              <w:rPr>
                <w:rFonts w:asciiTheme="majorHAnsi" w:eastAsia="Times New Roman" w:hAnsiTheme="majorHAnsi"/>
                <w:color w:val="auto"/>
                <w:sz w:val="16"/>
                <w:szCs w:val="16"/>
              </w:rPr>
              <w:br/>
              <w:t xml:space="preserve">For example: </w:t>
            </w:r>
            <w:r w:rsidRPr="00343BD7">
              <w:rPr>
                <w:rFonts w:asciiTheme="majorHAnsi" w:eastAsia="Times New Roman" w:hAnsiTheme="majorHAnsi"/>
                <w:color w:val="auto"/>
                <w:sz w:val="16"/>
                <w:szCs w:val="16"/>
              </w:rPr>
              <w:br/>
              <w:t>- Reports on comparative economic competiveness as it applies to the Livelihoods and Economies goal</w:t>
            </w:r>
          </w:p>
        </w:tc>
        <w:tc>
          <w:tcPr>
            <w:tcW w:w="21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D1781A"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Are there enforcement mechanisms in place to deal with non-compliance with the governance of one of the specific 10 OHI goals regulation?</w:t>
            </w:r>
          </w:p>
        </w:tc>
      </w:tr>
      <w:tr w:rsidR="00343BD7" w:rsidRPr="00343BD7" w14:paraId="70D237EA" w14:textId="77777777" w:rsidTr="001A21EF">
        <w:trPr>
          <w:trHeight w:val="315"/>
        </w:trPr>
        <w:tc>
          <w:tcPr>
            <w:tcW w:w="1030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69941"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See Halpern et al. 2014 for an example of use in the US West Coast assessment</w:t>
            </w:r>
          </w:p>
        </w:tc>
      </w:tr>
      <w:tr w:rsidR="00343BD7" w:rsidRPr="00343BD7" w14:paraId="6C4C614C" w14:textId="77777777" w:rsidTr="001A21EF">
        <w:trPr>
          <w:trHeight w:val="315"/>
        </w:trPr>
        <w:tc>
          <w:tcPr>
            <w:tcW w:w="1030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7FC06"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See Elfes et al. 2014 for an example of use in the Brazil assessment</w:t>
            </w:r>
          </w:p>
        </w:tc>
      </w:tr>
      <w:tr w:rsidR="00343BD7" w:rsidRPr="00343BD7" w14:paraId="58B466E6" w14:textId="77777777" w:rsidTr="001A21EF">
        <w:trPr>
          <w:trHeight w:val="315"/>
        </w:trPr>
        <w:tc>
          <w:tcPr>
            <w:tcW w:w="10305" w:type="dxa"/>
            <w:gridSpan w:val="4"/>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bottom"/>
            <w:hideMark/>
          </w:tcPr>
          <w:p w14:paraId="493D88C2" w14:textId="77777777" w:rsidR="00343BD7" w:rsidRPr="00343BD7" w:rsidRDefault="00343BD7" w:rsidP="00343BD7">
            <w:pPr>
              <w:spacing w:line="240" w:lineRule="auto"/>
              <w:rPr>
                <w:rFonts w:asciiTheme="majorHAnsi" w:eastAsia="Times New Roman" w:hAnsiTheme="majorHAnsi"/>
                <w:color w:val="auto"/>
                <w:sz w:val="16"/>
                <w:szCs w:val="16"/>
              </w:rPr>
            </w:pPr>
            <w:r w:rsidRPr="00343BD7">
              <w:rPr>
                <w:rFonts w:asciiTheme="majorHAnsi" w:eastAsia="Times New Roman" w:hAnsiTheme="majorHAnsi"/>
                <w:color w:val="auto"/>
                <w:sz w:val="16"/>
                <w:szCs w:val="16"/>
              </w:rPr>
              <w:t xml:space="preserve">+ See Halpern et al. 2012 for an example of use in the global assessment </w:t>
            </w:r>
          </w:p>
        </w:tc>
      </w:tr>
    </w:tbl>
    <w:p w14:paraId="1BDC5907" w14:textId="77777777" w:rsidR="00343BD7" w:rsidRDefault="00343BD7">
      <w:pPr>
        <w:rPr>
          <w:rFonts w:asciiTheme="majorHAnsi" w:hAnsiTheme="majorHAnsi"/>
        </w:rPr>
      </w:pPr>
    </w:p>
    <w:p w14:paraId="6F50225A" w14:textId="77777777" w:rsidR="00343BD7" w:rsidRPr="00343BD7" w:rsidRDefault="00343BD7" w:rsidP="00343BD7">
      <w:pPr>
        <w:pStyle w:val="Heading1"/>
      </w:pPr>
      <w:bookmarkStart w:id="1" w:name="_Toc384128570"/>
      <w:r w:rsidRPr="00343BD7">
        <w:lastRenderedPageBreak/>
        <w:t>Examples of how the US West Coast OHI assessment produced Resilience scores using the best available data:</w:t>
      </w:r>
    </w:p>
    <w:p w14:paraId="7042DB77" w14:textId="77777777" w:rsidR="00343BD7" w:rsidRPr="00343BD7" w:rsidRDefault="00343BD7" w:rsidP="00343BD7">
      <w:pPr>
        <w:rPr>
          <w:rFonts w:asciiTheme="majorHAnsi" w:hAnsiTheme="majorHAnsi"/>
          <w:b/>
          <w:bCs/>
          <w:lang w:val="x-none"/>
        </w:rPr>
      </w:pPr>
      <w:r w:rsidRPr="00343BD7">
        <w:rPr>
          <w:rFonts w:asciiTheme="majorHAnsi" w:hAnsiTheme="majorHAnsi"/>
          <w:b/>
          <w:bCs/>
        </w:rPr>
        <w:t xml:space="preserve">US West Coast </w:t>
      </w:r>
      <w:r w:rsidRPr="00343BD7">
        <w:rPr>
          <w:rFonts w:asciiTheme="majorHAnsi" w:hAnsiTheme="majorHAnsi"/>
          <w:b/>
          <w:bCs/>
          <w:lang w:val="x-none"/>
        </w:rPr>
        <w:t>Clean Water Enforcement and Regulation-</w:t>
      </w:r>
      <w:bookmarkEnd w:id="1"/>
    </w:p>
    <w:p w14:paraId="4FEA5F56" w14:textId="77777777" w:rsidR="00343BD7" w:rsidRPr="00343BD7" w:rsidRDefault="00343BD7" w:rsidP="00343BD7">
      <w:pPr>
        <w:rPr>
          <w:rFonts w:asciiTheme="majorHAnsi" w:hAnsiTheme="majorHAnsi"/>
        </w:rPr>
      </w:pPr>
      <w:r w:rsidRPr="00343BD7">
        <w:rPr>
          <w:rFonts w:asciiTheme="majorHAnsi" w:hAnsiTheme="majorHAnsi"/>
          <w:i/>
          <w:u w:val="single"/>
        </w:rPr>
        <w:t>Where used</w:t>
      </w:r>
      <w:r w:rsidRPr="00343BD7">
        <w:rPr>
          <w:rFonts w:asciiTheme="majorHAnsi" w:hAnsiTheme="majorHAnsi"/>
        </w:rPr>
        <w:t>: Resilience measure to address water pollution pressure</w:t>
      </w:r>
    </w:p>
    <w:p w14:paraId="6D5850DD" w14:textId="77777777" w:rsidR="00343BD7" w:rsidRPr="00343BD7" w:rsidRDefault="00343BD7" w:rsidP="00343BD7">
      <w:pPr>
        <w:rPr>
          <w:rFonts w:asciiTheme="majorHAnsi" w:hAnsiTheme="majorHAnsi"/>
        </w:rPr>
      </w:pPr>
      <w:r w:rsidRPr="00343BD7">
        <w:rPr>
          <w:rFonts w:asciiTheme="majorHAnsi" w:hAnsiTheme="majorHAnsi"/>
          <w:i/>
          <w:u w:val="single"/>
        </w:rPr>
        <w:t>Description</w:t>
      </w:r>
      <w:r w:rsidRPr="00343BD7">
        <w:rPr>
          <w:rFonts w:asciiTheme="majorHAnsi" w:hAnsiTheme="majorHAnsi"/>
        </w:rPr>
        <w:t xml:space="preserve">: The Clean Water Enforcement and Regulation resilience measure is a composite measure of 3 different enforcement and compliance metrics utilized by the US EPA National Pollutant Discharge Elimination System (NPDES) permit program, which acts to control water pollution by regulating point sources that discharge pollutants into US waters. Yearly metrics measuring the percentage of inspector coverage at NPDES major facilities, the ratio of actual to expected discharge monitoring report submissions, and the percentage of discharge facilities with compliance violations were obtained from the US EPA Enforcement &amp; Compliance History Online (ECHO) database (https://echo.epa.gov/ ) for California, Oregon and Washington. These values are reported on a 0-100% scale. We used the EPA established ‘National Goals’ for each metric as our reference resilience score. The national goal was 50% for inspector coverage, 95% for monitoring report submission, and 0% for compliance violations. For each of these three metrics we divided the observed value by its reference score (so that when it equals the reference it receives a perfect score of 1) and averaged them to come up with a resilience score for each state. </w:t>
      </w:r>
    </w:p>
    <w:p w14:paraId="70231A54" w14:textId="77777777" w:rsidR="00343BD7" w:rsidRPr="00343BD7" w:rsidRDefault="00343BD7" w:rsidP="00343BD7">
      <w:pPr>
        <w:rPr>
          <w:rFonts w:asciiTheme="majorHAnsi" w:hAnsiTheme="majorHAnsi"/>
        </w:rPr>
      </w:pPr>
    </w:p>
    <w:tbl>
      <w:tblPr>
        <w:tblW w:w="10997" w:type="dxa"/>
        <w:tblInd w:w="-899" w:type="dxa"/>
        <w:tblLayout w:type="fixed"/>
        <w:tblLook w:val="04A0" w:firstRow="1" w:lastRow="0" w:firstColumn="1" w:lastColumn="0" w:noHBand="0" w:noVBand="1"/>
      </w:tblPr>
      <w:tblGrid>
        <w:gridCol w:w="651"/>
        <w:gridCol w:w="936"/>
        <w:gridCol w:w="3802"/>
        <w:gridCol w:w="1440"/>
        <w:gridCol w:w="816"/>
        <w:gridCol w:w="894"/>
        <w:gridCol w:w="1350"/>
        <w:gridCol w:w="1108"/>
      </w:tblGrid>
      <w:tr w:rsidR="00343BD7" w:rsidRPr="00343BD7" w14:paraId="15953927" w14:textId="77777777" w:rsidTr="001A21EF">
        <w:trPr>
          <w:trHeight w:val="315"/>
        </w:trPr>
        <w:tc>
          <w:tcPr>
            <w:tcW w:w="9889" w:type="dxa"/>
            <w:gridSpan w:val="7"/>
            <w:tcBorders>
              <w:top w:val="single" w:sz="8" w:space="0" w:color="auto"/>
              <w:left w:val="single" w:sz="8" w:space="0" w:color="auto"/>
              <w:bottom w:val="single" w:sz="8" w:space="0" w:color="auto"/>
              <w:right w:val="nil"/>
            </w:tcBorders>
            <w:shd w:val="clear" w:color="000000" w:fill="92CDDC"/>
            <w:vAlign w:val="bottom"/>
            <w:hideMark/>
          </w:tcPr>
          <w:p w14:paraId="0DB60606" w14:textId="77777777" w:rsidR="00343BD7" w:rsidRPr="00343BD7" w:rsidRDefault="00343BD7" w:rsidP="00343BD7">
            <w:pPr>
              <w:rPr>
                <w:rFonts w:asciiTheme="majorHAnsi" w:hAnsiTheme="majorHAnsi"/>
                <w:b/>
                <w:bCs/>
              </w:rPr>
            </w:pPr>
            <w:r w:rsidRPr="00343BD7">
              <w:rPr>
                <w:rFonts w:asciiTheme="majorHAnsi" w:hAnsiTheme="majorHAnsi"/>
                <w:b/>
                <w:bCs/>
              </w:rPr>
              <w:t>Sustainability (3 Components)</w:t>
            </w:r>
          </w:p>
        </w:tc>
        <w:tc>
          <w:tcPr>
            <w:tcW w:w="1108" w:type="dxa"/>
            <w:tcBorders>
              <w:top w:val="single" w:sz="8" w:space="0" w:color="auto"/>
              <w:left w:val="nil"/>
              <w:bottom w:val="single" w:sz="8" w:space="0" w:color="auto"/>
              <w:right w:val="single" w:sz="8" w:space="0" w:color="auto"/>
            </w:tcBorders>
            <w:shd w:val="clear" w:color="000000" w:fill="92CDDC"/>
            <w:vAlign w:val="bottom"/>
            <w:hideMark/>
          </w:tcPr>
          <w:p w14:paraId="1B11D140" w14:textId="77777777" w:rsidR="00343BD7" w:rsidRPr="00343BD7" w:rsidRDefault="00343BD7" w:rsidP="00343BD7">
            <w:pPr>
              <w:rPr>
                <w:rFonts w:asciiTheme="majorHAnsi" w:hAnsiTheme="majorHAnsi"/>
                <w:b/>
                <w:bCs/>
              </w:rPr>
            </w:pPr>
            <w:r w:rsidRPr="00343BD7">
              <w:rPr>
                <w:rFonts w:asciiTheme="majorHAnsi" w:hAnsiTheme="majorHAnsi"/>
                <w:b/>
                <w:bCs/>
              </w:rPr>
              <w:t> </w:t>
            </w:r>
          </w:p>
        </w:tc>
      </w:tr>
      <w:tr w:rsidR="00343BD7" w:rsidRPr="00343BD7" w14:paraId="3A989616" w14:textId="77777777" w:rsidTr="001A21EF">
        <w:trPr>
          <w:trHeight w:val="169"/>
        </w:trPr>
        <w:tc>
          <w:tcPr>
            <w:tcW w:w="9889" w:type="dxa"/>
            <w:gridSpan w:val="7"/>
            <w:tcBorders>
              <w:top w:val="single" w:sz="8" w:space="0" w:color="auto"/>
              <w:left w:val="single" w:sz="8" w:space="0" w:color="auto"/>
              <w:bottom w:val="single" w:sz="8" w:space="0" w:color="auto"/>
              <w:right w:val="nil"/>
            </w:tcBorders>
            <w:shd w:val="clear" w:color="000000" w:fill="DAEEF3"/>
            <w:hideMark/>
          </w:tcPr>
          <w:p w14:paraId="18BE49CA" w14:textId="77777777" w:rsidR="00343BD7" w:rsidRPr="00343BD7" w:rsidRDefault="00343BD7" w:rsidP="00343BD7">
            <w:pPr>
              <w:rPr>
                <w:rFonts w:asciiTheme="majorHAnsi" w:hAnsiTheme="majorHAnsi"/>
                <w:b/>
                <w:bCs/>
              </w:rPr>
            </w:pPr>
            <w:r w:rsidRPr="00343BD7">
              <w:rPr>
                <w:rFonts w:asciiTheme="majorHAnsi" w:hAnsiTheme="majorHAnsi"/>
                <w:b/>
                <w:bCs/>
              </w:rPr>
              <w:t xml:space="preserve">1. Governance structure - </w:t>
            </w:r>
            <w:r w:rsidRPr="00343BD7">
              <w:rPr>
                <w:rFonts w:asciiTheme="majorHAnsi" w:hAnsiTheme="majorHAnsi"/>
              </w:rPr>
              <w:t>Good for all (All have governance structure present)</w:t>
            </w:r>
          </w:p>
        </w:tc>
        <w:tc>
          <w:tcPr>
            <w:tcW w:w="1108" w:type="dxa"/>
            <w:tcBorders>
              <w:top w:val="nil"/>
              <w:left w:val="nil"/>
              <w:bottom w:val="single" w:sz="8" w:space="0" w:color="auto"/>
              <w:right w:val="single" w:sz="8" w:space="0" w:color="auto"/>
            </w:tcBorders>
            <w:shd w:val="clear" w:color="000000" w:fill="DAEEF3"/>
            <w:vAlign w:val="bottom"/>
            <w:hideMark/>
          </w:tcPr>
          <w:p w14:paraId="57217BD6" w14:textId="77777777" w:rsidR="00343BD7" w:rsidRPr="00343BD7" w:rsidRDefault="00343BD7" w:rsidP="00343BD7">
            <w:pPr>
              <w:rPr>
                <w:rFonts w:asciiTheme="majorHAnsi" w:hAnsiTheme="majorHAnsi"/>
              </w:rPr>
            </w:pPr>
            <w:r w:rsidRPr="00343BD7">
              <w:rPr>
                <w:rFonts w:asciiTheme="majorHAnsi" w:hAnsiTheme="majorHAnsi"/>
              </w:rPr>
              <w:t> </w:t>
            </w:r>
          </w:p>
        </w:tc>
      </w:tr>
      <w:tr w:rsidR="00343BD7" w:rsidRPr="00343BD7" w14:paraId="52D8DC58" w14:textId="77777777" w:rsidTr="001A21EF">
        <w:trPr>
          <w:trHeight w:val="50"/>
        </w:trPr>
        <w:tc>
          <w:tcPr>
            <w:tcW w:w="9889" w:type="dxa"/>
            <w:gridSpan w:val="7"/>
            <w:tcBorders>
              <w:top w:val="single" w:sz="8" w:space="0" w:color="auto"/>
              <w:left w:val="single" w:sz="8" w:space="0" w:color="auto"/>
              <w:bottom w:val="single" w:sz="8" w:space="0" w:color="auto"/>
              <w:right w:val="nil"/>
            </w:tcBorders>
            <w:shd w:val="clear" w:color="000000" w:fill="DAEEF3"/>
            <w:vAlign w:val="bottom"/>
            <w:hideMark/>
          </w:tcPr>
          <w:p w14:paraId="0AC29F90" w14:textId="77777777" w:rsidR="00343BD7" w:rsidRPr="00343BD7" w:rsidRDefault="00343BD7" w:rsidP="00343BD7">
            <w:pPr>
              <w:rPr>
                <w:rFonts w:asciiTheme="majorHAnsi" w:hAnsiTheme="majorHAnsi"/>
                <w:b/>
                <w:bCs/>
              </w:rPr>
            </w:pPr>
            <w:r w:rsidRPr="00343BD7">
              <w:rPr>
                <w:rFonts w:asciiTheme="majorHAnsi" w:hAnsiTheme="majorHAnsi"/>
                <w:b/>
                <w:bCs/>
              </w:rPr>
              <w:t xml:space="preserve">2. Governance tools - Inspection coverage </w:t>
            </w:r>
            <w:r w:rsidRPr="00343BD7">
              <w:rPr>
                <w:rFonts w:asciiTheme="majorHAnsi" w:hAnsiTheme="majorHAnsi"/>
              </w:rPr>
              <w:t>(More inspection coverage the better)</w:t>
            </w:r>
          </w:p>
        </w:tc>
        <w:tc>
          <w:tcPr>
            <w:tcW w:w="1108" w:type="dxa"/>
            <w:tcBorders>
              <w:top w:val="nil"/>
              <w:left w:val="nil"/>
              <w:bottom w:val="single" w:sz="8" w:space="0" w:color="auto"/>
              <w:right w:val="single" w:sz="8" w:space="0" w:color="auto"/>
            </w:tcBorders>
            <w:shd w:val="clear" w:color="000000" w:fill="DAEEF3"/>
            <w:vAlign w:val="bottom"/>
            <w:hideMark/>
          </w:tcPr>
          <w:p w14:paraId="67701B6C" w14:textId="77777777" w:rsidR="00343BD7" w:rsidRPr="00343BD7" w:rsidRDefault="00343BD7" w:rsidP="00343BD7">
            <w:pPr>
              <w:rPr>
                <w:rFonts w:asciiTheme="majorHAnsi" w:hAnsiTheme="majorHAnsi"/>
              </w:rPr>
            </w:pPr>
            <w:r w:rsidRPr="00343BD7">
              <w:rPr>
                <w:rFonts w:asciiTheme="majorHAnsi" w:hAnsiTheme="majorHAnsi"/>
              </w:rPr>
              <w:t> </w:t>
            </w:r>
          </w:p>
        </w:tc>
      </w:tr>
      <w:tr w:rsidR="00343BD7" w:rsidRPr="00343BD7" w14:paraId="704CA50D" w14:textId="77777777" w:rsidTr="001A21EF">
        <w:trPr>
          <w:trHeight w:val="50"/>
        </w:trPr>
        <w:tc>
          <w:tcPr>
            <w:tcW w:w="651" w:type="dxa"/>
            <w:tcBorders>
              <w:top w:val="nil"/>
              <w:left w:val="single" w:sz="8" w:space="0" w:color="auto"/>
              <w:bottom w:val="nil"/>
              <w:right w:val="nil"/>
            </w:tcBorders>
            <w:shd w:val="clear" w:color="auto" w:fill="auto"/>
            <w:vAlign w:val="bottom"/>
            <w:hideMark/>
          </w:tcPr>
          <w:p w14:paraId="6489FB33" w14:textId="77777777" w:rsidR="00343BD7" w:rsidRPr="00343BD7" w:rsidRDefault="00343BD7" w:rsidP="00343BD7">
            <w:pPr>
              <w:rPr>
                <w:rFonts w:asciiTheme="majorHAnsi" w:hAnsiTheme="majorHAnsi"/>
                <w:b/>
                <w:bCs/>
              </w:rPr>
            </w:pPr>
            <w:r w:rsidRPr="00343BD7">
              <w:rPr>
                <w:rFonts w:asciiTheme="majorHAnsi" w:hAnsiTheme="majorHAnsi"/>
                <w:b/>
                <w:bCs/>
              </w:rPr>
              <w:t>State</w:t>
            </w:r>
          </w:p>
        </w:tc>
        <w:tc>
          <w:tcPr>
            <w:tcW w:w="936" w:type="dxa"/>
            <w:tcBorders>
              <w:top w:val="nil"/>
              <w:left w:val="nil"/>
              <w:bottom w:val="nil"/>
              <w:right w:val="nil"/>
            </w:tcBorders>
            <w:shd w:val="clear" w:color="auto" w:fill="auto"/>
            <w:vAlign w:val="bottom"/>
            <w:hideMark/>
          </w:tcPr>
          <w:p w14:paraId="1C76CE90" w14:textId="77777777" w:rsidR="00343BD7" w:rsidRPr="00343BD7" w:rsidRDefault="00343BD7" w:rsidP="00343BD7">
            <w:pPr>
              <w:rPr>
                <w:rFonts w:asciiTheme="majorHAnsi" w:hAnsiTheme="majorHAnsi"/>
                <w:b/>
                <w:bCs/>
              </w:rPr>
            </w:pPr>
            <w:r w:rsidRPr="00343BD7">
              <w:rPr>
                <w:rFonts w:asciiTheme="majorHAnsi" w:hAnsiTheme="majorHAnsi"/>
                <w:b/>
                <w:bCs/>
              </w:rPr>
              <w:t>Metric</w:t>
            </w:r>
          </w:p>
        </w:tc>
        <w:tc>
          <w:tcPr>
            <w:tcW w:w="3802" w:type="dxa"/>
            <w:tcBorders>
              <w:top w:val="nil"/>
              <w:left w:val="nil"/>
              <w:bottom w:val="nil"/>
              <w:right w:val="nil"/>
            </w:tcBorders>
            <w:shd w:val="clear" w:color="auto" w:fill="auto"/>
            <w:vAlign w:val="bottom"/>
            <w:hideMark/>
          </w:tcPr>
          <w:p w14:paraId="14DF2788" w14:textId="77777777" w:rsidR="00343BD7" w:rsidRPr="00343BD7" w:rsidRDefault="00343BD7" w:rsidP="00343BD7">
            <w:pPr>
              <w:rPr>
                <w:rFonts w:asciiTheme="majorHAnsi" w:hAnsiTheme="majorHAnsi"/>
                <w:b/>
                <w:bCs/>
              </w:rPr>
            </w:pPr>
            <w:r w:rsidRPr="00343BD7">
              <w:rPr>
                <w:rFonts w:asciiTheme="majorHAnsi" w:hAnsiTheme="majorHAnsi"/>
                <w:b/>
                <w:bCs/>
              </w:rPr>
              <w:t>Metric Description</w:t>
            </w:r>
          </w:p>
        </w:tc>
        <w:tc>
          <w:tcPr>
            <w:tcW w:w="1440" w:type="dxa"/>
            <w:tcBorders>
              <w:top w:val="nil"/>
              <w:left w:val="nil"/>
              <w:bottom w:val="nil"/>
              <w:right w:val="nil"/>
            </w:tcBorders>
            <w:shd w:val="clear" w:color="auto" w:fill="auto"/>
            <w:vAlign w:val="bottom"/>
            <w:hideMark/>
          </w:tcPr>
          <w:p w14:paraId="4FFC4F3E" w14:textId="77777777" w:rsidR="00343BD7" w:rsidRPr="00343BD7" w:rsidRDefault="00343BD7" w:rsidP="00343BD7">
            <w:pPr>
              <w:rPr>
                <w:rFonts w:asciiTheme="majorHAnsi" w:hAnsiTheme="majorHAnsi"/>
                <w:b/>
                <w:bCs/>
              </w:rPr>
            </w:pPr>
            <w:r w:rsidRPr="00343BD7">
              <w:rPr>
                <w:rFonts w:asciiTheme="majorHAnsi" w:hAnsiTheme="majorHAnsi"/>
                <w:b/>
                <w:bCs/>
              </w:rPr>
              <w:t>Metric Type</w:t>
            </w:r>
          </w:p>
        </w:tc>
        <w:tc>
          <w:tcPr>
            <w:tcW w:w="816" w:type="dxa"/>
            <w:tcBorders>
              <w:top w:val="nil"/>
              <w:left w:val="nil"/>
              <w:bottom w:val="nil"/>
              <w:right w:val="nil"/>
            </w:tcBorders>
            <w:shd w:val="clear" w:color="auto" w:fill="auto"/>
            <w:vAlign w:val="bottom"/>
            <w:hideMark/>
          </w:tcPr>
          <w:p w14:paraId="1D78D844" w14:textId="77777777" w:rsidR="00343BD7" w:rsidRPr="00343BD7" w:rsidRDefault="00343BD7" w:rsidP="00343BD7">
            <w:pPr>
              <w:rPr>
                <w:rFonts w:asciiTheme="majorHAnsi" w:hAnsiTheme="majorHAnsi"/>
                <w:b/>
                <w:bCs/>
              </w:rPr>
            </w:pPr>
            <w:r w:rsidRPr="00343BD7">
              <w:rPr>
                <w:rFonts w:asciiTheme="majorHAnsi" w:hAnsiTheme="majorHAnsi"/>
                <w:b/>
                <w:bCs/>
              </w:rPr>
              <w:t>2008</w:t>
            </w:r>
          </w:p>
        </w:tc>
        <w:tc>
          <w:tcPr>
            <w:tcW w:w="894" w:type="dxa"/>
            <w:tcBorders>
              <w:top w:val="nil"/>
              <w:left w:val="nil"/>
              <w:bottom w:val="nil"/>
              <w:right w:val="nil"/>
            </w:tcBorders>
            <w:shd w:val="clear" w:color="auto" w:fill="auto"/>
            <w:vAlign w:val="bottom"/>
            <w:hideMark/>
          </w:tcPr>
          <w:p w14:paraId="400D5AE8" w14:textId="77777777" w:rsidR="00343BD7" w:rsidRPr="00343BD7" w:rsidRDefault="00343BD7" w:rsidP="00343BD7">
            <w:pPr>
              <w:rPr>
                <w:rFonts w:asciiTheme="majorHAnsi" w:hAnsiTheme="majorHAnsi"/>
                <w:b/>
                <w:bCs/>
              </w:rPr>
            </w:pPr>
            <w:r w:rsidRPr="00343BD7">
              <w:rPr>
                <w:rFonts w:asciiTheme="majorHAnsi" w:hAnsiTheme="majorHAnsi"/>
                <w:b/>
                <w:bCs/>
              </w:rPr>
              <w:t>2009</w:t>
            </w:r>
          </w:p>
        </w:tc>
        <w:tc>
          <w:tcPr>
            <w:tcW w:w="1350" w:type="dxa"/>
            <w:tcBorders>
              <w:top w:val="nil"/>
              <w:left w:val="nil"/>
              <w:bottom w:val="nil"/>
              <w:right w:val="nil"/>
            </w:tcBorders>
            <w:shd w:val="clear" w:color="auto" w:fill="auto"/>
            <w:vAlign w:val="bottom"/>
            <w:hideMark/>
          </w:tcPr>
          <w:p w14:paraId="5B654494" w14:textId="77777777" w:rsidR="00343BD7" w:rsidRPr="00343BD7" w:rsidRDefault="00343BD7" w:rsidP="00343BD7">
            <w:pPr>
              <w:rPr>
                <w:rFonts w:asciiTheme="majorHAnsi" w:hAnsiTheme="majorHAnsi"/>
                <w:b/>
                <w:bCs/>
              </w:rPr>
            </w:pPr>
            <w:r w:rsidRPr="00343BD7">
              <w:rPr>
                <w:rFonts w:asciiTheme="majorHAnsi" w:hAnsiTheme="majorHAnsi"/>
                <w:b/>
                <w:bCs/>
              </w:rPr>
              <w:t>2010</w:t>
            </w:r>
          </w:p>
        </w:tc>
        <w:tc>
          <w:tcPr>
            <w:tcW w:w="1108" w:type="dxa"/>
            <w:tcBorders>
              <w:top w:val="nil"/>
              <w:left w:val="nil"/>
              <w:bottom w:val="nil"/>
              <w:right w:val="single" w:sz="8" w:space="0" w:color="auto"/>
            </w:tcBorders>
            <w:shd w:val="clear" w:color="auto" w:fill="auto"/>
            <w:vAlign w:val="bottom"/>
            <w:hideMark/>
          </w:tcPr>
          <w:p w14:paraId="5704DAD9" w14:textId="77777777" w:rsidR="00343BD7" w:rsidRPr="00343BD7" w:rsidRDefault="00343BD7" w:rsidP="00343BD7">
            <w:pPr>
              <w:rPr>
                <w:rFonts w:asciiTheme="majorHAnsi" w:hAnsiTheme="majorHAnsi"/>
                <w:b/>
                <w:bCs/>
              </w:rPr>
            </w:pPr>
            <w:r w:rsidRPr="00343BD7">
              <w:rPr>
                <w:rFonts w:asciiTheme="majorHAnsi" w:hAnsiTheme="majorHAnsi"/>
                <w:b/>
                <w:bCs/>
              </w:rPr>
              <w:t>Nat'l Goal</w:t>
            </w:r>
          </w:p>
        </w:tc>
      </w:tr>
      <w:tr w:rsidR="00343BD7" w:rsidRPr="00343BD7" w14:paraId="41B2B214" w14:textId="77777777" w:rsidTr="001A21EF">
        <w:trPr>
          <w:trHeight w:val="70"/>
        </w:trPr>
        <w:tc>
          <w:tcPr>
            <w:tcW w:w="651" w:type="dxa"/>
            <w:tcBorders>
              <w:top w:val="nil"/>
              <w:left w:val="single" w:sz="8" w:space="0" w:color="auto"/>
              <w:bottom w:val="nil"/>
              <w:right w:val="nil"/>
            </w:tcBorders>
            <w:shd w:val="clear" w:color="000000" w:fill="FFFF00"/>
            <w:vAlign w:val="bottom"/>
            <w:hideMark/>
          </w:tcPr>
          <w:p w14:paraId="4764C4FB" w14:textId="77777777" w:rsidR="00343BD7" w:rsidRPr="00343BD7" w:rsidRDefault="00343BD7" w:rsidP="00343BD7">
            <w:pPr>
              <w:rPr>
                <w:rFonts w:asciiTheme="majorHAnsi" w:hAnsiTheme="majorHAnsi"/>
              </w:rPr>
            </w:pPr>
            <w:r w:rsidRPr="00343BD7">
              <w:rPr>
                <w:rFonts w:asciiTheme="majorHAnsi" w:hAnsiTheme="majorHAnsi"/>
              </w:rPr>
              <w:t>CA</w:t>
            </w:r>
          </w:p>
        </w:tc>
        <w:tc>
          <w:tcPr>
            <w:tcW w:w="936" w:type="dxa"/>
            <w:tcBorders>
              <w:top w:val="nil"/>
              <w:left w:val="single" w:sz="8" w:space="0" w:color="auto"/>
              <w:bottom w:val="nil"/>
              <w:right w:val="nil"/>
            </w:tcBorders>
            <w:shd w:val="clear" w:color="000000" w:fill="FFFF00"/>
            <w:vAlign w:val="bottom"/>
            <w:hideMark/>
          </w:tcPr>
          <w:p w14:paraId="7FE5A254" w14:textId="77777777" w:rsidR="00343BD7" w:rsidRPr="00343BD7" w:rsidRDefault="00343BD7" w:rsidP="00343BD7">
            <w:pPr>
              <w:rPr>
                <w:rFonts w:asciiTheme="majorHAnsi" w:hAnsiTheme="majorHAnsi"/>
              </w:rPr>
            </w:pPr>
            <w:r w:rsidRPr="00343BD7">
              <w:rPr>
                <w:rFonts w:asciiTheme="majorHAnsi" w:hAnsiTheme="majorHAnsi"/>
              </w:rPr>
              <w:t>W05A0C</w:t>
            </w:r>
          </w:p>
        </w:tc>
        <w:tc>
          <w:tcPr>
            <w:tcW w:w="3802" w:type="dxa"/>
            <w:tcBorders>
              <w:top w:val="nil"/>
              <w:left w:val="nil"/>
              <w:bottom w:val="nil"/>
              <w:right w:val="nil"/>
            </w:tcBorders>
            <w:shd w:val="clear" w:color="000000" w:fill="FFFF00"/>
            <w:vAlign w:val="bottom"/>
            <w:hideMark/>
          </w:tcPr>
          <w:p w14:paraId="279165DB" w14:textId="77777777" w:rsidR="00343BD7" w:rsidRPr="00343BD7" w:rsidRDefault="00343BD7" w:rsidP="00343BD7">
            <w:pPr>
              <w:rPr>
                <w:rFonts w:asciiTheme="majorHAnsi" w:hAnsiTheme="majorHAnsi"/>
              </w:rPr>
            </w:pPr>
            <w:r w:rsidRPr="00343BD7">
              <w:rPr>
                <w:rFonts w:asciiTheme="majorHAnsi" w:hAnsiTheme="majorHAnsi"/>
              </w:rPr>
              <w:t>Inspection coverage: NPDES majors (1 FY)</w:t>
            </w:r>
          </w:p>
        </w:tc>
        <w:tc>
          <w:tcPr>
            <w:tcW w:w="1440" w:type="dxa"/>
            <w:tcBorders>
              <w:top w:val="nil"/>
              <w:left w:val="nil"/>
              <w:bottom w:val="nil"/>
              <w:right w:val="nil"/>
            </w:tcBorders>
            <w:shd w:val="clear" w:color="000000" w:fill="FFFF00"/>
            <w:vAlign w:val="bottom"/>
            <w:hideMark/>
          </w:tcPr>
          <w:p w14:paraId="0FFD476C" w14:textId="77777777" w:rsidR="00343BD7" w:rsidRPr="00343BD7" w:rsidRDefault="00343BD7" w:rsidP="00343BD7">
            <w:pPr>
              <w:rPr>
                <w:rFonts w:asciiTheme="majorHAnsi" w:hAnsiTheme="majorHAnsi"/>
              </w:rPr>
            </w:pPr>
            <w:r w:rsidRPr="00343BD7">
              <w:rPr>
                <w:rFonts w:asciiTheme="majorHAnsi" w:hAnsiTheme="majorHAnsi"/>
              </w:rPr>
              <w:t>Goal</w:t>
            </w:r>
          </w:p>
        </w:tc>
        <w:tc>
          <w:tcPr>
            <w:tcW w:w="816" w:type="dxa"/>
            <w:tcBorders>
              <w:top w:val="nil"/>
              <w:left w:val="nil"/>
              <w:bottom w:val="nil"/>
              <w:right w:val="nil"/>
            </w:tcBorders>
            <w:shd w:val="clear" w:color="000000" w:fill="FFFF00"/>
            <w:vAlign w:val="bottom"/>
            <w:hideMark/>
          </w:tcPr>
          <w:p w14:paraId="02A9AAF1" w14:textId="77777777" w:rsidR="00343BD7" w:rsidRPr="00343BD7" w:rsidRDefault="00343BD7" w:rsidP="00343BD7">
            <w:pPr>
              <w:rPr>
                <w:rFonts w:asciiTheme="majorHAnsi" w:hAnsiTheme="majorHAnsi"/>
              </w:rPr>
            </w:pPr>
            <w:r w:rsidRPr="00343BD7">
              <w:rPr>
                <w:rFonts w:asciiTheme="majorHAnsi" w:hAnsiTheme="majorHAnsi"/>
              </w:rPr>
              <w:t>76.8%</w:t>
            </w:r>
          </w:p>
        </w:tc>
        <w:tc>
          <w:tcPr>
            <w:tcW w:w="894" w:type="dxa"/>
            <w:tcBorders>
              <w:top w:val="nil"/>
              <w:left w:val="nil"/>
              <w:bottom w:val="nil"/>
              <w:right w:val="nil"/>
            </w:tcBorders>
            <w:shd w:val="clear" w:color="000000" w:fill="FFFF00"/>
            <w:vAlign w:val="bottom"/>
            <w:hideMark/>
          </w:tcPr>
          <w:p w14:paraId="420F9593" w14:textId="77777777" w:rsidR="00343BD7" w:rsidRPr="00343BD7" w:rsidRDefault="00343BD7" w:rsidP="00343BD7">
            <w:pPr>
              <w:rPr>
                <w:rFonts w:asciiTheme="majorHAnsi" w:hAnsiTheme="majorHAnsi"/>
              </w:rPr>
            </w:pPr>
            <w:r w:rsidRPr="00343BD7">
              <w:rPr>
                <w:rFonts w:asciiTheme="majorHAnsi" w:hAnsiTheme="majorHAnsi"/>
              </w:rPr>
              <w:t>83.20%</w:t>
            </w:r>
          </w:p>
        </w:tc>
        <w:tc>
          <w:tcPr>
            <w:tcW w:w="1350" w:type="dxa"/>
            <w:tcBorders>
              <w:top w:val="nil"/>
              <w:left w:val="nil"/>
              <w:bottom w:val="nil"/>
              <w:right w:val="nil"/>
            </w:tcBorders>
            <w:shd w:val="clear" w:color="000000" w:fill="FFFF00"/>
            <w:vAlign w:val="bottom"/>
            <w:hideMark/>
          </w:tcPr>
          <w:p w14:paraId="6AEA00D1" w14:textId="77777777" w:rsidR="00343BD7" w:rsidRPr="00343BD7" w:rsidRDefault="00343BD7" w:rsidP="00343BD7">
            <w:pPr>
              <w:rPr>
                <w:rFonts w:asciiTheme="majorHAnsi" w:hAnsiTheme="majorHAnsi"/>
              </w:rPr>
            </w:pPr>
            <w:r w:rsidRPr="00343BD7">
              <w:rPr>
                <w:rFonts w:asciiTheme="majorHAnsi" w:hAnsiTheme="majorHAnsi"/>
              </w:rPr>
              <w:t>78.80%</w:t>
            </w:r>
          </w:p>
        </w:tc>
        <w:tc>
          <w:tcPr>
            <w:tcW w:w="1108" w:type="dxa"/>
            <w:tcBorders>
              <w:top w:val="nil"/>
              <w:left w:val="nil"/>
              <w:bottom w:val="nil"/>
              <w:right w:val="single" w:sz="8" w:space="0" w:color="auto"/>
            </w:tcBorders>
            <w:shd w:val="clear" w:color="000000" w:fill="D9D9D9"/>
            <w:vAlign w:val="bottom"/>
            <w:hideMark/>
          </w:tcPr>
          <w:p w14:paraId="2E2E4FA8" w14:textId="77777777" w:rsidR="00343BD7" w:rsidRPr="00343BD7" w:rsidRDefault="00343BD7" w:rsidP="00343BD7">
            <w:pPr>
              <w:rPr>
                <w:rFonts w:asciiTheme="majorHAnsi" w:hAnsiTheme="majorHAnsi"/>
              </w:rPr>
            </w:pPr>
            <w:r w:rsidRPr="00343BD7">
              <w:rPr>
                <w:rFonts w:asciiTheme="majorHAnsi" w:hAnsiTheme="majorHAnsi"/>
              </w:rPr>
              <w:t>50.00%</w:t>
            </w:r>
          </w:p>
        </w:tc>
      </w:tr>
      <w:tr w:rsidR="00343BD7" w:rsidRPr="00343BD7" w14:paraId="555E2D46" w14:textId="77777777" w:rsidTr="001A21EF">
        <w:trPr>
          <w:trHeight w:val="70"/>
        </w:trPr>
        <w:tc>
          <w:tcPr>
            <w:tcW w:w="651" w:type="dxa"/>
            <w:tcBorders>
              <w:top w:val="nil"/>
              <w:left w:val="single" w:sz="8" w:space="0" w:color="auto"/>
              <w:bottom w:val="nil"/>
              <w:right w:val="nil"/>
            </w:tcBorders>
            <w:shd w:val="clear" w:color="000000" w:fill="FFC000"/>
            <w:vAlign w:val="bottom"/>
            <w:hideMark/>
          </w:tcPr>
          <w:p w14:paraId="7F667F21" w14:textId="77777777" w:rsidR="00343BD7" w:rsidRPr="00343BD7" w:rsidRDefault="00343BD7" w:rsidP="00343BD7">
            <w:pPr>
              <w:rPr>
                <w:rFonts w:asciiTheme="majorHAnsi" w:hAnsiTheme="majorHAnsi"/>
              </w:rPr>
            </w:pPr>
            <w:r w:rsidRPr="00343BD7">
              <w:rPr>
                <w:rFonts w:asciiTheme="majorHAnsi" w:hAnsiTheme="majorHAnsi"/>
              </w:rPr>
              <w:t>OR</w:t>
            </w:r>
          </w:p>
        </w:tc>
        <w:tc>
          <w:tcPr>
            <w:tcW w:w="936" w:type="dxa"/>
            <w:tcBorders>
              <w:top w:val="nil"/>
              <w:left w:val="nil"/>
              <w:bottom w:val="nil"/>
              <w:right w:val="nil"/>
            </w:tcBorders>
            <w:shd w:val="clear" w:color="000000" w:fill="FFC000"/>
            <w:vAlign w:val="bottom"/>
            <w:hideMark/>
          </w:tcPr>
          <w:p w14:paraId="1A281B56" w14:textId="77777777" w:rsidR="00343BD7" w:rsidRPr="00343BD7" w:rsidRDefault="00343BD7" w:rsidP="00343BD7">
            <w:pPr>
              <w:rPr>
                <w:rFonts w:asciiTheme="majorHAnsi" w:hAnsiTheme="majorHAnsi"/>
              </w:rPr>
            </w:pPr>
            <w:r w:rsidRPr="00343BD7">
              <w:rPr>
                <w:rFonts w:asciiTheme="majorHAnsi" w:hAnsiTheme="majorHAnsi"/>
              </w:rPr>
              <w:t>W05A0C</w:t>
            </w:r>
          </w:p>
        </w:tc>
        <w:tc>
          <w:tcPr>
            <w:tcW w:w="3802" w:type="dxa"/>
            <w:tcBorders>
              <w:top w:val="nil"/>
              <w:left w:val="nil"/>
              <w:bottom w:val="nil"/>
              <w:right w:val="nil"/>
            </w:tcBorders>
            <w:shd w:val="clear" w:color="000000" w:fill="FFC000"/>
            <w:vAlign w:val="bottom"/>
            <w:hideMark/>
          </w:tcPr>
          <w:p w14:paraId="0FAD7FF2" w14:textId="77777777" w:rsidR="00343BD7" w:rsidRPr="00343BD7" w:rsidRDefault="00343BD7" w:rsidP="00343BD7">
            <w:pPr>
              <w:rPr>
                <w:rFonts w:asciiTheme="majorHAnsi" w:hAnsiTheme="majorHAnsi"/>
              </w:rPr>
            </w:pPr>
            <w:r w:rsidRPr="00343BD7">
              <w:rPr>
                <w:rFonts w:asciiTheme="majorHAnsi" w:hAnsiTheme="majorHAnsi"/>
              </w:rPr>
              <w:t>Inspection coverage: NPDES majors (1 FY)</w:t>
            </w:r>
          </w:p>
        </w:tc>
        <w:tc>
          <w:tcPr>
            <w:tcW w:w="1440" w:type="dxa"/>
            <w:tcBorders>
              <w:top w:val="nil"/>
              <w:left w:val="nil"/>
              <w:bottom w:val="nil"/>
              <w:right w:val="nil"/>
            </w:tcBorders>
            <w:shd w:val="clear" w:color="000000" w:fill="FFC000"/>
            <w:vAlign w:val="bottom"/>
            <w:hideMark/>
          </w:tcPr>
          <w:p w14:paraId="0E122841" w14:textId="77777777" w:rsidR="00343BD7" w:rsidRPr="00343BD7" w:rsidRDefault="00343BD7" w:rsidP="00343BD7">
            <w:pPr>
              <w:rPr>
                <w:rFonts w:asciiTheme="majorHAnsi" w:hAnsiTheme="majorHAnsi"/>
              </w:rPr>
            </w:pPr>
            <w:r w:rsidRPr="00343BD7">
              <w:rPr>
                <w:rFonts w:asciiTheme="majorHAnsi" w:hAnsiTheme="majorHAnsi"/>
              </w:rPr>
              <w:t>Goal</w:t>
            </w:r>
          </w:p>
        </w:tc>
        <w:tc>
          <w:tcPr>
            <w:tcW w:w="816" w:type="dxa"/>
            <w:tcBorders>
              <w:top w:val="nil"/>
              <w:left w:val="nil"/>
              <w:bottom w:val="nil"/>
              <w:right w:val="nil"/>
            </w:tcBorders>
            <w:shd w:val="clear" w:color="000000" w:fill="FFC000"/>
            <w:vAlign w:val="bottom"/>
            <w:hideMark/>
          </w:tcPr>
          <w:p w14:paraId="699F0813" w14:textId="77777777" w:rsidR="00343BD7" w:rsidRPr="00343BD7" w:rsidRDefault="00343BD7" w:rsidP="00343BD7">
            <w:pPr>
              <w:rPr>
                <w:rFonts w:asciiTheme="majorHAnsi" w:hAnsiTheme="majorHAnsi"/>
              </w:rPr>
            </w:pPr>
            <w:r w:rsidRPr="00343BD7">
              <w:rPr>
                <w:rFonts w:asciiTheme="majorHAnsi" w:hAnsiTheme="majorHAnsi"/>
              </w:rPr>
              <w:t>48.50%</w:t>
            </w:r>
          </w:p>
        </w:tc>
        <w:tc>
          <w:tcPr>
            <w:tcW w:w="894" w:type="dxa"/>
            <w:tcBorders>
              <w:top w:val="nil"/>
              <w:left w:val="nil"/>
              <w:bottom w:val="nil"/>
              <w:right w:val="nil"/>
            </w:tcBorders>
            <w:shd w:val="clear" w:color="000000" w:fill="FFC000"/>
            <w:vAlign w:val="bottom"/>
            <w:hideMark/>
          </w:tcPr>
          <w:p w14:paraId="15059F2A" w14:textId="77777777" w:rsidR="00343BD7" w:rsidRPr="00343BD7" w:rsidRDefault="00343BD7" w:rsidP="00343BD7">
            <w:pPr>
              <w:rPr>
                <w:rFonts w:asciiTheme="majorHAnsi" w:hAnsiTheme="majorHAnsi"/>
              </w:rPr>
            </w:pPr>
            <w:r w:rsidRPr="00343BD7">
              <w:rPr>
                <w:rFonts w:asciiTheme="majorHAnsi" w:hAnsiTheme="majorHAnsi"/>
              </w:rPr>
              <w:t>45.60%</w:t>
            </w:r>
          </w:p>
        </w:tc>
        <w:tc>
          <w:tcPr>
            <w:tcW w:w="1350" w:type="dxa"/>
            <w:tcBorders>
              <w:top w:val="nil"/>
              <w:left w:val="nil"/>
              <w:bottom w:val="nil"/>
              <w:right w:val="nil"/>
            </w:tcBorders>
            <w:shd w:val="clear" w:color="000000" w:fill="FFC000"/>
            <w:vAlign w:val="bottom"/>
            <w:hideMark/>
          </w:tcPr>
          <w:p w14:paraId="13B7D511" w14:textId="77777777" w:rsidR="00343BD7" w:rsidRPr="00343BD7" w:rsidRDefault="00343BD7" w:rsidP="00343BD7">
            <w:pPr>
              <w:rPr>
                <w:rFonts w:asciiTheme="majorHAnsi" w:hAnsiTheme="majorHAnsi"/>
              </w:rPr>
            </w:pPr>
            <w:r w:rsidRPr="00343BD7">
              <w:rPr>
                <w:rFonts w:asciiTheme="majorHAnsi" w:hAnsiTheme="majorHAnsi"/>
              </w:rPr>
              <w:t>45.60%</w:t>
            </w:r>
          </w:p>
        </w:tc>
        <w:tc>
          <w:tcPr>
            <w:tcW w:w="1108" w:type="dxa"/>
            <w:tcBorders>
              <w:top w:val="nil"/>
              <w:left w:val="nil"/>
              <w:bottom w:val="nil"/>
              <w:right w:val="single" w:sz="8" w:space="0" w:color="auto"/>
            </w:tcBorders>
            <w:shd w:val="clear" w:color="000000" w:fill="D9D9D9"/>
            <w:vAlign w:val="bottom"/>
            <w:hideMark/>
          </w:tcPr>
          <w:p w14:paraId="0E75B99B" w14:textId="77777777" w:rsidR="00343BD7" w:rsidRPr="00343BD7" w:rsidRDefault="00343BD7" w:rsidP="00343BD7">
            <w:pPr>
              <w:rPr>
                <w:rFonts w:asciiTheme="majorHAnsi" w:hAnsiTheme="majorHAnsi"/>
              </w:rPr>
            </w:pPr>
            <w:r w:rsidRPr="00343BD7">
              <w:rPr>
                <w:rFonts w:asciiTheme="majorHAnsi" w:hAnsiTheme="majorHAnsi"/>
              </w:rPr>
              <w:t>50.00%</w:t>
            </w:r>
          </w:p>
        </w:tc>
      </w:tr>
      <w:tr w:rsidR="00343BD7" w:rsidRPr="00343BD7" w14:paraId="3AF452BF" w14:textId="77777777" w:rsidTr="001A21EF">
        <w:trPr>
          <w:trHeight w:val="70"/>
        </w:trPr>
        <w:tc>
          <w:tcPr>
            <w:tcW w:w="651" w:type="dxa"/>
            <w:tcBorders>
              <w:top w:val="nil"/>
              <w:left w:val="single" w:sz="8" w:space="0" w:color="auto"/>
              <w:bottom w:val="nil"/>
              <w:right w:val="nil"/>
            </w:tcBorders>
            <w:shd w:val="clear" w:color="000000" w:fill="92D050"/>
            <w:vAlign w:val="bottom"/>
            <w:hideMark/>
          </w:tcPr>
          <w:p w14:paraId="18FBB897" w14:textId="77777777" w:rsidR="00343BD7" w:rsidRPr="00343BD7" w:rsidRDefault="00343BD7" w:rsidP="00343BD7">
            <w:pPr>
              <w:rPr>
                <w:rFonts w:asciiTheme="majorHAnsi" w:hAnsiTheme="majorHAnsi"/>
              </w:rPr>
            </w:pPr>
            <w:r w:rsidRPr="00343BD7">
              <w:rPr>
                <w:rFonts w:asciiTheme="majorHAnsi" w:hAnsiTheme="majorHAnsi"/>
              </w:rPr>
              <w:t>WA</w:t>
            </w:r>
          </w:p>
        </w:tc>
        <w:tc>
          <w:tcPr>
            <w:tcW w:w="936" w:type="dxa"/>
            <w:tcBorders>
              <w:top w:val="nil"/>
              <w:left w:val="nil"/>
              <w:bottom w:val="nil"/>
              <w:right w:val="nil"/>
            </w:tcBorders>
            <w:shd w:val="clear" w:color="000000" w:fill="92D050"/>
            <w:vAlign w:val="bottom"/>
            <w:hideMark/>
          </w:tcPr>
          <w:p w14:paraId="0BE52A63" w14:textId="77777777" w:rsidR="00343BD7" w:rsidRPr="00343BD7" w:rsidRDefault="00343BD7" w:rsidP="00343BD7">
            <w:pPr>
              <w:rPr>
                <w:rFonts w:asciiTheme="majorHAnsi" w:hAnsiTheme="majorHAnsi"/>
              </w:rPr>
            </w:pPr>
            <w:r w:rsidRPr="00343BD7">
              <w:rPr>
                <w:rFonts w:asciiTheme="majorHAnsi" w:hAnsiTheme="majorHAnsi"/>
              </w:rPr>
              <w:t>W05A0C</w:t>
            </w:r>
          </w:p>
        </w:tc>
        <w:tc>
          <w:tcPr>
            <w:tcW w:w="3802" w:type="dxa"/>
            <w:tcBorders>
              <w:top w:val="nil"/>
              <w:left w:val="nil"/>
              <w:bottom w:val="nil"/>
              <w:right w:val="nil"/>
            </w:tcBorders>
            <w:shd w:val="clear" w:color="000000" w:fill="92D050"/>
            <w:vAlign w:val="bottom"/>
            <w:hideMark/>
          </w:tcPr>
          <w:p w14:paraId="7197CDE9" w14:textId="77777777" w:rsidR="00343BD7" w:rsidRPr="00343BD7" w:rsidRDefault="00343BD7" w:rsidP="00343BD7">
            <w:pPr>
              <w:rPr>
                <w:rFonts w:asciiTheme="majorHAnsi" w:hAnsiTheme="majorHAnsi"/>
              </w:rPr>
            </w:pPr>
            <w:r w:rsidRPr="00343BD7">
              <w:rPr>
                <w:rFonts w:asciiTheme="majorHAnsi" w:hAnsiTheme="majorHAnsi"/>
              </w:rPr>
              <w:t>Inspection coverage: NPDES majors (1 FY)</w:t>
            </w:r>
          </w:p>
        </w:tc>
        <w:tc>
          <w:tcPr>
            <w:tcW w:w="1440" w:type="dxa"/>
            <w:tcBorders>
              <w:top w:val="nil"/>
              <w:left w:val="nil"/>
              <w:bottom w:val="nil"/>
              <w:right w:val="nil"/>
            </w:tcBorders>
            <w:shd w:val="clear" w:color="000000" w:fill="92D050"/>
            <w:vAlign w:val="bottom"/>
            <w:hideMark/>
          </w:tcPr>
          <w:p w14:paraId="67C35B74" w14:textId="77777777" w:rsidR="00343BD7" w:rsidRPr="00343BD7" w:rsidRDefault="00343BD7" w:rsidP="00343BD7">
            <w:pPr>
              <w:rPr>
                <w:rFonts w:asciiTheme="majorHAnsi" w:hAnsiTheme="majorHAnsi"/>
              </w:rPr>
            </w:pPr>
            <w:r w:rsidRPr="00343BD7">
              <w:rPr>
                <w:rFonts w:asciiTheme="majorHAnsi" w:hAnsiTheme="majorHAnsi"/>
              </w:rPr>
              <w:t>Goal</w:t>
            </w:r>
          </w:p>
        </w:tc>
        <w:tc>
          <w:tcPr>
            <w:tcW w:w="816" w:type="dxa"/>
            <w:tcBorders>
              <w:top w:val="nil"/>
              <w:left w:val="nil"/>
              <w:bottom w:val="nil"/>
              <w:right w:val="nil"/>
            </w:tcBorders>
            <w:shd w:val="clear" w:color="000000" w:fill="92D050"/>
            <w:vAlign w:val="bottom"/>
            <w:hideMark/>
          </w:tcPr>
          <w:p w14:paraId="4C985C10" w14:textId="77777777" w:rsidR="00343BD7" w:rsidRPr="00343BD7" w:rsidRDefault="00343BD7" w:rsidP="00343BD7">
            <w:pPr>
              <w:rPr>
                <w:rFonts w:asciiTheme="majorHAnsi" w:hAnsiTheme="majorHAnsi"/>
              </w:rPr>
            </w:pPr>
            <w:r w:rsidRPr="00343BD7">
              <w:rPr>
                <w:rFonts w:asciiTheme="majorHAnsi" w:hAnsiTheme="majorHAnsi"/>
              </w:rPr>
              <w:t>6.6%</w:t>
            </w:r>
          </w:p>
        </w:tc>
        <w:tc>
          <w:tcPr>
            <w:tcW w:w="894" w:type="dxa"/>
            <w:tcBorders>
              <w:top w:val="nil"/>
              <w:left w:val="nil"/>
              <w:bottom w:val="nil"/>
              <w:right w:val="nil"/>
            </w:tcBorders>
            <w:shd w:val="clear" w:color="000000" w:fill="92D050"/>
            <w:vAlign w:val="bottom"/>
            <w:hideMark/>
          </w:tcPr>
          <w:p w14:paraId="0C10B35F" w14:textId="77777777" w:rsidR="00343BD7" w:rsidRPr="00343BD7" w:rsidRDefault="00343BD7" w:rsidP="00343BD7">
            <w:pPr>
              <w:rPr>
                <w:rFonts w:asciiTheme="majorHAnsi" w:hAnsiTheme="majorHAnsi"/>
              </w:rPr>
            </w:pPr>
            <w:r w:rsidRPr="00343BD7">
              <w:rPr>
                <w:rFonts w:asciiTheme="majorHAnsi" w:hAnsiTheme="majorHAnsi"/>
              </w:rPr>
              <w:t xml:space="preserve"> 4.1%  </w:t>
            </w:r>
          </w:p>
        </w:tc>
        <w:tc>
          <w:tcPr>
            <w:tcW w:w="1350" w:type="dxa"/>
            <w:tcBorders>
              <w:top w:val="nil"/>
              <w:left w:val="nil"/>
              <w:bottom w:val="nil"/>
              <w:right w:val="nil"/>
            </w:tcBorders>
            <w:shd w:val="clear" w:color="000000" w:fill="92D050"/>
            <w:vAlign w:val="bottom"/>
            <w:hideMark/>
          </w:tcPr>
          <w:p w14:paraId="77BE0A04" w14:textId="77777777" w:rsidR="00343BD7" w:rsidRPr="00343BD7" w:rsidRDefault="00343BD7" w:rsidP="00343BD7">
            <w:pPr>
              <w:rPr>
                <w:rFonts w:asciiTheme="majorHAnsi" w:hAnsiTheme="majorHAnsi"/>
              </w:rPr>
            </w:pPr>
            <w:r w:rsidRPr="00343BD7">
              <w:rPr>
                <w:rFonts w:asciiTheme="majorHAnsi" w:hAnsiTheme="majorHAnsi"/>
              </w:rPr>
              <w:t>1.40%</w:t>
            </w:r>
          </w:p>
        </w:tc>
        <w:tc>
          <w:tcPr>
            <w:tcW w:w="1108" w:type="dxa"/>
            <w:tcBorders>
              <w:top w:val="nil"/>
              <w:left w:val="nil"/>
              <w:bottom w:val="nil"/>
              <w:right w:val="single" w:sz="8" w:space="0" w:color="auto"/>
            </w:tcBorders>
            <w:shd w:val="clear" w:color="000000" w:fill="D9D9D9"/>
            <w:vAlign w:val="bottom"/>
            <w:hideMark/>
          </w:tcPr>
          <w:p w14:paraId="509338BC" w14:textId="77777777" w:rsidR="00343BD7" w:rsidRPr="00343BD7" w:rsidRDefault="00343BD7" w:rsidP="00343BD7">
            <w:pPr>
              <w:rPr>
                <w:rFonts w:asciiTheme="majorHAnsi" w:hAnsiTheme="majorHAnsi"/>
              </w:rPr>
            </w:pPr>
            <w:r w:rsidRPr="00343BD7">
              <w:rPr>
                <w:rFonts w:asciiTheme="majorHAnsi" w:hAnsiTheme="majorHAnsi"/>
              </w:rPr>
              <w:t>50.00%</w:t>
            </w:r>
          </w:p>
        </w:tc>
      </w:tr>
      <w:tr w:rsidR="00343BD7" w:rsidRPr="00343BD7" w14:paraId="7A806DF8" w14:textId="77777777" w:rsidTr="001A21EF">
        <w:trPr>
          <w:trHeight w:val="50"/>
        </w:trPr>
        <w:tc>
          <w:tcPr>
            <w:tcW w:w="10997" w:type="dxa"/>
            <w:gridSpan w:val="8"/>
            <w:tcBorders>
              <w:top w:val="single" w:sz="8" w:space="0" w:color="auto"/>
              <w:left w:val="single" w:sz="8" w:space="0" w:color="auto"/>
              <w:bottom w:val="single" w:sz="8" w:space="0" w:color="auto"/>
              <w:right w:val="single" w:sz="8" w:space="0" w:color="000000"/>
            </w:tcBorders>
            <w:shd w:val="clear" w:color="000000" w:fill="DAEEF3"/>
            <w:vAlign w:val="bottom"/>
            <w:hideMark/>
          </w:tcPr>
          <w:p w14:paraId="4A174A0B" w14:textId="77777777" w:rsidR="00343BD7" w:rsidRPr="00343BD7" w:rsidRDefault="00343BD7" w:rsidP="00343BD7">
            <w:pPr>
              <w:rPr>
                <w:rFonts w:asciiTheme="majorHAnsi" w:hAnsiTheme="majorHAnsi"/>
                <w:b/>
                <w:bCs/>
              </w:rPr>
            </w:pPr>
            <w:r w:rsidRPr="00343BD7">
              <w:rPr>
                <w:rFonts w:asciiTheme="majorHAnsi" w:hAnsiTheme="majorHAnsi"/>
                <w:b/>
                <w:bCs/>
              </w:rPr>
              <w:t>3.</w:t>
            </w:r>
            <w:r w:rsidRPr="00343BD7">
              <w:rPr>
                <w:rFonts w:asciiTheme="majorHAnsi" w:hAnsiTheme="majorHAnsi"/>
              </w:rPr>
              <w:t xml:space="preserve"> Compliance- DMR Entry Rate (Majors)- This metric represents the ratio of facilities that submitted Discharge Monitoring Reports (DMRs) to the number of facilities that were expected to submit DMRs during that same time period</w:t>
            </w:r>
          </w:p>
        </w:tc>
      </w:tr>
      <w:tr w:rsidR="00343BD7" w:rsidRPr="00343BD7" w14:paraId="24AE8F30" w14:textId="77777777" w:rsidTr="001A21EF">
        <w:trPr>
          <w:trHeight w:val="50"/>
        </w:trPr>
        <w:tc>
          <w:tcPr>
            <w:tcW w:w="651" w:type="dxa"/>
            <w:tcBorders>
              <w:top w:val="nil"/>
              <w:left w:val="single" w:sz="8" w:space="0" w:color="auto"/>
              <w:bottom w:val="nil"/>
              <w:right w:val="nil"/>
            </w:tcBorders>
            <w:shd w:val="clear" w:color="auto" w:fill="auto"/>
            <w:vAlign w:val="bottom"/>
            <w:hideMark/>
          </w:tcPr>
          <w:p w14:paraId="2C07CB77" w14:textId="77777777" w:rsidR="00343BD7" w:rsidRPr="00343BD7" w:rsidRDefault="00343BD7" w:rsidP="00343BD7">
            <w:pPr>
              <w:rPr>
                <w:rFonts w:asciiTheme="majorHAnsi" w:hAnsiTheme="majorHAnsi"/>
                <w:b/>
                <w:bCs/>
              </w:rPr>
            </w:pPr>
            <w:r w:rsidRPr="00343BD7">
              <w:rPr>
                <w:rFonts w:asciiTheme="majorHAnsi" w:hAnsiTheme="majorHAnsi"/>
                <w:b/>
                <w:bCs/>
              </w:rPr>
              <w:t>State</w:t>
            </w:r>
          </w:p>
        </w:tc>
        <w:tc>
          <w:tcPr>
            <w:tcW w:w="936" w:type="dxa"/>
            <w:tcBorders>
              <w:top w:val="nil"/>
              <w:left w:val="nil"/>
              <w:bottom w:val="nil"/>
              <w:right w:val="nil"/>
            </w:tcBorders>
            <w:shd w:val="clear" w:color="auto" w:fill="auto"/>
            <w:vAlign w:val="bottom"/>
            <w:hideMark/>
          </w:tcPr>
          <w:p w14:paraId="42155E2F" w14:textId="77777777" w:rsidR="00343BD7" w:rsidRPr="00343BD7" w:rsidRDefault="00343BD7" w:rsidP="00343BD7">
            <w:pPr>
              <w:rPr>
                <w:rFonts w:asciiTheme="majorHAnsi" w:hAnsiTheme="majorHAnsi"/>
                <w:b/>
                <w:bCs/>
              </w:rPr>
            </w:pPr>
            <w:r w:rsidRPr="00343BD7">
              <w:rPr>
                <w:rFonts w:asciiTheme="majorHAnsi" w:hAnsiTheme="majorHAnsi"/>
                <w:b/>
                <w:bCs/>
              </w:rPr>
              <w:t>Metric</w:t>
            </w:r>
          </w:p>
        </w:tc>
        <w:tc>
          <w:tcPr>
            <w:tcW w:w="3802" w:type="dxa"/>
            <w:tcBorders>
              <w:top w:val="nil"/>
              <w:left w:val="nil"/>
              <w:bottom w:val="nil"/>
              <w:right w:val="nil"/>
            </w:tcBorders>
            <w:shd w:val="clear" w:color="auto" w:fill="auto"/>
            <w:vAlign w:val="bottom"/>
            <w:hideMark/>
          </w:tcPr>
          <w:p w14:paraId="48CB15A1" w14:textId="77777777" w:rsidR="00343BD7" w:rsidRPr="00343BD7" w:rsidRDefault="00343BD7" w:rsidP="00343BD7">
            <w:pPr>
              <w:rPr>
                <w:rFonts w:asciiTheme="majorHAnsi" w:hAnsiTheme="majorHAnsi"/>
                <w:b/>
                <w:bCs/>
              </w:rPr>
            </w:pPr>
            <w:r w:rsidRPr="00343BD7">
              <w:rPr>
                <w:rFonts w:asciiTheme="majorHAnsi" w:hAnsiTheme="majorHAnsi"/>
                <w:b/>
                <w:bCs/>
              </w:rPr>
              <w:t>Metric Description</w:t>
            </w:r>
          </w:p>
        </w:tc>
        <w:tc>
          <w:tcPr>
            <w:tcW w:w="1440" w:type="dxa"/>
            <w:tcBorders>
              <w:top w:val="nil"/>
              <w:left w:val="nil"/>
              <w:bottom w:val="nil"/>
              <w:right w:val="nil"/>
            </w:tcBorders>
            <w:shd w:val="clear" w:color="auto" w:fill="auto"/>
            <w:vAlign w:val="bottom"/>
            <w:hideMark/>
          </w:tcPr>
          <w:p w14:paraId="32099230" w14:textId="77777777" w:rsidR="00343BD7" w:rsidRPr="00343BD7" w:rsidRDefault="00343BD7" w:rsidP="00343BD7">
            <w:pPr>
              <w:rPr>
                <w:rFonts w:asciiTheme="majorHAnsi" w:hAnsiTheme="majorHAnsi"/>
                <w:b/>
                <w:bCs/>
              </w:rPr>
            </w:pPr>
            <w:r w:rsidRPr="00343BD7">
              <w:rPr>
                <w:rFonts w:asciiTheme="majorHAnsi" w:hAnsiTheme="majorHAnsi"/>
                <w:b/>
                <w:bCs/>
              </w:rPr>
              <w:t>Metric Type</w:t>
            </w:r>
          </w:p>
        </w:tc>
        <w:tc>
          <w:tcPr>
            <w:tcW w:w="816" w:type="dxa"/>
            <w:tcBorders>
              <w:top w:val="nil"/>
              <w:left w:val="nil"/>
              <w:bottom w:val="nil"/>
              <w:right w:val="nil"/>
            </w:tcBorders>
            <w:shd w:val="clear" w:color="auto" w:fill="auto"/>
            <w:vAlign w:val="bottom"/>
            <w:hideMark/>
          </w:tcPr>
          <w:p w14:paraId="343A06F7" w14:textId="77777777" w:rsidR="00343BD7" w:rsidRPr="00343BD7" w:rsidRDefault="00343BD7" w:rsidP="00343BD7">
            <w:pPr>
              <w:rPr>
                <w:rFonts w:asciiTheme="majorHAnsi" w:hAnsiTheme="majorHAnsi"/>
                <w:b/>
                <w:bCs/>
              </w:rPr>
            </w:pPr>
            <w:r w:rsidRPr="00343BD7">
              <w:rPr>
                <w:rFonts w:asciiTheme="majorHAnsi" w:hAnsiTheme="majorHAnsi"/>
                <w:b/>
                <w:bCs/>
              </w:rPr>
              <w:t>2008</w:t>
            </w:r>
          </w:p>
        </w:tc>
        <w:tc>
          <w:tcPr>
            <w:tcW w:w="894" w:type="dxa"/>
            <w:tcBorders>
              <w:top w:val="nil"/>
              <w:left w:val="nil"/>
              <w:bottom w:val="nil"/>
              <w:right w:val="nil"/>
            </w:tcBorders>
            <w:shd w:val="clear" w:color="auto" w:fill="auto"/>
            <w:vAlign w:val="bottom"/>
            <w:hideMark/>
          </w:tcPr>
          <w:p w14:paraId="312A0F2B" w14:textId="77777777" w:rsidR="00343BD7" w:rsidRPr="00343BD7" w:rsidRDefault="00343BD7" w:rsidP="00343BD7">
            <w:pPr>
              <w:rPr>
                <w:rFonts w:asciiTheme="majorHAnsi" w:hAnsiTheme="majorHAnsi"/>
                <w:b/>
                <w:bCs/>
              </w:rPr>
            </w:pPr>
            <w:r w:rsidRPr="00343BD7">
              <w:rPr>
                <w:rFonts w:asciiTheme="majorHAnsi" w:hAnsiTheme="majorHAnsi"/>
                <w:b/>
                <w:bCs/>
              </w:rPr>
              <w:t>2009</w:t>
            </w:r>
          </w:p>
        </w:tc>
        <w:tc>
          <w:tcPr>
            <w:tcW w:w="1350" w:type="dxa"/>
            <w:tcBorders>
              <w:top w:val="nil"/>
              <w:left w:val="nil"/>
              <w:bottom w:val="nil"/>
              <w:right w:val="nil"/>
            </w:tcBorders>
            <w:shd w:val="clear" w:color="auto" w:fill="auto"/>
            <w:vAlign w:val="bottom"/>
            <w:hideMark/>
          </w:tcPr>
          <w:p w14:paraId="3594AB81" w14:textId="77777777" w:rsidR="00343BD7" w:rsidRPr="00343BD7" w:rsidRDefault="00343BD7" w:rsidP="00343BD7">
            <w:pPr>
              <w:rPr>
                <w:rFonts w:asciiTheme="majorHAnsi" w:hAnsiTheme="majorHAnsi"/>
                <w:b/>
                <w:bCs/>
              </w:rPr>
            </w:pPr>
            <w:r w:rsidRPr="00343BD7">
              <w:rPr>
                <w:rFonts w:asciiTheme="majorHAnsi" w:hAnsiTheme="majorHAnsi"/>
                <w:b/>
                <w:bCs/>
              </w:rPr>
              <w:t>2010</w:t>
            </w:r>
          </w:p>
        </w:tc>
        <w:tc>
          <w:tcPr>
            <w:tcW w:w="1108" w:type="dxa"/>
            <w:tcBorders>
              <w:top w:val="nil"/>
              <w:left w:val="nil"/>
              <w:bottom w:val="nil"/>
              <w:right w:val="single" w:sz="8" w:space="0" w:color="auto"/>
            </w:tcBorders>
            <w:shd w:val="clear" w:color="auto" w:fill="auto"/>
            <w:vAlign w:val="bottom"/>
            <w:hideMark/>
          </w:tcPr>
          <w:p w14:paraId="23844743" w14:textId="77777777" w:rsidR="00343BD7" w:rsidRPr="00343BD7" w:rsidRDefault="00343BD7" w:rsidP="00343BD7">
            <w:pPr>
              <w:rPr>
                <w:rFonts w:asciiTheme="majorHAnsi" w:hAnsiTheme="majorHAnsi"/>
                <w:b/>
                <w:bCs/>
              </w:rPr>
            </w:pPr>
            <w:r w:rsidRPr="00343BD7">
              <w:rPr>
                <w:rFonts w:asciiTheme="majorHAnsi" w:hAnsiTheme="majorHAnsi"/>
                <w:b/>
                <w:bCs/>
              </w:rPr>
              <w:t xml:space="preserve">Nat'l Goal </w:t>
            </w:r>
          </w:p>
        </w:tc>
      </w:tr>
      <w:tr w:rsidR="00343BD7" w:rsidRPr="00343BD7" w14:paraId="27491F23" w14:textId="77777777" w:rsidTr="001A21EF">
        <w:trPr>
          <w:trHeight w:val="234"/>
        </w:trPr>
        <w:tc>
          <w:tcPr>
            <w:tcW w:w="651" w:type="dxa"/>
            <w:tcBorders>
              <w:top w:val="nil"/>
              <w:left w:val="single" w:sz="8" w:space="0" w:color="auto"/>
              <w:bottom w:val="nil"/>
              <w:right w:val="nil"/>
            </w:tcBorders>
            <w:shd w:val="clear" w:color="000000" w:fill="FFFF00"/>
            <w:vAlign w:val="bottom"/>
            <w:hideMark/>
          </w:tcPr>
          <w:p w14:paraId="57B7E09B" w14:textId="77777777" w:rsidR="00343BD7" w:rsidRPr="00343BD7" w:rsidRDefault="00343BD7" w:rsidP="00343BD7">
            <w:pPr>
              <w:rPr>
                <w:rFonts w:asciiTheme="majorHAnsi" w:hAnsiTheme="majorHAnsi"/>
              </w:rPr>
            </w:pPr>
            <w:r w:rsidRPr="00343BD7">
              <w:rPr>
                <w:rFonts w:asciiTheme="majorHAnsi" w:hAnsiTheme="majorHAnsi"/>
              </w:rPr>
              <w:t>CA</w:t>
            </w:r>
          </w:p>
        </w:tc>
        <w:tc>
          <w:tcPr>
            <w:tcW w:w="936" w:type="dxa"/>
            <w:tcBorders>
              <w:top w:val="nil"/>
              <w:left w:val="nil"/>
              <w:bottom w:val="nil"/>
              <w:right w:val="nil"/>
            </w:tcBorders>
            <w:shd w:val="clear" w:color="000000" w:fill="FFFF00"/>
            <w:vAlign w:val="bottom"/>
            <w:hideMark/>
          </w:tcPr>
          <w:p w14:paraId="44306EAE" w14:textId="77777777" w:rsidR="00343BD7" w:rsidRPr="00343BD7" w:rsidRDefault="00343BD7" w:rsidP="00343BD7">
            <w:pPr>
              <w:rPr>
                <w:rFonts w:asciiTheme="majorHAnsi" w:hAnsiTheme="majorHAnsi"/>
              </w:rPr>
            </w:pPr>
            <w:r w:rsidRPr="00343BD7">
              <w:rPr>
                <w:rFonts w:asciiTheme="majorHAnsi" w:hAnsiTheme="majorHAnsi"/>
              </w:rPr>
              <w:t>P07D0C</w:t>
            </w:r>
          </w:p>
        </w:tc>
        <w:tc>
          <w:tcPr>
            <w:tcW w:w="3802" w:type="dxa"/>
            <w:tcBorders>
              <w:top w:val="nil"/>
              <w:left w:val="nil"/>
              <w:bottom w:val="nil"/>
              <w:right w:val="nil"/>
            </w:tcBorders>
            <w:shd w:val="clear" w:color="000000" w:fill="FFFF00"/>
            <w:vAlign w:val="bottom"/>
            <w:hideMark/>
          </w:tcPr>
          <w:p w14:paraId="1112D0EC" w14:textId="77777777" w:rsidR="00343BD7" w:rsidRPr="00343BD7" w:rsidRDefault="00343BD7" w:rsidP="00343BD7">
            <w:pPr>
              <w:rPr>
                <w:rFonts w:asciiTheme="majorHAnsi" w:hAnsiTheme="majorHAnsi"/>
              </w:rPr>
            </w:pPr>
            <w:r w:rsidRPr="00343BD7">
              <w:rPr>
                <w:rFonts w:asciiTheme="majorHAnsi" w:hAnsiTheme="majorHAnsi"/>
              </w:rPr>
              <w:t>ratio of facilities that submitted Discharge Monitoring Reports (DMRs) to the number of facilities that were expected to submit DMRs during that same time period</w:t>
            </w:r>
          </w:p>
        </w:tc>
        <w:tc>
          <w:tcPr>
            <w:tcW w:w="1440" w:type="dxa"/>
            <w:tcBorders>
              <w:top w:val="nil"/>
              <w:left w:val="nil"/>
              <w:bottom w:val="nil"/>
              <w:right w:val="nil"/>
            </w:tcBorders>
            <w:shd w:val="clear" w:color="000000" w:fill="FFFF00"/>
            <w:vAlign w:val="bottom"/>
            <w:hideMark/>
          </w:tcPr>
          <w:p w14:paraId="19E59AB2" w14:textId="77777777" w:rsidR="00343BD7" w:rsidRPr="00343BD7" w:rsidRDefault="00343BD7" w:rsidP="00343BD7">
            <w:pPr>
              <w:rPr>
                <w:rFonts w:asciiTheme="majorHAnsi" w:hAnsiTheme="majorHAnsi"/>
              </w:rPr>
            </w:pPr>
            <w:r w:rsidRPr="00343BD7">
              <w:rPr>
                <w:rFonts w:asciiTheme="majorHAnsi" w:hAnsiTheme="majorHAnsi"/>
              </w:rPr>
              <w:t>Data Quality</w:t>
            </w:r>
          </w:p>
        </w:tc>
        <w:tc>
          <w:tcPr>
            <w:tcW w:w="816" w:type="dxa"/>
            <w:tcBorders>
              <w:top w:val="nil"/>
              <w:left w:val="nil"/>
              <w:bottom w:val="nil"/>
              <w:right w:val="nil"/>
            </w:tcBorders>
            <w:shd w:val="clear" w:color="000000" w:fill="FFFF00"/>
            <w:vAlign w:val="bottom"/>
            <w:hideMark/>
          </w:tcPr>
          <w:p w14:paraId="186C518B" w14:textId="77777777" w:rsidR="00343BD7" w:rsidRPr="00343BD7" w:rsidRDefault="00343BD7" w:rsidP="00343BD7">
            <w:pPr>
              <w:rPr>
                <w:rFonts w:asciiTheme="majorHAnsi" w:hAnsiTheme="majorHAnsi"/>
              </w:rPr>
            </w:pPr>
            <w:r w:rsidRPr="00343BD7">
              <w:rPr>
                <w:rFonts w:asciiTheme="majorHAnsi" w:hAnsiTheme="majorHAnsi"/>
              </w:rPr>
              <w:t>81%</w:t>
            </w:r>
          </w:p>
        </w:tc>
        <w:tc>
          <w:tcPr>
            <w:tcW w:w="894" w:type="dxa"/>
            <w:tcBorders>
              <w:top w:val="nil"/>
              <w:left w:val="nil"/>
              <w:bottom w:val="nil"/>
              <w:right w:val="nil"/>
            </w:tcBorders>
            <w:shd w:val="clear" w:color="000000" w:fill="FFFF00"/>
            <w:vAlign w:val="bottom"/>
            <w:hideMark/>
          </w:tcPr>
          <w:p w14:paraId="0E8101CA" w14:textId="77777777" w:rsidR="00343BD7" w:rsidRPr="00343BD7" w:rsidRDefault="00343BD7" w:rsidP="00343BD7">
            <w:pPr>
              <w:rPr>
                <w:rFonts w:asciiTheme="majorHAnsi" w:hAnsiTheme="majorHAnsi"/>
              </w:rPr>
            </w:pPr>
            <w:r w:rsidRPr="00343BD7">
              <w:rPr>
                <w:rFonts w:asciiTheme="majorHAnsi" w:hAnsiTheme="majorHAnsi"/>
              </w:rPr>
              <w:t>91%</w:t>
            </w:r>
          </w:p>
        </w:tc>
        <w:tc>
          <w:tcPr>
            <w:tcW w:w="1350" w:type="dxa"/>
            <w:tcBorders>
              <w:top w:val="nil"/>
              <w:left w:val="nil"/>
              <w:bottom w:val="nil"/>
              <w:right w:val="nil"/>
            </w:tcBorders>
            <w:shd w:val="clear" w:color="000000" w:fill="FFFF00"/>
            <w:vAlign w:val="bottom"/>
            <w:hideMark/>
          </w:tcPr>
          <w:p w14:paraId="062E5005" w14:textId="77777777" w:rsidR="00343BD7" w:rsidRPr="00343BD7" w:rsidRDefault="00343BD7" w:rsidP="00343BD7">
            <w:pPr>
              <w:rPr>
                <w:rFonts w:asciiTheme="majorHAnsi" w:hAnsiTheme="majorHAnsi"/>
              </w:rPr>
            </w:pPr>
            <w:r w:rsidRPr="00343BD7">
              <w:rPr>
                <w:rFonts w:asciiTheme="majorHAnsi" w:hAnsiTheme="majorHAnsi"/>
              </w:rPr>
              <w:t>99.60%</w:t>
            </w:r>
          </w:p>
        </w:tc>
        <w:tc>
          <w:tcPr>
            <w:tcW w:w="1108" w:type="dxa"/>
            <w:tcBorders>
              <w:top w:val="nil"/>
              <w:left w:val="nil"/>
              <w:bottom w:val="nil"/>
              <w:right w:val="single" w:sz="8" w:space="0" w:color="auto"/>
            </w:tcBorders>
            <w:shd w:val="clear" w:color="000000" w:fill="D9D9D9"/>
            <w:vAlign w:val="bottom"/>
            <w:hideMark/>
          </w:tcPr>
          <w:p w14:paraId="39C074AF" w14:textId="77777777" w:rsidR="00343BD7" w:rsidRPr="00343BD7" w:rsidRDefault="00343BD7" w:rsidP="00343BD7">
            <w:pPr>
              <w:rPr>
                <w:rFonts w:asciiTheme="majorHAnsi" w:hAnsiTheme="majorHAnsi"/>
              </w:rPr>
            </w:pPr>
            <w:r w:rsidRPr="00343BD7">
              <w:rPr>
                <w:rFonts w:asciiTheme="majorHAnsi" w:hAnsiTheme="majorHAnsi"/>
              </w:rPr>
              <w:t>95.00%</w:t>
            </w:r>
          </w:p>
        </w:tc>
      </w:tr>
      <w:tr w:rsidR="00343BD7" w:rsidRPr="00343BD7" w14:paraId="6CEDD329" w14:textId="77777777" w:rsidTr="001A21EF">
        <w:trPr>
          <w:trHeight w:val="342"/>
        </w:trPr>
        <w:tc>
          <w:tcPr>
            <w:tcW w:w="651" w:type="dxa"/>
            <w:tcBorders>
              <w:top w:val="nil"/>
              <w:left w:val="single" w:sz="8" w:space="0" w:color="auto"/>
              <w:bottom w:val="nil"/>
              <w:right w:val="nil"/>
            </w:tcBorders>
            <w:shd w:val="clear" w:color="000000" w:fill="FFC000"/>
            <w:vAlign w:val="bottom"/>
            <w:hideMark/>
          </w:tcPr>
          <w:p w14:paraId="3B3C5915" w14:textId="77777777" w:rsidR="00343BD7" w:rsidRPr="00343BD7" w:rsidRDefault="00343BD7" w:rsidP="00343BD7">
            <w:pPr>
              <w:rPr>
                <w:rFonts w:asciiTheme="majorHAnsi" w:hAnsiTheme="majorHAnsi"/>
              </w:rPr>
            </w:pPr>
            <w:r w:rsidRPr="00343BD7">
              <w:rPr>
                <w:rFonts w:asciiTheme="majorHAnsi" w:hAnsiTheme="majorHAnsi"/>
              </w:rPr>
              <w:t>OR</w:t>
            </w:r>
          </w:p>
        </w:tc>
        <w:tc>
          <w:tcPr>
            <w:tcW w:w="936" w:type="dxa"/>
            <w:tcBorders>
              <w:top w:val="nil"/>
              <w:left w:val="nil"/>
              <w:bottom w:val="nil"/>
              <w:right w:val="nil"/>
            </w:tcBorders>
            <w:shd w:val="clear" w:color="000000" w:fill="FFC000"/>
            <w:vAlign w:val="bottom"/>
            <w:hideMark/>
          </w:tcPr>
          <w:p w14:paraId="15324C87" w14:textId="77777777" w:rsidR="00343BD7" w:rsidRPr="00343BD7" w:rsidRDefault="00343BD7" w:rsidP="00343BD7">
            <w:pPr>
              <w:rPr>
                <w:rFonts w:asciiTheme="majorHAnsi" w:hAnsiTheme="majorHAnsi"/>
              </w:rPr>
            </w:pPr>
            <w:r w:rsidRPr="00343BD7">
              <w:rPr>
                <w:rFonts w:asciiTheme="majorHAnsi" w:hAnsiTheme="majorHAnsi"/>
              </w:rPr>
              <w:t>W07D0C</w:t>
            </w:r>
          </w:p>
        </w:tc>
        <w:tc>
          <w:tcPr>
            <w:tcW w:w="3802" w:type="dxa"/>
            <w:tcBorders>
              <w:top w:val="nil"/>
              <w:left w:val="nil"/>
              <w:bottom w:val="nil"/>
              <w:right w:val="nil"/>
            </w:tcBorders>
            <w:shd w:val="clear" w:color="000000" w:fill="FFC000"/>
            <w:vAlign w:val="bottom"/>
            <w:hideMark/>
          </w:tcPr>
          <w:p w14:paraId="45AE9EF9" w14:textId="77777777" w:rsidR="00343BD7" w:rsidRPr="00343BD7" w:rsidRDefault="00343BD7" w:rsidP="00343BD7">
            <w:pPr>
              <w:rPr>
                <w:rFonts w:asciiTheme="majorHAnsi" w:hAnsiTheme="majorHAnsi"/>
              </w:rPr>
            </w:pPr>
            <w:r w:rsidRPr="00343BD7">
              <w:rPr>
                <w:rFonts w:asciiTheme="majorHAnsi" w:hAnsiTheme="majorHAnsi"/>
              </w:rPr>
              <w:t xml:space="preserve">ratio of facilities that submitted Discharge Monitoring Reports (DMRs) to the number of facilities </w:t>
            </w:r>
            <w:r w:rsidRPr="00343BD7">
              <w:rPr>
                <w:rFonts w:asciiTheme="majorHAnsi" w:hAnsiTheme="majorHAnsi"/>
              </w:rPr>
              <w:lastRenderedPageBreak/>
              <w:t>that were expected to submit DMRs during that same time period</w:t>
            </w:r>
          </w:p>
        </w:tc>
        <w:tc>
          <w:tcPr>
            <w:tcW w:w="1440" w:type="dxa"/>
            <w:tcBorders>
              <w:top w:val="nil"/>
              <w:left w:val="nil"/>
              <w:bottom w:val="nil"/>
              <w:right w:val="nil"/>
            </w:tcBorders>
            <w:shd w:val="clear" w:color="000000" w:fill="FFC000"/>
            <w:vAlign w:val="bottom"/>
            <w:hideMark/>
          </w:tcPr>
          <w:p w14:paraId="57159EAE" w14:textId="77777777" w:rsidR="00343BD7" w:rsidRPr="00343BD7" w:rsidRDefault="00343BD7" w:rsidP="00343BD7">
            <w:pPr>
              <w:rPr>
                <w:rFonts w:asciiTheme="majorHAnsi" w:hAnsiTheme="majorHAnsi"/>
              </w:rPr>
            </w:pPr>
            <w:r w:rsidRPr="00343BD7">
              <w:rPr>
                <w:rFonts w:asciiTheme="majorHAnsi" w:hAnsiTheme="majorHAnsi"/>
              </w:rPr>
              <w:lastRenderedPageBreak/>
              <w:t>Data Quality</w:t>
            </w:r>
          </w:p>
        </w:tc>
        <w:tc>
          <w:tcPr>
            <w:tcW w:w="816" w:type="dxa"/>
            <w:tcBorders>
              <w:top w:val="nil"/>
              <w:left w:val="nil"/>
              <w:bottom w:val="nil"/>
              <w:right w:val="nil"/>
            </w:tcBorders>
            <w:shd w:val="clear" w:color="000000" w:fill="FFC000"/>
            <w:vAlign w:val="bottom"/>
            <w:hideMark/>
          </w:tcPr>
          <w:p w14:paraId="73756C73" w14:textId="77777777" w:rsidR="00343BD7" w:rsidRPr="00343BD7" w:rsidRDefault="00343BD7" w:rsidP="00343BD7">
            <w:pPr>
              <w:rPr>
                <w:rFonts w:asciiTheme="majorHAnsi" w:hAnsiTheme="majorHAnsi"/>
              </w:rPr>
            </w:pPr>
            <w:r w:rsidRPr="00343BD7">
              <w:rPr>
                <w:rFonts w:asciiTheme="majorHAnsi" w:hAnsiTheme="majorHAnsi"/>
              </w:rPr>
              <w:t>100%</w:t>
            </w:r>
          </w:p>
        </w:tc>
        <w:tc>
          <w:tcPr>
            <w:tcW w:w="894" w:type="dxa"/>
            <w:tcBorders>
              <w:top w:val="nil"/>
              <w:left w:val="nil"/>
              <w:bottom w:val="nil"/>
              <w:right w:val="nil"/>
            </w:tcBorders>
            <w:shd w:val="clear" w:color="000000" w:fill="FFC000"/>
            <w:vAlign w:val="bottom"/>
            <w:hideMark/>
          </w:tcPr>
          <w:p w14:paraId="7ACE5F8D" w14:textId="77777777" w:rsidR="00343BD7" w:rsidRPr="00343BD7" w:rsidRDefault="00343BD7" w:rsidP="00343BD7">
            <w:pPr>
              <w:rPr>
                <w:rFonts w:asciiTheme="majorHAnsi" w:hAnsiTheme="majorHAnsi"/>
              </w:rPr>
            </w:pPr>
            <w:r w:rsidRPr="00343BD7">
              <w:rPr>
                <w:rFonts w:asciiTheme="majorHAnsi" w:hAnsiTheme="majorHAnsi"/>
              </w:rPr>
              <w:t>97%</w:t>
            </w:r>
          </w:p>
        </w:tc>
        <w:tc>
          <w:tcPr>
            <w:tcW w:w="1350" w:type="dxa"/>
            <w:tcBorders>
              <w:top w:val="nil"/>
              <w:left w:val="nil"/>
              <w:bottom w:val="nil"/>
              <w:right w:val="nil"/>
            </w:tcBorders>
            <w:shd w:val="clear" w:color="000000" w:fill="FFC000"/>
            <w:vAlign w:val="bottom"/>
            <w:hideMark/>
          </w:tcPr>
          <w:p w14:paraId="5A349417" w14:textId="77777777" w:rsidR="00343BD7" w:rsidRPr="00343BD7" w:rsidRDefault="00343BD7" w:rsidP="00343BD7">
            <w:pPr>
              <w:rPr>
                <w:rFonts w:asciiTheme="majorHAnsi" w:hAnsiTheme="majorHAnsi"/>
              </w:rPr>
            </w:pPr>
            <w:r w:rsidRPr="00343BD7">
              <w:rPr>
                <w:rFonts w:asciiTheme="majorHAnsi" w:hAnsiTheme="majorHAnsi"/>
              </w:rPr>
              <w:t>100%</w:t>
            </w:r>
          </w:p>
        </w:tc>
        <w:tc>
          <w:tcPr>
            <w:tcW w:w="1108" w:type="dxa"/>
            <w:tcBorders>
              <w:top w:val="nil"/>
              <w:left w:val="nil"/>
              <w:bottom w:val="nil"/>
              <w:right w:val="single" w:sz="8" w:space="0" w:color="auto"/>
            </w:tcBorders>
            <w:shd w:val="clear" w:color="000000" w:fill="D9D9D9"/>
            <w:vAlign w:val="bottom"/>
            <w:hideMark/>
          </w:tcPr>
          <w:p w14:paraId="2E22178A" w14:textId="77777777" w:rsidR="00343BD7" w:rsidRPr="00343BD7" w:rsidRDefault="00343BD7" w:rsidP="00343BD7">
            <w:pPr>
              <w:rPr>
                <w:rFonts w:asciiTheme="majorHAnsi" w:hAnsiTheme="majorHAnsi"/>
              </w:rPr>
            </w:pPr>
            <w:r w:rsidRPr="00343BD7">
              <w:rPr>
                <w:rFonts w:asciiTheme="majorHAnsi" w:hAnsiTheme="majorHAnsi"/>
              </w:rPr>
              <w:t>95.00%</w:t>
            </w:r>
          </w:p>
        </w:tc>
      </w:tr>
      <w:tr w:rsidR="00343BD7" w:rsidRPr="00343BD7" w14:paraId="44C4353A" w14:textId="77777777" w:rsidTr="001A21EF">
        <w:trPr>
          <w:trHeight w:val="81"/>
        </w:trPr>
        <w:tc>
          <w:tcPr>
            <w:tcW w:w="651" w:type="dxa"/>
            <w:tcBorders>
              <w:top w:val="nil"/>
              <w:left w:val="single" w:sz="8" w:space="0" w:color="auto"/>
              <w:bottom w:val="single" w:sz="8" w:space="0" w:color="auto"/>
              <w:right w:val="nil"/>
            </w:tcBorders>
            <w:shd w:val="clear" w:color="000000" w:fill="92D050"/>
            <w:vAlign w:val="bottom"/>
            <w:hideMark/>
          </w:tcPr>
          <w:p w14:paraId="7ACAB76A" w14:textId="77777777" w:rsidR="00343BD7" w:rsidRPr="00343BD7" w:rsidRDefault="00343BD7" w:rsidP="00343BD7">
            <w:pPr>
              <w:rPr>
                <w:rFonts w:asciiTheme="majorHAnsi" w:hAnsiTheme="majorHAnsi"/>
              </w:rPr>
            </w:pPr>
            <w:r w:rsidRPr="00343BD7">
              <w:rPr>
                <w:rFonts w:asciiTheme="majorHAnsi" w:hAnsiTheme="majorHAnsi"/>
              </w:rPr>
              <w:lastRenderedPageBreak/>
              <w:t>WA</w:t>
            </w:r>
          </w:p>
        </w:tc>
        <w:tc>
          <w:tcPr>
            <w:tcW w:w="936" w:type="dxa"/>
            <w:tcBorders>
              <w:top w:val="nil"/>
              <w:left w:val="nil"/>
              <w:bottom w:val="single" w:sz="8" w:space="0" w:color="auto"/>
              <w:right w:val="nil"/>
            </w:tcBorders>
            <w:shd w:val="clear" w:color="000000" w:fill="92D050"/>
            <w:vAlign w:val="bottom"/>
            <w:hideMark/>
          </w:tcPr>
          <w:p w14:paraId="4DEB5086" w14:textId="77777777" w:rsidR="00343BD7" w:rsidRPr="00343BD7" w:rsidRDefault="00343BD7" w:rsidP="00343BD7">
            <w:pPr>
              <w:rPr>
                <w:rFonts w:asciiTheme="majorHAnsi" w:hAnsiTheme="majorHAnsi"/>
              </w:rPr>
            </w:pPr>
            <w:r w:rsidRPr="00343BD7">
              <w:rPr>
                <w:rFonts w:asciiTheme="majorHAnsi" w:hAnsiTheme="majorHAnsi"/>
              </w:rPr>
              <w:t>W07D0C</w:t>
            </w:r>
          </w:p>
        </w:tc>
        <w:tc>
          <w:tcPr>
            <w:tcW w:w="3802" w:type="dxa"/>
            <w:tcBorders>
              <w:top w:val="nil"/>
              <w:left w:val="nil"/>
              <w:bottom w:val="single" w:sz="8" w:space="0" w:color="auto"/>
              <w:right w:val="nil"/>
            </w:tcBorders>
            <w:shd w:val="clear" w:color="000000" w:fill="92D050"/>
            <w:vAlign w:val="bottom"/>
            <w:hideMark/>
          </w:tcPr>
          <w:p w14:paraId="577CF7A0" w14:textId="77777777" w:rsidR="00343BD7" w:rsidRPr="00343BD7" w:rsidRDefault="00343BD7" w:rsidP="00343BD7">
            <w:pPr>
              <w:rPr>
                <w:rFonts w:asciiTheme="majorHAnsi" w:hAnsiTheme="majorHAnsi"/>
              </w:rPr>
            </w:pPr>
            <w:r w:rsidRPr="00343BD7">
              <w:rPr>
                <w:rFonts w:asciiTheme="majorHAnsi" w:hAnsiTheme="majorHAnsi"/>
              </w:rPr>
              <w:t>ratio of facilities that submitted Discharge Monitoring Reports (DMRs) to the number of facilities that were expected to submit DMRs during that same time period</w:t>
            </w:r>
          </w:p>
        </w:tc>
        <w:tc>
          <w:tcPr>
            <w:tcW w:w="1440" w:type="dxa"/>
            <w:tcBorders>
              <w:top w:val="nil"/>
              <w:left w:val="nil"/>
              <w:bottom w:val="single" w:sz="8" w:space="0" w:color="auto"/>
              <w:right w:val="nil"/>
            </w:tcBorders>
            <w:shd w:val="clear" w:color="000000" w:fill="92D050"/>
            <w:vAlign w:val="bottom"/>
            <w:hideMark/>
          </w:tcPr>
          <w:p w14:paraId="703491E2" w14:textId="77777777" w:rsidR="00343BD7" w:rsidRPr="00343BD7" w:rsidRDefault="00343BD7" w:rsidP="00343BD7">
            <w:pPr>
              <w:rPr>
                <w:rFonts w:asciiTheme="majorHAnsi" w:hAnsiTheme="majorHAnsi"/>
              </w:rPr>
            </w:pPr>
            <w:r w:rsidRPr="00343BD7">
              <w:rPr>
                <w:rFonts w:asciiTheme="majorHAnsi" w:hAnsiTheme="majorHAnsi"/>
              </w:rPr>
              <w:t>Data Quality</w:t>
            </w:r>
          </w:p>
        </w:tc>
        <w:tc>
          <w:tcPr>
            <w:tcW w:w="816" w:type="dxa"/>
            <w:tcBorders>
              <w:top w:val="nil"/>
              <w:left w:val="nil"/>
              <w:bottom w:val="nil"/>
              <w:right w:val="nil"/>
            </w:tcBorders>
            <w:shd w:val="clear" w:color="000000" w:fill="92D050"/>
            <w:vAlign w:val="bottom"/>
            <w:hideMark/>
          </w:tcPr>
          <w:p w14:paraId="2BCD865C" w14:textId="77777777" w:rsidR="00343BD7" w:rsidRPr="00343BD7" w:rsidRDefault="00343BD7" w:rsidP="00343BD7">
            <w:pPr>
              <w:rPr>
                <w:rFonts w:asciiTheme="majorHAnsi" w:hAnsiTheme="majorHAnsi"/>
              </w:rPr>
            </w:pPr>
            <w:r w:rsidRPr="00343BD7">
              <w:rPr>
                <w:rFonts w:asciiTheme="majorHAnsi" w:hAnsiTheme="majorHAnsi"/>
              </w:rPr>
              <w:t>8%</w:t>
            </w:r>
          </w:p>
        </w:tc>
        <w:tc>
          <w:tcPr>
            <w:tcW w:w="894" w:type="dxa"/>
            <w:tcBorders>
              <w:top w:val="nil"/>
              <w:left w:val="nil"/>
              <w:bottom w:val="nil"/>
              <w:right w:val="nil"/>
            </w:tcBorders>
            <w:shd w:val="clear" w:color="000000" w:fill="92D050"/>
            <w:vAlign w:val="bottom"/>
            <w:hideMark/>
          </w:tcPr>
          <w:p w14:paraId="06A8499F" w14:textId="77777777" w:rsidR="00343BD7" w:rsidRPr="00343BD7" w:rsidRDefault="00343BD7" w:rsidP="00343BD7">
            <w:pPr>
              <w:rPr>
                <w:rFonts w:asciiTheme="majorHAnsi" w:hAnsiTheme="majorHAnsi"/>
              </w:rPr>
            </w:pPr>
            <w:r w:rsidRPr="00343BD7">
              <w:rPr>
                <w:rFonts w:asciiTheme="majorHAnsi" w:hAnsiTheme="majorHAnsi"/>
              </w:rPr>
              <w:t>16%</w:t>
            </w:r>
          </w:p>
        </w:tc>
        <w:tc>
          <w:tcPr>
            <w:tcW w:w="1350" w:type="dxa"/>
            <w:tcBorders>
              <w:top w:val="nil"/>
              <w:left w:val="nil"/>
              <w:bottom w:val="nil"/>
              <w:right w:val="nil"/>
            </w:tcBorders>
            <w:shd w:val="clear" w:color="000000" w:fill="92D050"/>
            <w:vAlign w:val="bottom"/>
            <w:hideMark/>
          </w:tcPr>
          <w:p w14:paraId="011D1635" w14:textId="77777777" w:rsidR="00343BD7" w:rsidRPr="00343BD7" w:rsidRDefault="00343BD7" w:rsidP="00343BD7">
            <w:pPr>
              <w:rPr>
                <w:rFonts w:asciiTheme="majorHAnsi" w:hAnsiTheme="majorHAnsi"/>
              </w:rPr>
            </w:pPr>
            <w:r w:rsidRPr="00343BD7">
              <w:rPr>
                <w:rFonts w:asciiTheme="majorHAnsi" w:hAnsiTheme="majorHAnsi"/>
              </w:rPr>
              <w:t>10%</w:t>
            </w:r>
          </w:p>
        </w:tc>
        <w:tc>
          <w:tcPr>
            <w:tcW w:w="1108" w:type="dxa"/>
            <w:tcBorders>
              <w:top w:val="nil"/>
              <w:left w:val="nil"/>
              <w:bottom w:val="nil"/>
              <w:right w:val="single" w:sz="8" w:space="0" w:color="auto"/>
            </w:tcBorders>
            <w:shd w:val="clear" w:color="000000" w:fill="D9D9D9"/>
            <w:vAlign w:val="bottom"/>
            <w:hideMark/>
          </w:tcPr>
          <w:p w14:paraId="53E9A0A1" w14:textId="77777777" w:rsidR="00343BD7" w:rsidRPr="00343BD7" w:rsidRDefault="00343BD7" w:rsidP="00343BD7">
            <w:pPr>
              <w:rPr>
                <w:rFonts w:asciiTheme="majorHAnsi" w:hAnsiTheme="majorHAnsi"/>
              </w:rPr>
            </w:pPr>
            <w:r w:rsidRPr="00343BD7">
              <w:rPr>
                <w:rFonts w:asciiTheme="majorHAnsi" w:hAnsiTheme="majorHAnsi"/>
              </w:rPr>
              <w:t>95.00%</w:t>
            </w:r>
          </w:p>
        </w:tc>
      </w:tr>
      <w:tr w:rsidR="00343BD7" w:rsidRPr="00343BD7" w14:paraId="0A5F87CB" w14:textId="77777777" w:rsidTr="001A21EF">
        <w:trPr>
          <w:trHeight w:val="50"/>
        </w:trPr>
        <w:tc>
          <w:tcPr>
            <w:tcW w:w="10997" w:type="dxa"/>
            <w:gridSpan w:val="8"/>
            <w:tcBorders>
              <w:top w:val="single" w:sz="8" w:space="0" w:color="auto"/>
              <w:left w:val="single" w:sz="8" w:space="0" w:color="auto"/>
              <w:bottom w:val="single" w:sz="8" w:space="0" w:color="auto"/>
              <w:right w:val="single" w:sz="8" w:space="0" w:color="000000"/>
            </w:tcBorders>
            <w:shd w:val="clear" w:color="000000" w:fill="DAEEF3"/>
            <w:vAlign w:val="bottom"/>
            <w:hideMark/>
          </w:tcPr>
          <w:p w14:paraId="363AD739" w14:textId="77777777" w:rsidR="00343BD7" w:rsidRPr="00343BD7" w:rsidRDefault="00343BD7" w:rsidP="00343BD7">
            <w:pPr>
              <w:rPr>
                <w:rFonts w:asciiTheme="majorHAnsi" w:hAnsiTheme="majorHAnsi"/>
                <w:b/>
                <w:bCs/>
              </w:rPr>
            </w:pPr>
            <w:r w:rsidRPr="00343BD7">
              <w:rPr>
                <w:rFonts w:asciiTheme="majorHAnsi" w:hAnsiTheme="majorHAnsi"/>
                <w:b/>
                <w:bCs/>
              </w:rPr>
              <w:t>3.</w:t>
            </w:r>
            <w:r w:rsidRPr="00343BD7">
              <w:rPr>
                <w:rFonts w:asciiTheme="majorHAnsi" w:hAnsiTheme="majorHAnsi"/>
              </w:rPr>
              <w:t xml:space="preserve"> Compliance- Rate of Facilities with Serious Non-Compliance Violations</w:t>
            </w:r>
          </w:p>
        </w:tc>
      </w:tr>
      <w:tr w:rsidR="00343BD7" w:rsidRPr="00343BD7" w14:paraId="1939E218" w14:textId="77777777" w:rsidTr="001A21EF">
        <w:trPr>
          <w:trHeight w:val="50"/>
        </w:trPr>
        <w:tc>
          <w:tcPr>
            <w:tcW w:w="651" w:type="dxa"/>
            <w:tcBorders>
              <w:top w:val="nil"/>
              <w:left w:val="single" w:sz="8" w:space="0" w:color="auto"/>
              <w:bottom w:val="nil"/>
              <w:right w:val="nil"/>
            </w:tcBorders>
            <w:shd w:val="clear" w:color="auto" w:fill="auto"/>
            <w:vAlign w:val="bottom"/>
            <w:hideMark/>
          </w:tcPr>
          <w:p w14:paraId="0DE9214F" w14:textId="77777777" w:rsidR="00343BD7" w:rsidRPr="00343BD7" w:rsidRDefault="00343BD7" w:rsidP="00343BD7">
            <w:pPr>
              <w:rPr>
                <w:rFonts w:asciiTheme="majorHAnsi" w:hAnsiTheme="majorHAnsi"/>
                <w:b/>
                <w:bCs/>
              </w:rPr>
            </w:pPr>
            <w:r w:rsidRPr="00343BD7">
              <w:rPr>
                <w:rFonts w:asciiTheme="majorHAnsi" w:hAnsiTheme="majorHAnsi"/>
                <w:b/>
                <w:bCs/>
              </w:rPr>
              <w:t>State</w:t>
            </w:r>
          </w:p>
        </w:tc>
        <w:tc>
          <w:tcPr>
            <w:tcW w:w="936" w:type="dxa"/>
            <w:tcBorders>
              <w:top w:val="nil"/>
              <w:left w:val="nil"/>
              <w:bottom w:val="nil"/>
              <w:right w:val="nil"/>
            </w:tcBorders>
            <w:shd w:val="clear" w:color="auto" w:fill="auto"/>
            <w:vAlign w:val="bottom"/>
            <w:hideMark/>
          </w:tcPr>
          <w:p w14:paraId="43AF8DC5" w14:textId="77777777" w:rsidR="00343BD7" w:rsidRPr="00343BD7" w:rsidRDefault="00343BD7" w:rsidP="00343BD7">
            <w:pPr>
              <w:rPr>
                <w:rFonts w:asciiTheme="majorHAnsi" w:hAnsiTheme="majorHAnsi"/>
                <w:b/>
                <w:bCs/>
              </w:rPr>
            </w:pPr>
            <w:r w:rsidRPr="00343BD7">
              <w:rPr>
                <w:rFonts w:asciiTheme="majorHAnsi" w:hAnsiTheme="majorHAnsi"/>
                <w:b/>
                <w:bCs/>
              </w:rPr>
              <w:t>Metric</w:t>
            </w:r>
          </w:p>
        </w:tc>
        <w:tc>
          <w:tcPr>
            <w:tcW w:w="3802" w:type="dxa"/>
            <w:tcBorders>
              <w:top w:val="nil"/>
              <w:left w:val="nil"/>
              <w:bottom w:val="nil"/>
              <w:right w:val="nil"/>
            </w:tcBorders>
            <w:shd w:val="clear" w:color="auto" w:fill="auto"/>
            <w:vAlign w:val="bottom"/>
            <w:hideMark/>
          </w:tcPr>
          <w:p w14:paraId="40DE8FA4" w14:textId="77777777" w:rsidR="00343BD7" w:rsidRPr="00343BD7" w:rsidRDefault="00343BD7" w:rsidP="00343BD7">
            <w:pPr>
              <w:rPr>
                <w:rFonts w:asciiTheme="majorHAnsi" w:hAnsiTheme="majorHAnsi"/>
                <w:b/>
                <w:bCs/>
              </w:rPr>
            </w:pPr>
            <w:r w:rsidRPr="00343BD7">
              <w:rPr>
                <w:rFonts w:asciiTheme="majorHAnsi" w:hAnsiTheme="majorHAnsi"/>
                <w:b/>
                <w:bCs/>
              </w:rPr>
              <w:t>Metric Description</w:t>
            </w:r>
          </w:p>
        </w:tc>
        <w:tc>
          <w:tcPr>
            <w:tcW w:w="1440" w:type="dxa"/>
            <w:tcBorders>
              <w:top w:val="nil"/>
              <w:left w:val="nil"/>
              <w:bottom w:val="nil"/>
              <w:right w:val="nil"/>
            </w:tcBorders>
            <w:shd w:val="clear" w:color="auto" w:fill="auto"/>
            <w:vAlign w:val="bottom"/>
            <w:hideMark/>
          </w:tcPr>
          <w:p w14:paraId="35394E96" w14:textId="77777777" w:rsidR="00343BD7" w:rsidRPr="00343BD7" w:rsidRDefault="00343BD7" w:rsidP="00343BD7">
            <w:pPr>
              <w:rPr>
                <w:rFonts w:asciiTheme="majorHAnsi" w:hAnsiTheme="majorHAnsi"/>
                <w:b/>
                <w:bCs/>
              </w:rPr>
            </w:pPr>
            <w:r w:rsidRPr="00343BD7">
              <w:rPr>
                <w:rFonts w:asciiTheme="majorHAnsi" w:hAnsiTheme="majorHAnsi"/>
                <w:b/>
                <w:bCs/>
              </w:rPr>
              <w:t>Metric Type</w:t>
            </w:r>
          </w:p>
        </w:tc>
        <w:tc>
          <w:tcPr>
            <w:tcW w:w="816" w:type="dxa"/>
            <w:tcBorders>
              <w:top w:val="nil"/>
              <w:left w:val="nil"/>
              <w:bottom w:val="nil"/>
              <w:right w:val="nil"/>
            </w:tcBorders>
            <w:shd w:val="clear" w:color="auto" w:fill="auto"/>
            <w:vAlign w:val="bottom"/>
            <w:hideMark/>
          </w:tcPr>
          <w:p w14:paraId="72889952" w14:textId="77777777" w:rsidR="00343BD7" w:rsidRPr="00343BD7" w:rsidRDefault="00343BD7" w:rsidP="00343BD7">
            <w:pPr>
              <w:rPr>
                <w:rFonts w:asciiTheme="majorHAnsi" w:hAnsiTheme="majorHAnsi"/>
                <w:b/>
                <w:bCs/>
              </w:rPr>
            </w:pPr>
            <w:r w:rsidRPr="00343BD7">
              <w:rPr>
                <w:rFonts w:asciiTheme="majorHAnsi" w:hAnsiTheme="majorHAnsi"/>
                <w:b/>
                <w:bCs/>
              </w:rPr>
              <w:t>2008</w:t>
            </w:r>
          </w:p>
        </w:tc>
        <w:tc>
          <w:tcPr>
            <w:tcW w:w="894" w:type="dxa"/>
            <w:tcBorders>
              <w:top w:val="nil"/>
              <w:left w:val="nil"/>
              <w:bottom w:val="nil"/>
              <w:right w:val="nil"/>
            </w:tcBorders>
            <w:shd w:val="clear" w:color="auto" w:fill="auto"/>
            <w:vAlign w:val="bottom"/>
            <w:hideMark/>
          </w:tcPr>
          <w:p w14:paraId="7D6ECDE8" w14:textId="77777777" w:rsidR="00343BD7" w:rsidRPr="00343BD7" w:rsidRDefault="00343BD7" w:rsidP="00343BD7">
            <w:pPr>
              <w:rPr>
                <w:rFonts w:asciiTheme="majorHAnsi" w:hAnsiTheme="majorHAnsi"/>
                <w:b/>
                <w:bCs/>
              </w:rPr>
            </w:pPr>
            <w:r w:rsidRPr="00343BD7">
              <w:rPr>
                <w:rFonts w:asciiTheme="majorHAnsi" w:hAnsiTheme="majorHAnsi"/>
                <w:b/>
                <w:bCs/>
              </w:rPr>
              <w:t>2009</w:t>
            </w:r>
          </w:p>
        </w:tc>
        <w:tc>
          <w:tcPr>
            <w:tcW w:w="1350" w:type="dxa"/>
            <w:tcBorders>
              <w:top w:val="nil"/>
              <w:left w:val="nil"/>
              <w:bottom w:val="nil"/>
              <w:right w:val="nil"/>
            </w:tcBorders>
            <w:shd w:val="clear" w:color="auto" w:fill="auto"/>
            <w:vAlign w:val="bottom"/>
            <w:hideMark/>
          </w:tcPr>
          <w:p w14:paraId="1EDE2582" w14:textId="77777777" w:rsidR="00343BD7" w:rsidRPr="00343BD7" w:rsidRDefault="00343BD7" w:rsidP="00343BD7">
            <w:pPr>
              <w:rPr>
                <w:rFonts w:asciiTheme="majorHAnsi" w:hAnsiTheme="majorHAnsi"/>
                <w:b/>
                <w:bCs/>
              </w:rPr>
            </w:pPr>
            <w:r w:rsidRPr="00343BD7">
              <w:rPr>
                <w:rFonts w:asciiTheme="majorHAnsi" w:hAnsiTheme="majorHAnsi"/>
                <w:b/>
                <w:bCs/>
              </w:rPr>
              <w:t>2010</w:t>
            </w:r>
          </w:p>
        </w:tc>
        <w:tc>
          <w:tcPr>
            <w:tcW w:w="1108" w:type="dxa"/>
            <w:tcBorders>
              <w:top w:val="nil"/>
              <w:left w:val="nil"/>
              <w:bottom w:val="nil"/>
              <w:right w:val="single" w:sz="8" w:space="0" w:color="auto"/>
            </w:tcBorders>
            <w:shd w:val="clear" w:color="auto" w:fill="auto"/>
            <w:vAlign w:val="bottom"/>
            <w:hideMark/>
          </w:tcPr>
          <w:p w14:paraId="4B51B92D" w14:textId="77777777" w:rsidR="00343BD7" w:rsidRPr="00343BD7" w:rsidRDefault="00343BD7" w:rsidP="00343BD7">
            <w:pPr>
              <w:rPr>
                <w:rFonts w:asciiTheme="majorHAnsi" w:hAnsiTheme="majorHAnsi"/>
                <w:b/>
                <w:bCs/>
              </w:rPr>
            </w:pPr>
            <w:r w:rsidRPr="00343BD7">
              <w:rPr>
                <w:rFonts w:asciiTheme="majorHAnsi" w:hAnsiTheme="majorHAnsi"/>
                <w:b/>
                <w:bCs/>
              </w:rPr>
              <w:t xml:space="preserve">Nat'l Goal </w:t>
            </w:r>
          </w:p>
        </w:tc>
      </w:tr>
      <w:tr w:rsidR="00343BD7" w:rsidRPr="00343BD7" w14:paraId="5B55DCB1" w14:textId="77777777" w:rsidTr="001A21EF">
        <w:trPr>
          <w:trHeight w:val="108"/>
        </w:trPr>
        <w:tc>
          <w:tcPr>
            <w:tcW w:w="651" w:type="dxa"/>
            <w:tcBorders>
              <w:top w:val="nil"/>
              <w:left w:val="single" w:sz="8" w:space="0" w:color="auto"/>
              <w:bottom w:val="nil"/>
              <w:right w:val="nil"/>
            </w:tcBorders>
            <w:shd w:val="clear" w:color="000000" w:fill="FFFF00"/>
            <w:vAlign w:val="bottom"/>
            <w:hideMark/>
          </w:tcPr>
          <w:p w14:paraId="5CA37807" w14:textId="77777777" w:rsidR="00343BD7" w:rsidRPr="00343BD7" w:rsidRDefault="00343BD7" w:rsidP="00343BD7">
            <w:pPr>
              <w:rPr>
                <w:rFonts w:asciiTheme="majorHAnsi" w:hAnsiTheme="majorHAnsi"/>
              </w:rPr>
            </w:pPr>
            <w:r w:rsidRPr="00343BD7">
              <w:rPr>
                <w:rFonts w:asciiTheme="majorHAnsi" w:hAnsiTheme="majorHAnsi"/>
              </w:rPr>
              <w:t>CA</w:t>
            </w:r>
          </w:p>
        </w:tc>
        <w:tc>
          <w:tcPr>
            <w:tcW w:w="936" w:type="dxa"/>
            <w:tcBorders>
              <w:top w:val="nil"/>
              <w:left w:val="nil"/>
              <w:bottom w:val="nil"/>
              <w:right w:val="nil"/>
            </w:tcBorders>
            <w:shd w:val="clear" w:color="000000" w:fill="FFFF00"/>
            <w:vAlign w:val="bottom"/>
            <w:hideMark/>
          </w:tcPr>
          <w:p w14:paraId="06407F0F" w14:textId="77777777" w:rsidR="00343BD7" w:rsidRPr="00343BD7" w:rsidRDefault="00343BD7" w:rsidP="00343BD7">
            <w:pPr>
              <w:rPr>
                <w:rFonts w:asciiTheme="majorHAnsi" w:hAnsiTheme="majorHAnsi"/>
              </w:rPr>
            </w:pPr>
            <w:r w:rsidRPr="00343BD7">
              <w:rPr>
                <w:rFonts w:asciiTheme="majorHAnsi" w:hAnsiTheme="majorHAnsi"/>
              </w:rPr>
              <w:t>P07D0C</w:t>
            </w:r>
          </w:p>
        </w:tc>
        <w:tc>
          <w:tcPr>
            <w:tcW w:w="3802" w:type="dxa"/>
            <w:tcBorders>
              <w:top w:val="nil"/>
              <w:left w:val="nil"/>
              <w:bottom w:val="nil"/>
              <w:right w:val="nil"/>
            </w:tcBorders>
            <w:shd w:val="clear" w:color="000000" w:fill="FFFF00"/>
            <w:vAlign w:val="bottom"/>
            <w:hideMark/>
          </w:tcPr>
          <w:p w14:paraId="7357261B" w14:textId="77777777" w:rsidR="00343BD7" w:rsidRPr="00343BD7" w:rsidRDefault="00343BD7" w:rsidP="00343BD7">
            <w:pPr>
              <w:rPr>
                <w:rFonts w:asciiTheme="majorHAnsi" w:hAnsiTheme="majorHAnsi"/>
              </w:rPr>
            </w:pPr>
            <w:r w:rsidRPr="00343BD7">
              <w:rPr>
                <w:rFonts w:asciiTheme="majorHAnsi" w:hAnsiTheme="majorHAnsi"/>
              </w:rPr>
              <w:t>ratio of facilities that submitted Discharge Monitoring Reports (DMRs) to the number of facilities that were expected to submit DMRs during that same time period</w:t>
            </w:r>
          </w:p>
        </w:tc>
        <w:tc>
          <w:tcPr>
            <w:tcW w:w="1440" w:type="dxa"/>
            <w:tcBorders>
              <w:top w:val="nil"/>
              <w:left w:val="nil"/>
              <w:bottom w:val="nil"/>
              <w:right w:val="nil"/>
            </w:tcBorders>
            <w:shd w:val="clear" w:color="000000" w:fill="FFFF00"/>
            <w:vAlign w:val="bottom"/>
            <w:hideMark/>
          </w:tcPr>
          <w:p w14:paraId="715DDAD5" w14:textId="77777777" w:rsidR="00343BD7" w:rsidRPr="00343BD7" w:rsidRDefault="00343BD7" w:rsidP="00343BD7">
            <w:pPr>
              <w:rPr>
                <w:rFonts w:asciiTheme="majorHAnsi" w:hAnsiTheme="majorHAnsi"/>
              </w:rPr>
            </w:pPr>
            <w:r w:rsidRPr="00343BD7">
              <w:rPr>
                <w:rFonts w:asciiTheme="majorHAnsi" w:hAnsiTheme="majorHAnsi"/>
              </w:rPr>
              <w:t>Data Quality</w:t>
            </w:r>
          </w:p>
        </w:tc>
        <w:tc>
          <w:tcPr>
            <w:tcW w:w="816" w:type="dxa"/>
            <w:tcBorders>
              <w:top w:val="nil"/>
              <w:left w:val="nil"/>
              <w:bottom w:val="nil"/>
              <w:right w:val="nil"/>
            </w:tcBorders>
            <w:shd w:val="clear" w:color="000000" w:fill="FFFF00"/>
            <w:vAlign w:val="bottom"/>
            <w:hideMark/>
          </w:tcPr>
          <w:p w14:paraId="38A1157D" w14:textId="77777777" w:rsidR="00343BD7" w:rsidRPr="00343BD7" w:rsidRDefault="00343BD7" w:rsidP="00343BD7">
            <w:pPr>
              <w:rPr>
                <w:rFonts w:asciiTheme="majorHAnsi" w:hAnsiTheme="majorHAnsi"/>
              </w:rPr>
            </w:pPr>
            <w:r w:rsidRPr="00343BD7">
              <w:rPr>
                <w:rFonts w:asciiTheme="majorHAnsi" w:hAnsiTheme="majorHAnsi"/>
              </w:rPr>
              <w:t>33%</w:t>
            </w:r>
          </w:p>
        </w:tc>
        <w:tc>
          <w:tcPr>
            <w:tcW w:w="894" w:type="dxa"/>
            <w:tcBorders>
              <w:top w:val="nil"/>
              <w:left w:val="nil"/>
              <w:bottom w:val="nil"/>
              <w:right w:val="nil"/>
            </w:tcBorders>
            <w:shd w:val="clear" w:color="000000" w:fill="FFFF00"/>
            <w:vAlign w:val="bottom"/>
            <w:hideMark/>
          </w:tcPr>
          <w:p w14:paraId="16C23CD9" w14:textId="77777777" w:rsidR="00343BD7" w:rsidRPr="00343BD7" w:rsidRDefault="00343BD7" w:rsidP="00343BD7">
            <w:pPr>
              <w:rPr>
                <w:rFonts w:asciiTheme="majorHAnsi" w:hAnsiTheme="majorHAnsi"/>
              </w:rPr>
            </w:pPr>
            <w:r w:rsidRPr="00343BD7">
              <w:rPr>
                <w:rFonts w:asciiTheme="majorHAnsi" w:hAnsiTheme="majorHAnsi"/>
              </w:rPr>
              <w:t>27%</w:t>
            </w:r>
          </w:p>
        </w:tc>
        <w:tc>
          <w:tcPr>
            <w:tcW w:w="1350" w:type="dxa"/>
            <w:tcBorders>
              <w:top w:val="nil"/>
              <w:left w:val="nil"/>
              <w:bottom w:val="nil"/>
              <w:right w:val="nil"/>
            </w:tcBorders>
            <w:shd w:val="clear" w:color="000000" w:fill="FFFF00"/>
            <w:vAlign w:val="bottom"/>
            <w:hideMark/>
          </w:tcPr>
          <w:p w14:paraId="34A4FB8B" w14:textId="77777777" w:rsidR="00343BD7" w:rsidRPr="00343BD7" w:rsidRDefault="00343BD7" w:rsidP="00343BD7">
            <w:pPr>
              <w:rPr>
                <w:rFonts w:asciiTheme="majorHAnsi" w:hAnsiTheme="majorHAnsi"/>
              </w:rPr>
            </w:pPr>
            <w:r w:rsidRPr="00343BD7">
              <w:rPr>
                <w:rFonts w:asciiTheme="majorHAnsi" w:hAnsiTheme="majorHAnsi"/>
              </w:rPr>
              <w:t>NA</w:t>
            </w:r>
          </w:p>
        </w:tc>
        <w:tc>
          <w:tcPr>
            <w:tcW w:w="1108" w:type="dxa"/>
            <w:tcBorders>
              <w:top w:val="nil"/>
              <w:left w:val="nil"/>
              <w:bottom w:val="nil"/>
              <w:right w:val="single" w:sz="8" w:space="0" w:color="auto"/>
            </w:tcBorders>
            <w:shd w:val="clear" w:color="000000" w:fill="D9D9D9"/>
            <w:vAlign w:val="bottom"/>
            <w:hideMark/>
          </w:tcPr>
          <w:p w14:paraId="3852CB81" w14:textId="77777777" w:rsidR="00343BD7" w:rsidRPr="00343BD7" w:rsidRDefault="00343BD7" w:rsidP="00343BD7">
            <w:pPr>
              <w:rPr>
                <w:rFonts w:asciiTheme="majorHAnsi" w:hAnsiTheme="majorHAnsi"/>
              </w:rPr>
            </w:pPr>
            <w:r w:rsidRPr="00343BD7">
              <w:rPr>
                <w:rFonts w:asciiTheme="majorHAnsi" w:hAnsiTheme="majorHAnsi"/>
              </w:rPr>
              <w:t>0.00%</w:t>
            </w:r>
          </w:p>
        </w:tc>
      </w:tr>
      <w:tr w:rsidR="00343BD7" w:rsidRPr="00343BD7" w14:paraId="120BF5A7" w14:textId="77777777" w:rsidTr="001A21EF">
        <w:trPr>
          <w:trHeight w:val="70"/>
        </w:trPr>
        <w:tc>
          <w:tcPr>
            <w:tcW w:w="651" w:type="dxa"/>
            <w:tcBorders>
              <w:top w:val="nil"/>
              <w:left w:val="single" w:sz="8" w:space="0" w:color="auto"/>
              <w:bottom w:val="nil"/>
              <w:right w:val="nil"/>
            </w:tcBorders>
            <w:shd w:val="clear" w:color="000000" w:fill="FFC000"/>
            <w:vAlign w:val="bottom"/>
            <w:hideMark/>
          </w:tcPr>
          <w:p w14:paraId="0800616C" w14:textId="77777777" w:rsidR="00343BD7" w:rsidRPr="00343BD7" w:rsidRDefault="00343BD7" w:rsidP="00343BD7">
            <w:pPr>
              <w:rPr>
                <w:rFonts w:asciiTheme="majorHAnsi" w:hAnsiTheme="majorHAnsi"/>
              </w:rPr>
            </w:pPr>
            <w:r w:rsidRPr="00343BD7">
              <w:rPr>
                <w:rFonts w:asciiTheme="majorHAnsi" w:hAnsiTheme="majorHAnsi"/>
              </w:rPr>
              <w:t>OR</w:t>
            </w:r>
          </w:p>
        </w:tc>
        <w:tc>
          <w:tcPr>
            <w:tcW w:w="936" w:type="dxa"/>
            <w:tcBorders>
              <w:top w:val="nil"/>
              <w:left w:val="nil"/>
              <w:bottom w:val="nil"/>
              <w:right w:val="nil"/>
            </w:tcBorders>
            <w:shd w:val="clear" w:color="000000" w:fill="FFC000"/>
            <w:vAlign w:val="bottom"/>
            <w:hideMark/>
          </w:tcPr>
          <w:p w14:paraId="11A62E06" w14:textId="77777777" w:rsidR="00343BD7" w:rsidRPr="00343BD7" w:rsidRDefault="00343BD7" w:rsidP="00343BD7">
            <w:pPr>
              <w:rPr>
                <w:rFonts w:asciiTheme="majorHAnsi" w:hAnsiTheme="majorHAnsi"/>
              </w:rPr>
            </w:pPr>
            <w:r w:rsidRPr="00343BD7">
              <w:rPr>
                <w:rFonts w:asciiTheme="majorHAnsi" w:hAnsiTheme="majorHAnsi"/>
              </w:rPr>
              <w:t>W07D0C</w:t>
            </w:r>
          </w:p>
        </w:tc>
        <w:tc>
          <w:tcPr>
            <w:tcW w:w="3802" w:type="dxa"/>
            <w:tcBorders>
              <w:top w:val="nil"/>
              <w:left w:val="nil"/>
              <w:bottom w:val="nil"/>
              <w:right w:val="nil"/>
            </w:tcBorders>
            <w:shd w:val="clear" w:color="000000" w:fill="FFC000"/>
            <w:vAlign w:val="bottom"/>
            <w:hideMark/>
          </w:tcPr>
          <w:p w14:paraId="2F406217" w14:textId="77777777" w:rsidR="00343BD7" w:rsidRPr="00343BD7" w:rsidRDefault="00343BD7" w:rsidP="00343BD7">
            <w:pPr>
              <w:rPr>
                <w:rFonts w:asciiTheme="majorHAnsi" w:hAnsiTheme="majorHAnsi"/>
              </w:rPr>
            </w:pPr>
            <w:r w:rsidRPr="00343BD7">
              <w:rPr>
                <w:rFonts w:asciiTheme="majorHAnsi" w:hAnsiTheme="majorHAnsi"/>
              </w:rPr>
              <w:t>ratio of facilities that submitted Discharge Monitoring Reports (DMRs) to the number of facilities that were expected to submit DMRs during that same time period</w:t>
            </w:r>
          </w:p>
        </w:tc>
        <w:tc>
          <w:tcPr>
            <w:tcW w:w="1440" w:type="dxa"/>
            <w:tcBorders>
              <w:top w:val="nil"/>
              <w:left w:val="nil"/>
              <w:bottom w:val="nil"/>
              <w:right w:val="nil"/>
            </w:tcBorders>
            <w:shd w:val="clear" w:color="000000" w:fill="FFC000"/>
            <w:vAlign w:val="bottom"/>
            <w:hideMark/>
          </w:tcPr>
          <w:p w14:paraId="53FFD1E3" w14:textId="77777777" w:rsidR="00343BD7" w:rsidRPr="00343BD7" w:rsidRDefault="00343BD7" w:rsidP="00343BD7">
            <w:pPr>
              <w:rPr>
                <w:rFonts w:asciiTheme="majorHAnsi" w:hAnsiTheme="majorHAnsi"/>
              </w:rPr>
            </w:pPr>
            <w:r w:rsidRPr="00343BD7">
              <w:rPr>
                <w:rFonts w:asciiTheme="majorHAnsi" w:hAnsiTheme="majorHAnsi"/>
              </w:rPr>
              <w:t>Data Quality</w:t>
            </w:r>
          </w:p>
        </w:tc>
        <w:tc>
          <w:tcPr>
            <w:tcW w:w="816" w:type="dxa"/>
            <w:tcBorders>
              <w:top w:val="nil"/>
              <w:left w:val="nil"/>
              <w:bottom w:val="nil"/>
              <w:right w:val="nil"/>
            </w:tcBorders>
            <w:shd w:val="clear" w:color="000000" w:fill="FFC000"/>
            <w:vAlign w:val="bottom"/>
            <w:hideMark/>
          </w:tcPr>
          <w:p w14:paraId="1823E0E3" w14:textId="77777777" w:rsidR="00343BD7" w:rsidRPr="00343BD7" w:rsidRDefault="00343BD7" w:rsidP="00343BD7">
            <w:pPr>
              <w:rPr>
                <w:rFonts w:asciiTheme="majorHAnsi" w:hAnsiTheme="majorHAnsi"/>
              </w:rPr>
            </w:pPr>
            <w:r w:rsidRPr="00343BD7">
              <w:rPr>
                <w:rFonts w:asciiTheme="majorHAnsi" w:hAnsiTheme="majorHAnsi"/>
              </w:rPr>
              <w:t>NA</w:t>
            </w:r>
          </w:p>
        </w:tc>
        <w:tc>
          <w:tcPr>
            <w:tcW w:w="894" w:type="dxa"/>
            <w:tcBorders>
              <w:top w:val="nil"/>
              <w:left w:val="nil"/>
              <w:bottom w:val="nil"/>
              <w:right w:val="nil"/>
            </w:tcBorders>
            <w:shd w:val="clear" w:color="000000" w:fill="FFC000"/>
            <w:vAlign w:val="bottom"/>
            <w:hideMark/>
          </w:tcPr>
          <w:p w14:paraId="33771BC3" w14:textId="77777777" w:rsidR="00343BD7" w:rsidRPr="00343BD7" w:rsidRDefault="00343BD7" w:rsidP="00343BD7">
            <w:pPr>
              <w:rPr>
                <w:rFonts w:asciiTheme="majorHAnsi" w:hAnsiTheme="majorHAnsi"/>
              </w:rPr>
            </w:pPr>
            <w:r w:rsidRPr="00343BD7">
              <w:rPr>
                <w:rFonts w:asciiTheme="majorHAnsi" w:hAnsiTheme="majorHAnsi"/>
              </w:rPr>
              <w:t>0%</w:t>
            </w:r>
          </w:p>
        </w:tc>
        <w:tc>
          <w:tcPr>
            <w:tcW w:w="1350" w:type="dxa"/>
            <w:tcBorders>
              <w:top w:val="nil"/>
              <w:left w:val="nil"/>
              <w:bottom w:val="nil"/>
              <w:right w:val="nil"/>
            </w:tcBorders>
            <w:shd w:val="clear" w:color="000000" w:fill="FFC000"/>
            <w:vAlign w:val="bottom"/>
            <w:hideMark/>
          </w:tcPr>
          <w:p w14:paraId="7B70E3A0" w14:textId="77777777" w:rsidR="00343BD7" w:rsidRPr="00343BD7" w:rsidRDefault="00343BD7" w:rsidP="00343BD7">
            <w:pPr>
              <w:rPr>
                <w:rFonts w:asciiTheme="majorHAnsi" w:hAnsiTheme="majorHAnsi"/>
              </w:rPr>
            </w:pPr>
            <w:r w:rsidRPr="00343BD7">
              <w:rPr>
                <w:rFonts w:asciiTheme="majorHAnsi" w:hAnsiTheme="majorHAnsi"/>
              </w:rPr>
              <w:t>NA</w:t>
            </w:r>
          </w:p>
        </w:tc>
        <w:tc>
          <w:tcPr>
            <w:tcW w:w="1108" w:type="dxa"/>
            <w:tcBorders>
              <w:top w:val="nil"/>
              <w:left w:val="nil"/>
              <w:bottom w:val="nil"/>
              <w:right w:val="single" w:sz="8" w:space="0" w:color="auto"/>
            </w:tcBorders>
            <w:shd w:val="clear" w:color="000000" w:fill="D9D9D9"/>
            <w:vAlign w:val="bottom"/>
            <w:hideMark/>
          </w:tcPr>
          <w:p w14:paraId="34D95E85" w14:textId="77777777" w:rsidR="00343BD7" w:rsidRPr="00343BD7" w:rsidRDefault="00343BD7" w:rsidP="00343BD7">
            <w:pPr>
              <w:rPr>
                <w:rFonts w:asciiTheme="majorHAnsi" w:hAnsiTheme="majorHAnsi"/>
              </w:rPr>
            </w:pPr>
            <w:r w:rsidRPr="00343BD7">
              <w:rPr>
                <w:rFonts w:asciiTheme="majorHAnsi" w:hAnsiTheme="majorHAnsi"/>
              </w:rPr>
              <w:t>0.00%</w:t>
            </w:r>
          </w:p>
        </w:tc>
      </w:tr>
      <w:tr w:rsidR="00343BD7" w:rsidRPr="00343BD7" w14:paraId="5201FDE7" w14:textId="77777777" w:rsidTr="001A21EF">
        <w:trPr>
          <w:trHeight w:val="70"/>
        </w:trPr>
        <w:tc>
          <w:tcPr>
            <w:tcW w:w="651" w:type="dxa"/>
            <w:tcBorders>
              <w:top w:val="nil"/>
              <w:left w:val="single" w:sz="8" w:space="0" w:color="auto"/>
              <w:bottom w:val="single" w:sz="8" w:space="0" w:color="auto"/>
              <w:right w:val="nil"/>
            </w:tcBorders>
            <w:shd w:val="clear" w:color="000000" w:fill="92D050"/>
            <w:vAlign w:val="bottom"/>
            <w:hideMark/>
          </w:tcPr>
          <w:p w14:paraId="6FDBB945" w14:textId="77777777" w:rsidR="00343BD7" w:rsidRPr="00343BD7" w:rsidRDefault="00343BD7" w:rsidP="00343BD7">
            <w:pPr>
              <w:rPr>
                <w:rFonts w:asciiTheme="majorHAnsi" w:hAnsiTheme="majorHAnsi"/>
              </w:rPr>
            </w:pPr>
            <w:r w:rsidRPr="00343BD7">
              <w:rPr>
                <w:rFonts w:asciiTheme="majorHAnsi" w:hAnsiTheme="majorHAnsi"/>
              </w:rPr>
              <w:t>WA</w:t>
            </w:r>
          </w:p>
        </w:tc>
        <w:tc>
          <w:tcPr>
            <w:tcW w:w="936" w:type="dxa"/>
            <w:tcBorders>
              <w:top w:val="nil"/>
              <w:left w:val="nil"/>
              <w:bottom w:val="single" w:sz="8" w:space="0" w:color="auto"/>
              <w:right w:val="nil"/>
            </w:tcBorders>
            <w:shd w:val="clear" w:color="000000" w:fill="92D050"/>
            <w:vAlign w:val="bottom"/>
            <w:hideMark/>
          </w:tcPr>
          <w:p w14:paraId="5B5F6F58" w14:textId="77777777" w:rsidR="00343BD7" w:rsidRPr="00343BD7" w:rsidRDefault="00343BD7" w:rsidP="00343BD7">
            <w:pPr>
              <w:rPr>
                <w:rFonts w:asciiTheme="majorHAnsi" w:hAnsiTheme="majorHAnsi"/>
              </w:rPr>
            </w:pPr>
            <w:r w:rsidRPr="00343BD7">
              <w:rPr>
                <w:rFonts w:asciiTheme="majorHAnsi" w:hAnsiTheme="majorHAnsi"/>
              </w:rPr>
              <w:t>W07D0C</w:t>
            </w:r>
          </w:p>
        </w:tc>
        <w:tc>
          <w:tcPr>
            <w:tcW w:w="3802" w:type="dxa"/>
            <w:tcBorders>
              <w:top w:val="nil"/>
              <w:left w:val="nil"/>
              <w:bottom w:val="single" w:sz="8" w:space="0" w:color="auto"/>
              <w:right w:val="nil"/>
            </w:tcBorders>
            <w:shd w:val="clear" w:color="000000" w:fill="92D050"/>
            <w:vAlign w:val="bottom"/>
            <w:hideMark/>
          </w:tcPr>
          <w:p w14:paraId="773F76BB" w14:textId="77777777" w:rsidR="00343BD7" w:rsidRPr="00343BD7" w:rsidRDefault="00343BD7" w:rsidP="00343BD7">
            <w:pPr>
              <w:rPr>
                <w:rFonts w:asciiTheme="majorHAnsi" w:hAnsiTheme="majorHAnsi"/>
              </w:rPr>
            </w:pPr>
            <w:r w:rsidRPr="00343BD7">
              <w:rPr>
                <w:rFonts w:asciiTheme="majorHAnsi" w:hAnsiTheme="majorHAnsi"/>
              </w:rPr>
              <w:t>ratio of facilities that submitted Discharge Monitoring Reports (DMRs) to the number of facilities that were expected to submit DMRs during that same time period</w:t>
            </w:r>
          </w:p>
        </w:tc>
        <w:tc>
          <w:tcPr>
            <w:tcW w:w="1440" w:type="dxa"/>
            <w:tcBorders>
              <w:top w:val="nil"/>
              <w:left w:val="nil"/>
              <w:bottom w:val="single" w:sz="8" w:space="0" w:color="auto"/>
              <w:right w:val="nil"/>
            </w:tcBorders>
            <w:shd w:val="clear" w:color="000000" w:fill="92D050"/>
            <w:vAlign w:val="bottom"/>
            <w:hideMark/>
          </w:tcPr>
          <w:p w14:paraId="58BAD620" w14:textId="77777777" w:rsidR="00343BD7" w:rsidRPr="00343BD7" w:rsidRDefault="00343BD7" w:rsidP="00343BD7">
            <w:pPr>
              <w:rPr>
                <w:rFonts w:asciiTheme="majorHAnsi" w:hAnsiTheme="majorHAnsi"/>
              </w:rPr>
            </w:pPr>
            <w:r w:rsidRPr="00343BD7">
              <w:rPr>
                <w:rFonts w:asciiTheme="majorHAnsi" w:hAnsiTheme="majorHAnsi"/>
              </w:rPr>
              <w:t>Data Quality</w:t>
            </w:r>
          </w:p>
        </w:tc>
        <w:tc>
          <w:tcPr>
            <w:tcW w:w="816" w:type="dxa"/>
            <w:tcBorders>
              <w:top w:val="nil"/>
              <w:left w:val="nil"/>
              <w:bottom w:val="single" w:sz="8" w:space="0" w:color="auto"/>
              <w:right w:val="nil"/>
            </w:tcBorders>
            <w:shd w:val="clear" w:color="000000" w:fill="92D050"/>
            <w:vAlign w:val="bottom"/>
            <w:hideMark/>
          </w:tcPr>
          <w:p w14:paraId="12B55C93" w14:textId="77777777" w:rsidR="00343BD7" w:rsidRPr="00343BD7" w:rsidRDefault="00343BD7" w:rsidP="00343BD7">
            <w:pPr>
              <w:rPr>
                <w:rFonts w:asciiTheme="majorHAnsi" w:hAnsiTheme="majorHAnsi"/>
              </w:rPr>
            </w:pPr>
            <w:r w:rsidRPr="00343BD7">
              <w:rPr>
                <w:rFonts w:asciiTheme="majorHAnsi" w:hAnsiTheme="majorHAnsi"/>
              </w:rPr>
              <w:t>1.3%%</w:t>
            </w:r>
          </w:p>
        </w:tc>
        <w:tc>
          <w:tcPr>
            <w:tcW w:w="894" w:type="dxa"/>
            <w:tcBorders>
              <w:top w:val="nil"/>
              <w:left w:val="nil"/>
              <w:bottom w:val="single" w:sz="8" w:space="0" w:color="auto"/>
              <w:right w:val="nil"/>
            </w:tcBorders>
            <w:shd w:val="clear" w:color="000000" w:fill="92D050"/>
            <w:vAlign w:val="bottom"/>
            <w:hideMark/>
          </w:tcPr>
          <w:p w14:paraId="52AD29CD" w14:textId="77777777" w:rsidR="00343BD7" w:rsidRPr="00343BD7" w:rsidRDefault="00343BD7" w:rsidP="00343BD7">
            <w:pPr>
              <w:rPr>
                <w:rFonts w:asciiTheme="majorHAnsi" w:hAnsiTheme="majorHAnsi"/>
              </w:rPr>
            </w:pPr>
            <w:r w:rsidRPr="00343BD7">
              <w:rPr>
                <w:rFonts w:asciiTheme="majorHAnsi" w:hAnsiTheme="majorHAnsi"/>
              </w:rPr>
              <w:t>1%</w:t>
            </w:r>
          </w:p>
        </w:tc>
        <w:tc>
          <w:tcPr>
            <w:tcW w:w="1350" w:type="dxa"/>
            <w:tcBorders>
              <w:top w:val="nil"/>
              <w:left w:val="nil"/>
              <w:bottom w:val="single" w:sz="8" w:space="0" w:color="auto"/>
              <w:right w:val="nil"/>
            </w:tcBorders>
            <w:shd w:val="clear" w:color="000000" w:fill="92D050"/>
            <w:vAlign w:val="bottom"/>
            <w:hideMark/>
          </w:tcPr>
          <w:p w14:paraId="5829725E" w14:textId="77777777" w:rsidR="00343BD7" w:rsidRPr="00343BD7" w:rsidRDefault="00343BD7" w:rsidP="00343BD7">
            <w:pPr>
              <w:rPr>
                <w:rFonts w:asciiTheme="majorHAnsi" w:hAnsiTheme="majorHAnsi"/>
              </w:rPr>
            </w:pPr>
            <w:r w:rsidRPr="00343BD7">
              <w:rPr>
                <w:rFonts w:asciiTheme="majorHAnsi" w:hAnsiTheme="majorHAnsi"/>
              </w:rPr>
              <w:t>NA</w:t>
            </w:r>
          </w:p>
        </w:tc>
        <w:tc>
          <w:tcPr>
            <w:tcW w:w="1108" w:type="dxa"/>
            <w:tcBorders>
              <w:top w:val="nil"/>
              <w:left w:val="nil"/>
              <w:bottom w:val="single" w:sz="8" w:space="0" w:color="auto"/>
              <w:right w:val="single" w:sz="8" w:space="0" w:color="auto"/>
            </w:tcBorders>
            <w:shd w:val="clear" w:color="000000" w:fill="D9D9D9"/>
            <w:vAlign w:val="bottom"/>
            <w:hideMark/>
          </w:tcPr>
          <w:p w14:paraId="49155245" w14:textId="77777777" w:rsidR="00343BD7" w:rsidRPr="00343BD7" w:rsidRDefault="00343BD7" w:rsidP="00343BD7">
            <w:pPr>
              <w:rPr>
                <w:rFonts w:asciiTheme="majorHAnsi" w:hAnsiTheme="majorHAnsi"/>
              </w:rPr>
            </w:pPr>
            <w:r w:rsidRPr="00343BD7">
              <w:rPr>
                <w:rFonts w:asciiTheme="majorHAnsi" w:hAnsiTheme="majorHAnsi"/>
              </w:rPr>
              <w:t>0.00%</w:t>
            </w:r>
          </w:p>
        </w:tc>
      </w:tr>
    </w:tbl>
    <w:p w14:paraId="317662C8" w14:textId="77777777" w:rsidR="00343BD7" w:rsidRPr="00343BD7" w:rsidRDefault="00343BD7" w:rsidP="00343BD7">
      <w:pPr>
        <w:rPr>
          <w:rFonts w:asciiTheme="majorHAnsi" w:hAnsiTheme="majorHAnsi"/>
        </w:rPr>
      </w:pPr>
    </w:p>
    <w:p w14:paraId="25B860A9" w14:textId="77777777" w:rsidR="00343BD7" w:rsidRPr="00343BD7" w:rsidRDefault="00343BD7" w:rsidP="00343BD7">
      <w:pPr>
        <w:rPr>
          <w:rFonts w:asciiTheme="majorHAnsi" w:hAnsiTheme="majorHAnsi"/>
        </w:rPr>
      </w:pPr>
    </w:p>
    <w:p w14:paraId="2D60EA3E" w14:textId="77777777" w:rsidR="00343BD7" w:rsidRPr="00343BD7" w:rsidRDefault="00343BD7" w:rsidP="00343BD7">
      <w:pPr>
        <w:rPr>
          <w:rFonts w:asciiTheme="majorHAnsi" w:hAnsiTheme="majorHAnsi"/>
          <w:b/>
          <w:bCs/>
          <w:lang w:val="x-none"/>
        </w:rPr>
      </w:pPr>
      <w:bookmarkStart w:id="2" w:name="_Toc384128571"/>
      <w:r w:rsidRPr="00343BD7">
        <w:rPr>
          <w:rFonts w:asciiTheme="majorHAnsi" w:hAnsiTheme="majorHAnsi"/>
          <w:b/>
          <w:bCs/>
          <w:lang w:val="x-none"/>
        </w:rPr>
        <w:t>Climate Change Resilience</w:t>
      </w:r>
      <w:bookmarkEnd w:id="2"/>
    </w:p>
    <w:p w14:paraId="7A0724DC" w14:textId="77777777" w:rsidR="00343BD7" w:rsidRPr="00343BD7" w:rsidRDefault="00343BD7" w:rsidP="00343BD7">
      <w:pPr>
        <w:rPr>
          <w:rFonts w:asciiTheme="majorHAnsi" w:hAnsiTheme="majorHAnsi"/>
        </w:rPr>
      </w:pPr>
      <w:r w:rsidRPr="00343BD7">
        <w:rPr>
          <w:rFonts w:asciiTheme="majorHAnsi" w:hAnsiTheme="majorHAnsi"/>
          <w:i/>
          <w:u w:val="single"/>
        </w:rPr>
        <w:t>Where used</w:t>
      </w:r>
      <w:r w:rsidRPr="00343BD7">
        <w:rPr>
          <w:rFonts w:asciiTheme="majorHAnsi" w:hAnsiTheme="majorHAnsi"/>
        </w:rPr>
        <w:t>: Resilience for coastal protection, carbon storage, and biodiversity goals</w:t>
      </w:r>
    </w:p>
    <w:p w14:paraId="7F1E120A" w14:textId="77777777" w:rsidR="00343BD7" w:rsidRPr="00343BD7" w:rsidRDefault="00343BD7" w:rsidP="00343BD7">
      <w:pPr>
        <w:rPr>
          <w:rFonts w:asciiTheme="majorHAnsi" w:hAnsiTheme="majorHAnsi"/>
        </w:rPr>
      </w:pPr>
      <w:r w:rsidRPr="00343BD7">
        <w:rPr>
          <w:rFonts w:asciiTheme="majorHAnsi" w:hAnsiTheme="majorHAnsi"/>
          <w:i/>
          <w:u w:val="single"/>
        </w:rPr>
        <w:t>Description</w:t>
      </w:r>
      <w:r w:rsidRPr="00343BD7">
        <w:rPr>
          <w:rFonts w:asciiTheme="majorHAnsi" w:hAnsiTheme="majorHAnsi"/>
        </w:rPr>
        <w:t>: This Resilience measure was based on the a U.S. state-level assessment by the Center for Climate and Energy Solutions (2012) that looks at the implementation of Climate Change related initiatives across 4 sectors (Climate Action, Energy Sector, Transportation, and Building Sector). To create a score for this layer each initiative present within a state was given a point, with a potential for 26 points total across all 4 sectors. Scores were then allocated as a percent of the total potential and rescaled between 0 and 1.</w:t>
      </w:r>
    </w:p>
    <w:p w14:paraId="3FA70F3B" w14:textId="77777777" w:rsidR="00343BD7" w:rsidRPr="00343BD7" w:rsidRDefault="00343BD7" w:rsidP="00343BD7">
      <w:pPr>
        <w:rPr>
          <w:rFonts w:asciiTheme="majorHAnsi" w:hAnsiTheme="majorHAnsi"/>
        </w:rPr>
      </w:pPr>
    </w:p>
    <w:p w14:paraId="07001F2E" w14:textId="77777777" w:rsidR="00343BD7" w:rsidRPr="00343BD7" w:rsidRDefault="00343BD7" w:rsidP="00343BD7">
      <w:pPr>
        <w:rPr>
          <w:rFonts w:asciiTheme="majorHAnsi" w:hAnsiTheme="majorHAnsi"/>
        </w:rPr>
      </w:pPr>
      <w:r w:rsidRPr="00343BD7">
        <w:rPr>
          <w:rFonts w:asciiTheme="majorHAnsi" w:hAnsiTheme="majorHAnsi"/>
        </w:rPr>
        <w:t>Center for Climate and Energy Solutions. 2012. See “Center for Climate and Energy Solutions” file attached.</w:t>
      </w:r>
    </w:p>
    <w:p w14:paraId="2AB8EBE6" w14:textId="77777777" w:rsidR="00343BD7" w:rsidRPr="00343BD7" w:rsidRDefault="00343BD7" w:rsidP="00343BD7">
      <w:pPr>
        <w:rPr>
          <w:rFonts w:asciiTheme="majorHAnsi" w:hAnsiTheme="majorHAnsi"/>
        </w:rPr>
      </w:pPr>
    </w:p>
    <w:p w14:paraId="133E9546" w14:textId="77777777" w:rsidR="00343BD7" w:rsidRPr="00343BD7" w:rsidRDefault="00343BD7" w:rsidP="00343BD7">
      <w:pPr>
        <w:rPr>
          <w:rFonts w:asciiTheme="majorHAnsi" w:hAnsiTheme="majorHAnsi"/>
          <w:b/>
          <w:bCs/>
        </w:rPr>
      </w:pPr>
      <w:bookmarkStart w:id="3" w:name="_Toc384128590"/>
      <w:r w:rsidRPr="00343BD7">
        <w:rPr>
          <w:rFonts w:asciiTheme="majorHAnsi" w:hAnsiTheme="majorHAnsi"/>
          <w:b/>
          <w:bCs/>
        </w:rPr>
        <w:t>Lenfest Report: An Economic, Legal and Institutional Assessment of Enforcement and Compliance in Federally Managed U.S. Commercial Fisheries</w:t>
      </w:r>
      <w:bookmarkEnd w:id="3"/>
    </w:p>
    <w:p w14:paraId="62F1532D" w14:textId="77777777" w:rsidR="00343BD7" w:rsidRPr="00343BD7" w:rsidRDefault="00343BD7" w:rsidP="00343BD7">
      <w:pPr>
        <w:rPr>
          <w:rFonts w:asciiTheme="majorHAnsi" w:hAnsiTheme="majorHAnsi"/>
        </w:rPr>
      </w:pPr>
      <w:r w:rsidRPr="00343BD7">
        <w:rPr>
          <w:rFonts w:asciiTheme="majorHAnsi" w:hAnsiTheme="majorHAnsi"/>
          <w:i/>
          <w:u w:val="single"/>
        </w:rPr>
        <w:t>Where used</w:t>
      </w:r>
      <w:r w:rsidRPr="00343BD7">
        <w:rPr>
          <w:rFonts w:asciiTheme="majorHAnsi" w:hAnsiTheme="majorHAnsi"/>
        </w:rPr>
        <w:t>: Resilience for food provision, artisanal fishing opportunity, sense of place, and biodiversity goals</w:t>
      </w:r>
    </w:p>
    <w:p w14:paraId="5F10E0C1" w14:textId="77777777" w:rsidR="00343BD7" w:rsidRPr="00343BD7" w:rsidRDefault="00343BD7" w:rsidP="00343BD7">
      <w:pPr>
        <w:rPr>
          <w:rFonts w:asciiTheme="majorHAnsi" w:hAnsiTheme="majorHAnsi"/>
        </w:rPr>
      </w:pPr>
      <w:r w:rsidRPr="00343BD7">
        <w:rPr>
          <w:rFonts w:asciiTheme="majorHAnsi" w:hAnsiTheme="majorHAnsi"/>
          <w:i/>
          <w:u w:val="single"/>
        </w:rPr>
        <w:lastRenderedPageBreak/>
        <w:t>Description</w:t>
      </w:r>
      <w:r w:rsidRPr="00343BD7">
        <w:rPr>
          <w:rFonts w:asciiTheme="majorHAnsi" w:hAnsiTheme="majorHAnsi"/>
        </w:rPr>
        <w:t xml:space="preserve">: This study conducted by the Lenfest Ocean Program is aimed at analyzing and quantifying the state of enforcement and compliance within U.S. Federally managed fisheries (www.lenfestocean.org). The study was national in scope, but was limited to case study regions and fisheries. For the Pacific coast the Pacific groundfish trawl fishery was the focus of the study. Included in this research were “(1) an analysis of national and regional fishery enforcement statistics; (2) mail and on-line surveys of fishermen, fishery enforcement staff, and fishery managers and scientists; and (3) interviews with fishermen, fishery enforcement staff, and fishery managers. The statistical results and survey and interview responses were compared with the results of previous studies to corroborate findings and identify trends and changes”. The Lenfest group developed a 58 question survey that was sent out to fishermen, regulators, enforcement staff and researchers in the Northeast, Gulf of Mexico and along the Pacific coast of the United States. For our purposes we broke the survey questions down into ‘Enforcement’ and ‘Compliance’ categories and used the respondents % agreement to score each question. Scores were then aggregated within each category to derive an average ‘Enforcement’ and an average ‘Compliance’ score and were rescaled to between 0-100. These scores were then averaged to come up with a single score for the Pacific coast.  </w:t>
      </w:r>
    </w:p>
    <w:p w14:paraId="258B2C2C" w14:textId="77777777" w:rsidR="00343BD7" w:rsidRPr="00343BD7" w:rsidRDefault="00343BD7" w:rsidP="00343BD7">
      <w:pPr>
        <w:rPr>
          <w:rFonts w:asciiTheme="majorHAnsi" w:hAnsiTheme="majorHAnsi"/>
        </w:rPr>
      </w:pPr>
    </w:p>
    <w:p w14:paraId="672A6894" w14:textId="77777777" w:rsidR="00343BD7" w:rsidRPr="00343BD7" w:rsidRDefault="00343BD7" w:rsidP="00343BD7">
      <w:pPr>
        <w:rPr>
          <w:rFonts w:asciiTheme="majorHAnsi" w:hAnsiTheme="majorHAnsi"/>
        </w:rPr>
      </w:pPr>
      <w:r w:rsidRPr="00343BD7">
        <w:rPr>
          <w:rFonts w:asciiTheme="majorHAnsi" w:hAnsiTheme="majorHAnsi"/>
        </w:rPr>
        <w:t>Lenfest Ocean Program. 2009. An Economic, Legal and Institutional Assessment of Enforcement and Compliance in Federally Managed U.S. Commercial Fisheries. See “Lenfest Report 2009” files attached</w:t>
      </w:r>
    </w:p>
    <w:p w14:paraId="60FAD260" w14:textId="77777777" w:rsidR="00343BD7" w:rsidRPr="00343BD7" w:rsidRDefault="00343BD7" w:rsidP="00343BD7">
      <w:pPr>
        <w:rPr>
          <w:rFonts w:asciiTheme="majorHAnsi" w:hAnsiTheme="majorHAnsi"/>
        </w:rPr>
      </w:pPr>
    </w:p>
    <w:p w14:paraId="11659A33" w14:textId="77777777" w:rsidR="00343BD7" w:rsidRPr="00343BD7" w:rsidRDefault="00343BD7" w:rsidP="00343BD7">
      <w:pPr>
        <w:rPr>
          <w:rFonts w:asciiTheme="majorHAnsi" w:hAnsiTheme="majorHAnsi"/>
          <w:b/>
          <w:bCs/>
          <w:lang w:val="x-none"/>
        </w:rPr>
      </w:pPr>
      <w:bookmarkStart w:id="4" w:name="_Toc384128608"/>
      <w:r w:rsidRPr="00343BD7">
        <w:rPr>
          <w:rFonts w:asciiTheme="majorHAnsi" w:hAnsiTheme="majorHAnsi"/>
          <w:b/>
          <w:bCs/>
          <w:lang w:val="x-none"/>
        </w:rPr>
        <w:t>State Competitiveness Report</w:t>
      </w:r>
      <w:bookmarkEnd w:id="4"/>
    </w:p>
    <w:p w14:paraId="01D94A88" w14:textId="77777777" w:rsidR="00343BD7" w:rsidRPr="00343BD7" w:rsidRDefault="00343BD7" w:rsidP="00343BD7">
      <w:pPr>
        <w:rPr>
          <w:rFonts w:asciiTheme="majorHAnsi" w:hAnsiTheme="majorHAnsi"/>
        </w:rPr>
      </w:pPr>
      <w:r w:rsidRPr="00343BD7">
        <w:rPr>
          <w:rFonts w:asciiTheme="majorHAnsi" w:hAnsiTheme="majorHAnsi"/>
          <w:i/>
          <w:u w:val="single"/>
        </w:rPr>
        <w:t>Where used</w:t>
      </w:r>
      <w:r w:rsidRPr="00343BD7">
        <w:rPr>
          <w:rFonts w:asciiTheme="majorHAnsi" w:hAnsiTheme="majorHAnsi"/>
        </w:rPr>
        <w:t>: Resilience measure in the livelihoods and economies goal</w:t>
      </w:r>
    </w:p>
    <w:p w14:paraId="080CF922" w14:textId="77777777" w:rsidR="00343BD7" w:rsidRPr="00343BD7" w:rsidRDefault="00343BD7" w:rsidP="00343BD7">
      <w:pPr>
        <w:rPr>
          <w:rFonts w:asciiTheme="majorHAnsi" w:hAnsiTheme="majorHAnsi"/>
        </w:rPr>
      </w:pPr>
      <w:r w:rsidRPr="00343BD7">
        <w:rPr>
          <w:rFonts w:asciiTheme="majorHAnsi" w:hAnsiTheme="majorHAnsi"/>
          <w:i/>
          <w:u w:val="single"/>
        </w:rPr>
        <w:t>Description</w:t>
      </w:r>
      <w:r w:rsidRPr="00343BD7">
        <w:rPr>
          <w:rFonts w:asciiTheme="majorHAnsi" w:hAnsiTheme="majorHAnsi"/>
        </w:rPr>
        <w:t>: The State Competitiveness Report is produced by Beacon Hill Institute on an annual basis and aggregates key microeconomic variables into a single index to measure the economic competitiveness of each state.  A state is considered by Beacon Hill Institute to be competitive “if it has in place the policies and conditions that ensure and sustain a high level of per capita income and its continued growth”. Sub-indicators used to assess each state include: Government and fiscal policies, Security, Infrastructure, Human resources, Technology, Business incubation, Openness, and Environmental Policy. Index scores from 2011 were used for all state resilience measures. Overall competitiveness scores are based on a simple average of the eight normalized sub-indices (mean=5, SD=1), which is then again normalized to have a mean of 5 and a standard deviation of 1. We then assigned a score to each state, from 0 to 1, where 1 is the maximum possible index score of 7.39 and 0 is the minimum of 2.88. See the 2011 State Competitiveness Report (</w:t>
      </w:r>
      <w:hyperlink r:id="rId6" w:history="1">
        <w:r w:rsidRPr="00343BD7">
          <w:rPr>
            <w:rStyle w:val="Hyperlink"/>
            <w:rFonts w:asciiTheme="majorHAnsi" w:hAnsiTheme="majorHAnsi"/>
          </w:rPr>
          <w:t>http://www.beaconhill.org/Compete11/Compete2011.pdf</w:t>
        </w:r>
      </w:hyperlink>
      <w:r w:rsidRPr="00343BD7">
        <w:rPr>
          <w:rFonts w:asciiTheme="majorHAnsi" w:hAnsiTheme="majorHAnsi"/>
        </w:rPr>
        <w:t>) for full methodological detail. This index was selected to be included in this regional assessment because of its comprehensive nature and because it is most often compared to the Global Competitiveness Index at the country region scale, which was used to measure competitiveness in the Ocean Health Index global assessment.</w:t>
      </w:r>
    </w:p>
    <w:p w14:paraId="74BE49E5" w14:textId="77777777" w:rsidR="00343BD7" w:rsidRPr="00343BD7" w:rsidRDefault="00343BD7" w:rsidP="00343BD7">
      <w:pPr>
        <w:rPr>
          <w:rFonts w:asciiTheme="majorHAnsi" w:hAnsiTheme="majorHAnsi"/>
        </w:rPr>
      </w:pPr>
    </w:p>
    <w:p w14:paraId="4325BE08" w14:textId="77777777" w:rsidR="00343BD7" w:rsidRPr="00343BD7" w:rsidRDefault="00343BD7" w:rsidP="00343BD7">
      <w:pPr>
        <w:rPr>
          <w:rFonts w:asciiTheme="majorHAnsi" w:hAnsiTheme="majorHAnsi"/>
        </w:rPr>
      </w:pPr>
      <w:r w:rsidRPr="00343BD7">
        <w:rPr>
          <w:rFonts w:asciiTheme="majorHAnsi" w:hAnsiTheme="majorHAnsi"/>
        </w:rPr>
        <w:t>See “State Competitiveness Report 2011” file attached.</w:t>
      </w:r>
    </w:p>
    <w:p w14:paraId="19F82089" w14:textId="77777777" w:rsidR="00343BD7" w:rsidRPr="00343BD7" w:rsidRDefault="00343BD7" w:rsidP="00343BD7">
      <w:pPr>
        <w:rPr>
          <w:rFonts w:asciiTheme="majorHAnsi" w:hAnsiTheme="majorHAnsi"/>
        </w:rPr>
      </w:pPr>
    </w:p>
    <w:p w14:paraId="5F04E343" w14:textId="77777777" w:rsidR="00343BD7" w:rsidRPr="00343BD7" w:rsidRDefault="00343BD7">
      <w:pPr>
        <w:rPr>
          <w:rFonts w:asciiTheme="majorHAnsi" w:hAnsiTheme="majorHAnsi"/>
        </w:rPr>
      </w:pPr>
    </w:p>
    <w:sectPr w:rsidR="00343BD7" w:rsidRPr="0034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7E5"/>
    <w:multiLevelType w:val="multilevel"/>
    <w:tmpl w:val="05B4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B33F5"/>
    <w:multiLevelType w:val="hybridMultilevel"/>
    <w:tmpl w:val="64DE3722"/>
    <w:lvl w:ilvl="0" w:tplc="429CD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55FF5"/>
    <w:multiLevelType w:val="hybridMultilevel"/>
    <w:tmpl w:val="1422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C2553B"/>
    <w:multiLevelType w:val="multilevel"/>
    <w:tmpl w:val="01A2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7F4CFE"/>
    <w:multiLevelType w:val="multilevel"/>
    <w:tmpl w:val="D90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68565E"/>
    <w:multiLevelType w:val="multilevel"/>
    <w:tmpl w:val="1B5A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BD7"/>
    <w:rsid w:val="00022C3A"/>
    <w:rsid w:val="001A21EF"/>
    <w:rsid w:val="00343BD7"/>
    <w:rsid w:val="007A1F6A"/>
    <w:rsid w:val="00CD1305"/>
    <w:rsid w:val="00F50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1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rsid w:val="00343B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43BD7"/>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305"/>
    <w:pPr>
      <w:spacing w:line="240" w:lineRule="auto"/>
    </w:pPr>
  </w:style>
  <w:style w:type="paragraph" w:styleId="ListParagraph">
    <w:name w:val="List Paragraph"/>
    <w:basedOn w:val="Normal"/>
    <w:uiPriority w:val="34"/>
    <w:qFormat/>
    <w:rsid w:val="00CD1305"/>
    <w:pPr>
      <w:ind w:left="720"/>
      <w:contextualSpacing/>
    </w:pPr>
  </w:style>
  <w:style w:type="character" w:customStyle="1" w:styleId="Heading2Char">
    <w:name w:val="Heading 2 Char"/>
    <w:basedOn w:val="DefaultParagraphFont"/>
    <w:link w:val="Heading2"/>
    <w:uiPriority w:val="9"/>
    <w:rsid w:val="00343BD7"/>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343B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343BD7"/>
    <w:rPr>
      <w:sz w:val="16"/>
      <w:szCs w:val="16"/>
    </w:rPr>
  </w:style>
  <w:style w:type="paragraph" w:styleId="CommentText">
    <w:name w:val="annotation text"/>
    <w:basedOn w:val="Normal"/>
    <w:link w:val="CommentTextChar"/>
    <w:uiPriority w:val="99"/>
    <w:semiHidden/>
    <w:unhideWhenUsed/>
    <w:rsid w:val="00343BD7"/>
    <w:pPr>
      <w:spacing w:line="240" w:lineRule="auto"/>
    </w:pPr>
    <w:rPr>
      <w:sz w:val="20"/>
      <w:szCs w:val="20"/>
    </w:rPr>
  </w:style>
  <w:style w:type="character" w:customStyle="1" w:styleId="CommentTextChar">
    <w:name w:val="Comment Text Char"/>
    <w:basedOn w:val="DefaultParagraphFont"/>
    <w:link w:val="CommentText"/>
    <w:uiPriority w:val="99"/>
    <w:semiHidden/>
    <w:rsid w:val="00343BD7"/>
    <w:rPr>
      <w:sz w:val="20"/>
      <w:szCs w:val="20"/>
    </w:rPr>
  </w:style>
  <w:style w:type="paragraph" w:styleId="CommentSubject">
    <w:name w:val="annotation subject"/>
    <w:basedOn w:val="CommentText"/>
    <w:next w:val="CommentText"/>
    <w:link w:val="CommentSubjectChar"/>
    <w:uiPriority w:val="99"/>
    <w:semiHidden/>
    <w:unhideWhenUsed/>
    <w:rsid w:val="00343BD7"/>
    <w:rPr>
      <w:b/>
      <w:bCs/>
    </w:rPr>
  </w:style>
  <w:style w:type="character" w:customStyle="1" w:styleId="CommentSubjectChar">
    <w:name w:val="Comment Subject Char"/>
    <w:basedOn w:val="CommentTextChar"/>
    <w:link w:val="CommentSubject"/>
    <w:uiPriority w:val="99"/>
    <w:semiHidden/>
    <w:rsid w:val="00343BD7"/>
    <w:rPr>
      <w:b/>
      <w:bCs/>
      <w:sz w:val="20"/>
      <w:szCs w:val="20"/>
    </w:rPr>
  </w:style>
  <w:style w:type="paragraph" w:styleId="BalloonText">
    <w:name w:val="Balloon Text"/>
    <w:basedOn w:val="Normal"/>
    <w:link w:val="BalloonTextChar"/>
    <w:uiPriority w:val="99"/>
    <w:semiHidden/>
    <w:unhideWhenUsed/>
    <w:rsid w:val="00343B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D7"/>
    <w:rPr>
      <w:rFonts w:ascii="Tahoma" w:hAnsi="Tahoma" w:cs="Tahoma"/>
      <w:sz w:val="16"/>
      <w:szCs w:val="16"/>
    </w:rPr>
  </w:style>
  <w:style w:type="character" w:customStyle="1" w:styleId="Heading1Char">
    <w:name w:val="Heading 1 Char"/>
    <w:basedOn w:val="DefaultParagraphFont"/>
    <w:link w:val="Heading1"/>
    <w:uiPriority w:val="9"/>
    <w:rsid w:val="00343B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43BD7"/>
    <w:rPr>
      <w:color w:val="0000FF" w:themeColor="hyperlink"/>
      <w:u w:val="single"/>
    </w:rPr>
  </w:style>
  <w:style w:type="paragraph" w:styleId="DocumentMap">
    <w:name w:val="Document Map"/>
    <w:basedOn w:val="Normal"/>
    <w:link w:val="DocumentMapChar"/>
    <w:uiPriority w:val="99"/>
    <w:semiHidden/>
    <w:unhideWhenUsed/>
    <w:rsid w:val="001A21EF"/>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A21EF"/>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rsid w:val="00343B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43BD7"/>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305"/>
    <w:pPr>
      <w:spacing w:line="240" w:lineRule="auto"/>
    </w:pPr>
  </w:style>
  <w:style w:type="paragraph" w:styleId="ListParagraph">
    <w:name w:val="List Paragraph"/>
    <w:basedOn w:val="Normal"/>
    <w:uiPriority w:val="34"/>
    <w:qFormat/>
    <w:rsid w:val="00CD1305"/>
    <w:pPr>
      <w:ind w:left="720"/>
      <w:contextualSpacing/>
    </w:pPr>
  </w:style>
  <w:style w:type="character" w:customStyle="1" w:styleId="Heading2Char">
    <w:name w:val="Heading 2 Char"/>
    <w:basedOn w:val="DefaultParagraphFont"/>
    <w:link w:val="Heading2"/>
    <w:uiPriority w:val="9"/>
    <w:rsid w:val="00343BD7"/>
    <w:rPr>
      <w:rFonts w:ascii="Times New Roman" w:eastAsia="Times New Roman" w:hAnsi="Times New Roman" w:cs="Times New Roman"/>
      <w:b/>
      <w:bCs/>
      <w:color w:val="auto"/>
      <w:sz w:val="36"/>
      <w:szCs w:val="36"/>
    </w:rPr>
  </w:style>
  <w:style w:type="paragraph" w:styleId="NormalWeb">
    <w:name w:val="Normal (Web)"/>
    <w:basedOn w:val="Normal"/>
    <w:uiPriority w:val="99"/>
    <w:semiHidden/>
    <w:unhideWhenUsed/>
    <w:rsid w:val="00343B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343BD7"/>
    <w:rPr>
      <w:sz w:val="16"/>
      <w:szCs w:val="16"/>
    </w:rPr>
  </w:style>
  <w:style w:type="paragraph" w:styleId="CommentText">
    <w:name w:val="annotation text"/>
    <w:basedOn w:val="Normal"/>
    <w:link w:val="CommentTextChar"/>
    <w:uiPriority w:val="99"/>
    <w:semiHidden/>
    <w:unhideWhenUsed/>
    <w:rsid w:val="00343BD7"/>
    <w:pPr>
      <w:spacing w:line="240" w:lineRule="auto"/>
    </w:pPr>
    <w:rPr>
      <w:sz w:val="20"/>
      <w:szCs w:val="20"/>
    </w:rPr>
  </w:style>
  <w:style w:type="character" w:customStyle="1" w:styleId="CommentTextChar">
    <w:name w:val="Comment Text Char"/>
    <w:basedOn w:val="DefaultParagraphFont"/>
    <w:link w:val="CommentText"/>
    <w:uiPriority w:val="99"/>
    <w:semiHidden/>
    <w:rsid w:val="00343BD7"/>
    <w:rPr>
      <w:sz w:val="20"/>
      <w:szCs w:val="20"/>
    </w:rPr>
  </w:style>
  <w:style w:type="paragraph" w:styleId="CommentSubject">
    <w:name w:val="annotation subject"/>
    <w:basedOn w:val="CommentText"/>
    <w:next w:val="CommentText"/>
    <w:link w:val="CommentSubjectChar"/>
    <w:uiPriority w:val="99"/>
    <w:semiHidden/>
    <w:unhideWhenUsed/>
    <w:rsid w:val="00343BD7"/>
    <w:rPr>
      <w:b/>
      <w:bCs/>
    </w:rPr>
  </w:style>
  <w:style w:type="character" w:customStyle="1" w:styleId="CommentSubjectChar">
    <w:name w:val="Comment Subject Char"/>
    <w:basedOn w:val="CommentTextChar"/>
    <w:link w:val="CommentSubject"/>
    <w:uiPriority w:val="99"/>
    <w:semiHidden/>
    <w:rsid w:val="00343BD7"/>
    <w:rPr>
      <w:b/>
      <w:bCs/>
      <w:sz w:val="20"/>
      <w:szCs w:val="20"/>
    </w:rPr>
  </w:style>
  <w:style w:type="paragraph" w:styleId="BalloonText">
    <w:name w:val="Balloon Text"/>
    <w:basedOn w:val="Normal"/>
    <w:link w:val="BalloonTextChar"/>
    <w:uiPriority w:val="99"/>
    <w:semiHidden/>
    <w:unhideWhenUsed/>
    <w:rsid w:val="00343B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BD7"/>
    <w:rPr>
      <w:rFonts w:ascii="Tahoma" w:hAnsi="Tahoma" w:cs="Tahoma"/>
      <w:sz w:val="16"/>
      <w:szCs w:val="16"/>
    </w:rPr>
  </w:style>
  <w:style w:type="character" w:customStyle="1" w:styleId="Heading1Char">
    <w:name w:val="Heading 1 Char"/>
    <w:basedOn w:val="DefaultParagraphFont"/>
    <w:link w:val="Heading1"/>
    <w:uiPriority w:val="9"/>
    <w:rsid w:val="00343B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43BD7"/>
    <w:rPr>
      <w:color w:val="0000FF" w:themeColor="hyperlink"/>
      <w:u w:val="single"/>
    </w:rPr>
  </w:style>
  <w:style w:type="paragraph" w:styleId="DocumentMap">
    <w:name w:val="Document Map"/>
    <w:basedOn w:val="Normal"/>
    <w:link w:val="DocumentMapChar"/>
    <w:uiPriority w:val="99"/>
    <w:semiHidden/>
    <w:unhideWhenUsed/>
    <w:rsid w:val="001A21EF"/>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A21E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65183">
      <w:bodyDiv w:val="1"/>
      <w:marLeft w:val="0"/>
      <w:marRight w:val="0"/>
      <w:marTop w:val="0"/>
      <w:marBottom w:val="0"/>
      <w:divBdr>
        <w:top w:val="none" w:sz="0" w:space="0" w:color="auto"/>
        <w:left w:val="none" w:sz="0" w:space="0" w:color="auto"/>
        <w:bottom w:val="none" w:sz="0" w:space="0" w:color="auto"/>
        <w:right w:val="none" w:sz="0" w:space="0" w:color="auto"/>
      </w:divBdr>
    </w:div>
    <w:div w:id="9639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eaconhill.org/Compete11/Compete2011.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2687</Words>
  <Characters>15320</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Scarborough</dc:creator>
  <cp:lastModifiedBy>Julia Stewart</cp:lastModifiedBy>
  <cp:revision>3</cp:revision>
  <dcterms:created xsi:type="dcterms:W3CDTF">2017-11-07T22:34:00Z</dcterms:created>
  <dcterms:modified xsi:type="dcterms:W3CDTF">2018-08-22T19:03:00Z</dcterms:modified>
</cp:coreProperties>
</file>