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47" w:rsidRPr="001A1CAA" w:rsidRDefault="00095147" w:rsidP="00095147">
      <w:pPr>
        <w:pStyle w:val="BodyText"/>
        <w:spacing w:before="9"/>
        <w:rPr>
          <w:b/>
        </w:rPr>
      </w:pPr>
      <w:r w:rsidRPr="001A1CAA">
        <w:rPr>
          <w:noProof/>
          <w:lang w:bidi="ar-SA"/>
        </w:rPr>
        <w:drawing>
          <wp:inline distT="0" distB="0" distL="0" distR="0" wp14:anchorId="3A1ACAAA" wp14:editId="30DDC149">
            <wp:extent cx="854330" cy="800934"/>
            <wp:effectExtent l="0" t="0" r="3175" b="0"/>
            <wp:docPr id="1" name="Picture 1" descr="OMPW logo"/>
            <wp:cNvGraphicFramePr/>
            <a:graphic xmlns:a="http://schemas.openxmlformats.org/drawingml/2006/main">
              <a:graphicData uri="http://schemas.openxmlformats.org/drawingml/2006/picture">
                <pic:pic xmlns:pic="http://schemas.openxmlformats.org/drawingml/2006/picture">
                  <pic:nvPicPr>
                    <pic:cNvPr id="1" name="Picture 1" descr="OMPW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378" cy="810354"/>
                    </a:xfrm>
                    <a:prstGeom prst="rect">
                      <a:avLst/>
                    </a:prstGeom>
                    <a:noFill/>
                    <a:ln>
                      <a:noFill/>
                    </a:ln>
                  </pic:spPr>
                </pic:pic>
              </a:graphicData>
            </a:graphic>
          </wp:inline>
        </w:drawing>
      </w:r>
    </w:p>
    <w:p w:rsidR="00095147" w:rsidRPr="001A1CAA" w:rsidRDefault="00095147" w:rsidP="00095147">
      <w:pPr>
        <w:ind w:left="119"/>
        <w:rPr>
          <w:b/>
          <w:sz w:val="24"/>
          <w:szCs w:val="24"/>
        </w:rPr>
      </w:pPr>
    </w:p>
    <w:p w:rsidR="00095147" w:rsidRPr="00563AB7" w:rsidRDefault="00095147" w:rsidP="00095147">
      <w:pPr>
        <w:ind w:left="119"/>
        <w:jc w:val="center"/>
        <w:rPr>
          <w:b/>
          <w:sz w:val="28"/>
          <w:szCs w:val="28"/>
        </w:rPr>
      </w:pPr>
      <w:r w:rsidRPr="00563AB7">
        <w:rPr>
          <w:b/>
          <w:sz w:val="28"/>
          <w:szCs w:val="28"/>
        </w:rPr>
        <w:t>Office of Mississippi Physician Workforce</w:t>
      </w:r>
    </w:p>
    <w:p w:rsidR="00095147" w:rsidRPr="00563AB7" w:rsidRDefault="00095147" w:rsidP="00095147">
      <w:pPr>
        <w:ind w:left="119"/>
        <w:jc w:val="center"/>
        <w:rPr>
          <w:b/>
          <w:sz w:val="28"/>
          <w:szCs w:val="28"/>
        </w:rPr>
      </w:pPr>
      <w:r w:rsidRPr="00563AB7">
        <w:rPr>
          <w:b/>
          <w:sz w:val="28"/>
          <w:szCs w:val="28"/>
        </w:rPr>
        <w:t>Spring 2019 Advisory Board Meeting Minutes</w:t>
      </w:r>
    </w:p>
    <w:p w:rsidR="00095147" w:rsidRPr="001A1CAA" w:rsidRDefault="00095147" w:rsidP="00095147">
      <w:pPr>
        <w:ind w:left="119"/>
        <w:rPr>
          <w:b/>
          <w:sz w:val="24"/>
          <w:szCs w:val="24"/>
        </w:rPr>
      </w:pPr>
    </w:p>
    <w:p w:rsidR="00095147" w:rsidRPr="001A1CAA" w:rsidRDefault="00095147" w:rsidP="00095147">
      <w:pPr>
        <w:ind w:left="119"/>
        <w:rPr>
          <w:sz w:val="24"/>
          <w:szCs w:val="24"/>
        </w:rPr>
      </w:pPr>
      <w:r w:rsidRPr="001A1CAA">
        <w:rPr>
          <w:b/>
          <w:sz w:val="24"/>
          <w:szCs w:val="24"/>
        </w:rPr>
        <w:t>Date and Location</w:t>
      </w:r>
      <w:r w:rsidRPr="001A1CAA">
        <w:rPr>
          <w:sz w:val="24"/>
          <w:szCs w:val="24"/>
        </w:rPr>
        <w:t>: Thursday, May 9, 2019; Norman C. Nelson Student Union, UMMC</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b/>
          <w:sz w:val="24"/>
          <w:szCs w:val="24"/>
        </w:rPr>
        <w:t>Attendees</w:t>
      </w:r>
      <w:r w:rsidRPr="001A1CAA">
        <w:rPr>
          <w:sz w:val="24"/>
          <w:szCs w:val="24"/>
        </w:rPr>
        <w:t>: Hugh Gamble, MD; Ashley Hood, DO; Loretta Jackson-Williams, MD; Thomas Joiner, MD; Luke Lampton, MD; Andrew Ouzts, MD; Katherine Patterson, MD; Shannon Pittm</w:t>
      </w:r>
      <w:r>
        <w:rPr>
          <w:sz w:val="24"/>
          <w:szCs w:val="24"/>
        </w:rPr>
        <w:t>an, MD; Ann Rea, MD; Jason Word</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b/>
          <w:sz w:val="24"/>
          <w:szCs w:val="24"/>
        </w:rPr>
        <w:t xml:space="preserve">Via Conference Call: </w:t>
      </w:r>
      <w:r w:rsidRPr="001A1CAA">
        <w:rPr>
          <w:sz w:val="24"/>
          <w:szCs w:val="24"/>
        </w:rPr>
        <w:t>Thomas Dobbs, MD; Shirley Schlessinger, MD; Melissa Stephens, MD</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b/>
          <w:sz w:val="24"/>
          <w:szCs w:val="24"/>
        </w:rPr>
        <w:t xml:space="preserve">Absent: </w:t>
      </w:r>
      <w:r w:rsidRPr="001A1CAA">
        <w:rPr>
          <w:sz w:val="24"/>
          <w:szCs w:val="24"/>
        </w:rPr>
        <w:t>Tim Alford, MD; Jennifer Hicks, MD; Ed Ivancic, MD; Aurelia Jones-Taylor, MD; Jamie Miller, Tim Moore, MHA; Janice Sherman, MPA; Wayne Slocum, MD</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b/>
          <w:sz w:val="24"/>
          <w:szCs w:val="24"/>
        </w:rPr>
        <w:t>Guests:</w:t>
      </w:r>
      <w:r w:rsidRPr="001A1CAA">
        <w:rPr>
          <w:sz w:val="24"/>
          <w:szCs w:val="24"/>
        </w:rPr>
        <w:t xml:space="preserve"> Liz Smith-Trigg, PhD; Italo Subbarao, DO; William Carey University College of Osteopathic Medicine</w:t>
      </w:r>
    </w:p>
    <w:p w:rsidR="00095147" w:rsidRPr="001A1CAA" w:rsidRDefault="00095147" w:rsidP="00095147">
      <w:pPr>
        <w:ind w:left="119"/>
        <w:rPr>
          <w:b/>
          <w:sz w:val="24"/>
          <w:szCs w:val="24"/>
        </w:rPr>
      </w:pPr>
    </w:p>
    <w:p w:rsidR="00095147" w:rsidRPr="001A1CAA" w:rsidRDefault="00095147" w:rsidP="00095147">
      <w:pPr>
        <w:ind w:left="119"/>
        <w:rPr>
          <w:sz w:val="24"/>
          <w:szCs w:val="24"/>
        </w:rPr>
      </w:pPr>
      <w:r w:rsidRPr="001A1CAA">
        <w:rPr>
          <w:b/>
          <w:sz w:val="24"/>
          <w:szCs w:val="24"/>
        </w:rPr>
        <w:t>Staff</w:t>
      </w:r>
      <w:r w:rsidRPr="001A1CAA">
        <w:rPr>
          <w:sz w:val="24"/>
          <w:szCs w:val="24"/>
        </w:rPr>
        <w:t>: John R. Mitchell, MD; Zonzie McLaurin, DHA; Glenn Thomas, Julie Paul</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sz w:val="24"/>
          <w:szCs w:val="24"/>
        </w:rPr>
        <w:t>Meeting called to order at 2:00 p.m. Quorum met.</w:t>
      </w:r>
      <w:r>
        <w:rPr>
          <w:sz w:val="24"/>
          <w:szCs w:val="24"/>
        </w:rPr>
        <w:t xml:space="preserve"> </w:t>
      </w:r>
      <w:r w:rsidRPr="001A1CAA">
        <w:rPr>
          <w:sz w:val="24"/>
          <w:szCs w:val="24"/>
        </w:rPr>
        <w:t xml:space="preserve">The Board reviewed and passed minutes from the October 25, 2018 Advisory Board Meeting and March 26, 2019 Executive Committee Meeting. </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I. </w:t>
      </w:r>
      <w:r w:rsidRPr="001A1CAA">
        <w:rPr>
          <w:b/>
          <w:sz w:val="24"/>
          <w:szCs w:val="24"/>
        </w:rPr>
        <w:t>Celebratory News:</w:t>
      </w:r>
    </w:p>
    <w:p w:rsidR="00095147" w:rsidRPr="001A1CAA" w:rsidRDefault="00095147" w:rsidP="00095147">
      <w:pPr>
        <w:ind w:left="119"/>
        <w:rPr>
          <w:sz w:val="24"/>
          <w:szCs w:val="24"/>
        </w:rPr>
      </w:pPr>
    </w:p>
    <w:p w:rsidR="00095147" w:rsidRPr="00BA4BEE" w:rsidRDefault="00095147" w:rsidP="00095147">
      <w:pPr>
        <w:pStyle w:val="ListParagraph"/>
        <w:numPr>
          <w:ilvl w:val="0"/>
          <w:numId w:val="1"/>
        </w:numPr>
        <w:rPr>
          <w:sz w:val="24"/>
          <w:szCs w:val="24"/>
        </w:rPr>
      </w:pPr>
      <w:r w:rsidRPr="00BA4BEE">
        <w:rPr>
          <w:sz w:val="24"/>
          <w:szCs w:val="24"/>
        </w:rPr>
        <w:t>Dr. Sarah Grabmiller, DIO, EC-Healthnet and Dr. Evelyn Walker, DIO, Mississippi Delta Family Medicine Residency Program, are graduates of the National Program Directors Development (NIPDD) Fellowship Program.</w:t>
      </w:r>
    </w:p>
    <w:p w:rsidR="00095147" w:rsidRPr="001A1CAA" w:rsidRDefault="00095147" w:rsidP="00095147">
      <w:pPr>
        <w:ind w:left="119"/>
        <w:rPr>
          <w:sz w:val="24"/>
          <w:szCs w:val="24"/>
        </w:rPr>
      </w:pPr>
    </w:p>
    <w:p w:rsidR="00095147" w:rsidRPr="00BA4BEE" w:rsidRDefault="00095147" w:rsidP="00095147">
      <w:pPr>
        <w:pStyle w:val="ListParagraph"/>
        <w:numPr>
          <w:ilvl w:val="0"/>
          <w:numId w:val="1"/>
        </w:numPr>
        <w:rPr>
          <w:sz w:val="24"/>
          <w:szCs w:val="24"/>
        </w:rPr>
      </w:pPr>
      <w:r w:rsidRPr="00BA4BEE">
        <w:rPr>
          <w:sz w:val="24"/>
          <w:szCs w:val="24"/>
        </w:rPr>
        <w:t xml:space="preserve">The Accreditation Council for Graduate Medical Education (ACGME) awarded EC-Healthnet Continued Accreditation status on 4/25/2019. The program moved their family medicine continuity clinic into a new and improved location, 905 S. Frontage Rd, Meridian. Rush Foundation Hospital has also made significant upgrades to facilities. </w:t>
      </w:r>
    </w:p>
    <w:p w:rsidR="00095147" w:rsidRPr="001A1CAA" w:rsidRDefault="00095147" w:rsidP="00095147">
      <w:pPr>
        <w:ind w:left="119"/>
        <w:rPr>
          <w:sz w:val="24"/>
          <w:szCs w:val="24"/>
        </w:rPr>
      </w:pPr>
    </w:p>
    <w:p w:rsidR="00095147" w:rsidRPr="00BA4BEE" w:rsidRDefault="00095147" w:rsidP="00095147">
      <w:pPr>
        <w:pStyle w:val="ListParagraph"/>
        <w:numPr>
          <w:ilvl w:val="0"/>
          <w:numId w:val="1"/>
        </w:numPr>
        <w:rPr>
          <w:sz w:val="24"/>
          <w:szCs w:val="24"/>
        </w:rPr>
      </w:pPr>
      <w:r w:rsidRPr="00BA4BEE">
        <w:rPr>
          <w:sz w:val="24"/>
          <w:szCs w:val="24"/>
        </w:rPr>
        <w:t>All GME residency programs in Mississippi now have achieved either ACGME Initial Accreditation or Continued Accreditation and are eligible to accept either MD or DO applicants.</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II. </w:t>
      </w:r>
      <w:r w:rsidRPr="001A1CAA">
        <w:rPr>
          <w:b/>
          <w:sz w:val="24"/>
          <w:szCs w:val="24"/>
        </w:rPr>
        <w:t>Project Updates:</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sz w:val="24"/>
          <w:szCs w:val="24"/>
        </w:rPr>
        <w:t xml:space="preserve">Dr. Mitchell presented the Board with project timelines detailing Mississippi Medical Education and Research Consortium (MSMERC) construction deadlines, OMPW milestones, and MSMERC </w:t>
      </w:r>
      <w:r w:rsidRPr="001A1CAA">
        <w:rPr>
          <w:sz w:val="24"/>
          <w:szCs w:val="24"/>
        </w:rPr>
        <w:lastRenderedPageBreak/>
        <w:t xml:space="preserve">Family Medicine Residency Program National Resident Matching Program (NRMP) and ACGME program application due dates. </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1) </w:t>
      </w:r>
      <w:r w:rsidRPr="001A1CAA">
        <w:rPr>
          <w:b/>
          <w:sz w:val="24"/>
          <w:szCs w:val="24"/>
        </w:rPr>
        <w:t>Mississippi Medical Education and Research Consortium (MSMERC)</w:t>
      </w:r>
    </w:p>
    <w:p w:rsidR="00095147" w:rsidRPr="001A1CAA" w:rsidRDefault="00095147" w:rsidP="00095147">
      <w:pPr>
        <w:ind w:left="119"/>
        <w:rPr>
          <w:sz w:val="24"/>
          <w:szCs w:val="24"/>
        </w:rPr>
      </w:pPr>
    </w:p>
    <w:p w:rsidR="00095147" w:rsidRPr="00BA4BEE" w:rsidRDefault="00095147" w:rsidP="00095147">
      <w:pPr>
        <w:pStyle w:val="ListParagraph"/>
        <w:numPr>
          <w:ilvl w:val="0"/>
          <w:numId w:val="2"/>
        </w:numPr>
        <w:rPr>
          <w:sz w:val="24"/>
          <w:szCs w:val="24"/>
        </w:rPr>
      </w:pPr>
      <w:r w:rsidRPr="00BA4BEE">
        <w:rPr>
          <w:sz w:val="24"/>
          <w:szCs w:val="24"/>
        </w:rPr>
        <w:t xml:space="preserve">Dr. Mitchell explained the rationale behind MSMERC’s Sponsoring Institution Status as determined by ACGME. As its own entity, MSMERC serves as the consortium’s academic home, includes a central GME Office, maximizes regional impact without continuously duplicating personnel and resources, allows for cost effective oversight, creates a central fund raising body to assist with financial support, may serve as the oversight body for multiple GME locations, and creates an organization that allows for additional local or national collaborative partners. MSMERC’s central offices will be located at Delta Regional Medical Center (DRMC). </w:t>
      </w:r>
    </w:p>
    <w:p w:rsidR="00095147" w:rsidRPr="001A1CAA" w:rsidRDefault="00095147" w:rsidP="00095147">
      <w:pPr>
        <w:ind w:left="119"/>
        <w:rPr>
          <w:sz w:val="24"/>
          <w:szCs w:val="24"/>
        </w:rPr>
      </w:pPr>
    </w:p>
    <w:p w:rsidR="00095147" w:rsidRPr="00BA4BEE" w:rsidRDefault="00095147" w:rsidP="00095147">
      <w:pPr>
        <w:pStyle w:val="ListParagraph"/>
        <w:numPr>
          <w:ilvl w:val="0"/>
          <w:numId w:val="2"/>
        </w:numPr>
        <w:rPr>
          <w:sz w:val="24"/>
          <w:szCs w:val="24"/>
        </w:rPr>
      </w:pPr>
      <w:r w:rsidRPr="00BA4BEE">
        <w:rPr>
          <w:sz w:val="24"/>
          <w:szCs w:val="24"/>
        </w:rPr>
        <w:t>OMPW has contracted with McCarty Architects to design MSMERC’s continuity clinic which will be located on the first floor of the King’s Daughters Hospital, 300 Washington Ave., Greenville, MS.  Dr. Mitchell shared architectural plans and design phases with the Board. Phase 1 cost is $1.86 million. Total construction cost is set at $4.1 million. Building construction will begin in September 2019 prior to resident startup in July 2020. Clinic construction phases will continue for the next 2-4 years and include a Residency Wellne</w:t>
      </w:r>
      <w:r>
        <w:rPr>
          <w:sz w:val="24"/>
          <w:szCs w:val="24"/>
        </w:rPr>
        <w:t>ss Center. The King’s Daughters</w:t>
      </w:r>
      <w:r w:rsidRPr="00BA4BEE">
        <w:rPr>
          <w:sz w:val="24"/>
          <w:szCs w:val="24"/>
        </w:rPr>
        <w:t xml:space="preserve"> site also includes dormitories that could potentially be converted into residency housing at a later date. </w:t>
      </w:r>
    </w:p>
    <w:p w:rsidR="00095147" w:rsidRPr="001A1CAA" w:rsidRDefault="00095147" w:rsidP="00095147">
      <w:pPr>
        <w:ind w:left="119"/>
        <w:rPr>
          <w:sz w:val="24"/>
          <w:szCs w:val="24"/>
        </w:rPr>
      </w:pPr>
    </w:p>
    <w:p w:rsidR="00095147" w:rsidRPr="00BA4BEE" w:rsidRDefault="00095147" w:rsidP="00095147">
      <w:pPr>
        <w:pStyle w:val="ListParagraph"/>
        <w:numPr>
          <w:ilvl w:val="0"/>
          <w:numId w:val="2"/>
        </w:numPr>
        <w:rPr>
          <w:sz w:val="24"/>
          <w:szCs w:val="24"/>
        </w:rPr>
      </w:pPr>
      <w:r>
        <w:rPr>
          <w:sz w:val="24"/>
          <w:szCs w:val="24"/>
        </w:rPr>
        <w:t>Dr. Walker</w:t>
      </w:r>
      <w:r w:rsidRPr="00BA4BEE">
        <w:rPr>
          <w:sz w:val="24"/>
          <w:szCs w:val="24"/>
        </w:rPr>
        <w:t xml:space="preserve"> is applying for initial ACGME program accreditation for the Mississippi Delta Family Medicine Program in early June. This will allow time for the ACGME to review the application and schedule a site visit before the Family Medicine Review closing date of August 16</w:t>
      </w:r>
      <w:r w:rsidRPr="00BA4BEE">
        <w:rPr>
          <w:sz w:val="24"/>
          <w:szCs w:val="24"/>
          <w:vertAlign w:val="superscript"/>
        </w:rPr>
        <w:t>th</w:t>
      </w:r>
      <w:r w:rsidRPr="00BA4BEE">
        <w:rPr>
          <w:sz w:val="24"/>
          <w:szCs w:val="24"/>
        </w:rPr>
        <w:t>. The surrounding patient population wi</w:t>
      </w:r>
      <w:r>
        <w:rPr>
          <w:sz w:val="24"/>
          <w:szCs w:val="24"/>
        </w:rPr>
        <w:t xml:space="preserve">ll support a 10-10-10 residency. </w:t>
      </w:r>
    </w:p>
    <w:p w:rsidR="00095147" w:rsidRPr="001A1CAA" w:rsidRDefault="00095147" w:rsidP="00095147">
      <w:pPr>
        <w:ind w:left="119"/>
        <w:rPr>
          <w:sz w:val="24"/>
          <w:szCs w:val="24"/>
        </w:rPr>
      </w:pPr>
    </w:p>
    <w:p w:rsidR="00095147" w:rsidRPr="00BA4BEE" w:rsidRDefault="00095147" w:rsidP="00095147">
      <w:pPr>
        <w:pStyle w:val="ListParagraph"/>
        <w:numPr>
          <w:ilvl w:val="0"/>
          <w:numId w:val="2"/>
        </w:numPr>
        <w:rPr>
          <w:sz w:val="24"/>
          <w:szCs w:val="24"/>
        </w:rPr>
      </w:pPr>
      <w:r w:rsidRPr="00BA4BEE">
        <w:rPr>
          <w:sz w:val="24"/>
          <w:szCs w:val="24"/>
        </w:rPr>
        <w:t>OMPW is tentatively scheduled to submit architectural documents and MSMERC contracts to UMMC’s Institutions of Higher Learning on July 15</w:t>
      </w:r>
      <w:r w:rsidRPr="00BA4BEE">
        <w:rPr>
          <w:sz w:val="24"/>
          <w:szCs w:val="24"/>
          <w:vertAlign w:val="superscript"/>
        </w:rPr>
        <w:t>th</w:t>
      </w:r>
      <w:r w:rsidRPr="00BA4BEE">
        <w:rPr>
          <w:sz w:val="24"/>
          <w:szCs w:val="24"/>
        </w:rPr>
        <w:t xml:space="preserve"> followed by an August 15</w:t>
      </w:r>
      <w:r w:rsidRPr="00BA4BEE">
        <w:rPr>
          <w:sz w:val="24"/>
          <w:szCs w:val="24"/>
          <w:vertAlign w:val="superscript"/>
        </w:rPr>
        <w:t>th</w:t>
      </w:r>
      <w:r w:rsidRPr="00BA4BEE">
        <w:rPr>
          <w:sz w:val="24"/>
          <w:szCs w:val="24"/>
        </w:rPr>
        <w:t xml:space="preserve"> presentation. </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2) </w:t>
      </w:r>
      <w:r w:rsidRPr="001A1CAA">
        <w:rPr>
          <w:b/>
          <w:sz w:val="24"/>
          <w:szCs w:val="24"/>
        </w:rPr>
        <w:t>HRSA Grant Application</w:t>
      </w:r>
    </w:p>
    <w:p w:rsidR="00095147" w:rsidRPr="001A1CAA" w:rsidRDefault="00095147" w:rsidP="00095147">
      <w:pPr>
        <w:ind w:left="119"/>
        <w:rPr>
          <w:sz w:val="24"/>
          <w:szCs w:val="24"/>
        </w:rPr>
      </w:pPr>
      <w:r w:rsidRPr="001A1CAA">
        <w:rPr>
          <w:sz w:val="24"/>
          <w:szCs w:val="24"/>
        </w:rPr>
        <w:t>MSMERC was awarded 501c3 status and can now apply for grant funding. OMPW assisted MSMERC in its application for a rural Residency Planning and Development Program Grant (HRSA-19-088). HRSA will award $21 million via 28 grants. Awardees will receive up to $750,000 over a three-year period. At least three other entities within Mississippi are also applying for the grant including Baptist Memorial Hospital - North Mississippi. MSMERC will receive notice of award status on August 1, 2019.</w:t>
      </w:r>
    </w:p>
    <w:p w:rsidR="00095147" w:rsidRPr="001A1CAA" w:rsidRDefault="00095147" w:rsidP="00095147">
      <w:pPr>
        <w:ind w:left="119"/>
        <w:rPr>
          <w:b/>
          <w:sz w:val="24"/>
          <w:szCs w:val="24"/>
        </w:rPr>
      </w:pPr>
    </w:p>
    <w:p w:rsidR="00095147" w:rsidRPr="001A1CAA" w:rsidRDefault="00095147" w:rsidP="00095147">
      <w:pPr>
        <w:ind w:left="119"/>
        <w:rPr>
          <w:sz w:val="24"/>
          <w:szCs w:val="24"/>
        </w:rPr>
      </w:pPr>
      <w:r>
        <w:rPr>
          <w:b/>
          <w:sz w:val="24"/>
          <w:szCs w:val="24"/>
        </w:rPr>
        <w:t xml:space="preserve">3) </w:t>
      </w:r>
      <w:r w:rsidRPr="001A1CAA">
        <w:rPr>
          <w:b/>
          <w:sz w:val="24"/>
          <w:szCs w:val="24"/>
        </w:rPr>
        <w:t>Mississippi State Hospital</w:t>
      </w:r>
      <w:r w:rsidRPr="001A1CAA">
        <w:rPr>
          <w:sz w:val="24"/>
          <w:szCs w:val="24"/>
        </w:rPr>
        <w:t xml:space="preserve"> </w:t>
      </w:r>
    </w:p>
    <w:p w:rsidR="00095147" w:rsidRPr="001A1CAA" w:rsidRDefault="00095147" w:rsidP="00095147">
      <w:pPr>
        <w:ind w:left="119"/>
        <w:rPr>
          <w:sz w:val="24"/>
          <w:szCs w:val="24"/>
        </w:rPr>
      </w:pPr>
      <w:r w:rsidRPr="001A1CAA">
        <w:rPr>
          <w:sz w:val="24"/>
          <w:szCs w:val="24"/>
        </w:rPr>
        <w:t xml:space="preserve">Mississippi State Hospital is interested in establishing a psychiatric residency program. Dr. Mitchell and a consultant from Partners in Medical Education met with hospital leadership on May 1-2 to explore </w:t>
      </w:r>
      <w:r>
        <w:rPr>
          <w:sz w:val="24"/>
          <w:szCs w:val="24"/>
        </w:rPr>
        <w:t>funding resources</w:t>
      </w:r>
      <w:r w:rsidRPr="001A1CAA">
        <w:rPr>
          <w:sz w:val="24"/>
          <w:szCs w:val="24"/>
        </w:rPr>
        <w:t>, staff and facilities. Further investigative meetings are planned.</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4) </w:t>
      </w:r>
      <w:r w:rsidRPr="001A1CAA">
        <w:rPr>
          <w:b/>
          <w:sz w:val="24"/>
          <w:szCs w:val="24"/>
        </w:rPr>
        <w:t>Medicaid GME and Mississippi Medicaid State Health Plan</w:t>
      </w:r>
    </w:p>
    <w:p w:rsidR="00095147" w:rsidRPr="001A1CAA" w:rsidRDefault="00095147" w:rsidP="00095147">
      <w:pPr>
        <w:ind w:left="119"/>
        <w:rPr>
          <w:sz w:val="24"/>
          <w:szCs w:val="24"/>
        </w:rPr>
      </w:pPr>
      <w:r w:rsidRPr="001A1CAA">
        <w:rPr>
          <w:sz w:val="24"/>
          <w:szCs w:val="24"/>
        </w:rPr>
        <w:t>Dr. Mitchell met with Medicaid leadership to discuss continuing confusion and concern regarding the Mississippi Medicaid GME component to the state health plan. Discussions included a proposal that would change the adjusted discharge add-on fee to a per-resident amount. The dollar amount will vary based on Medicaid hospital bed days and the number of residents training. This model allows for both new program ramp up and new program additions at existing programs. Georgia passed similar legislation and Medicaid leadership is evaluating the proposal. Dr. Mitchell will meet with Medicaid again on May 16</w:t>
      </w:r>
      <w:r w:rsidRPr="001A1CAA">
        <w:rPr>
          <w:sz w:val="24"/>
          <w:szCs w:val="24"/>
          <w:vertAlign w:val="superscript"/>
        </w:rPr>
        <w:t>th</w:t>
      </w:r>
      <w:r w:rsidRPr="001A1CAA">
        <w:rPr>
          <w:sz w:val="24"/>
          <w:szCs w:val="24"/>
        </w:rPr>
        <w:t xml:space="preserve">. </w:t>
      </w:r>
    </w:p>
    <w:p w:rsidR="00095147" w:rsidRPr="001A1CAA" w:rsidRDefault="00095147" w:rsidP="00095147">
      <w:pPr>
        <w:ind w:left="119"/>
        <w:rPr>
          <w:sz w:val="24"/>
          <w:szCs w:val="24"/>
        </w:rPr>
      </w:pPr>
    </w:p>
    <w:p w:rsidR="00095147" w:rsidRPr="001A1CAA" w:rsidRDefault="00095147" w:rsidP="00095147">
      <w:pPr>
        <w:ind w:left="119"/>
        <w:rPr>
          <w:b/>
          <w:sz w:val="24"/>
          <w:szCs w:val="24"/>
        </w:rPr>
      </w:pPr>
      <w:r>
        <w:rPr>
          <w:b/>
          <w:sz w:val="24"/>
          <w:szCs w:val="24"/>
        </w:rPr>
        <w:t xml:space="preserve">5) </w:t>
      </w:r>
      <w:r w:rsidRPr="001A1CAA">
        <w:rPr>
          <w:b/>
          <w:sz w:val="24"/>
          <w:szCs w:val="24"/>
        </w:rPr>
        <w:t>Gulfport Memorial Hospital</w:t>
      </w:r>
    </w:p>
    <w:p w:rsidR="00095147" w:rsidRPr="001A1CAA" w:rsidRDefault="00095147" w:rsidP="00095147">
      <w:pPr>
        <w:ind w:left="119"/>
        <w:rPr>
          <w:rFonts w:eastAsiaTheme="minorHAnsi"/>
          <w:color w:val="000000"/>
          <w:sz w:val="24"/>
          <w:szCs w:val="24"/>
          <w:lang w:bidi="ar-SA"/>
        </w:rPr>
      </w:pPr>
      <w:r w:rsidRPr="00476F0D">
        <w:rPr>
          <w:rFonts w:eastAsiaTheme="minorHAnsi"/>
          <w:color w:val="000000"/>
          <w:sz w:val="24"/>
          <w:szCs w:val="24"/>
          <w:lang w:bidi="ar-SA"/>
        </w:rPr>
        <w:t xml:space="preserve">Dr. Mitchell received notice </w:t>
      </w:r>
      <w:r>
        <w:rPr>
          <w:rFonts w:eastAsiaTheme="minorHAnsi"/>
          <w:color w:val="000000"/>
          <w:sz w:val="24"/>
          <w:szCs w:val="24"/>
          <w:lang w:bidi="ar-SA"/>
        </w:rPr>
        <w:t xml:space="preserve">in March </w:t>
      </w:r>
      <w:r w:rsidRPr="00476F0D">
        <w:rPr>
          <w:rFonts w:eastAsiaTheme="minorHAnsi"/>
          <w:color w:val="000000"/>
          <w:sz w:val="24"/>
          <w:szCs w:val="24"/>
          <w:lang w:bidi="ar-SA"/>
        </w:rPr>
        <w:t>that Gulfport Memorial Hospital intends to apply for GME accreditation and develop its facility to support a minimum of three programs and up to 96 residents. This will include three specialties: Emergency Medicine (10-</w:t>
      </w:r>
      <w:r>
        <w:rPr>
          <w:rFonts w:eastAsiaTheme="minorHAnsi"/>
          <w:color w:val="000000"/>
          <w:sz w:val="24"/>
          <w:szCs w:val="24"/>
          <w:lang w:bidi="ar-SA"/>
        </w:rPr>
        <w:t>10-10); Family Medicine (10-10-</w:t>
      </w:r>
      <w:r w:rsidRPr="00476F0D">
        <w:rPr>
          <w:rFonts w:eastAsiaTheme="minorHAnsi"/>
          <w:color w:val="000000"/>
          <w:sz w:val="24"/>
          <w:szCs w:val="24"/>
          <w:lang w:bidi="ar-SA"/>
        </w:rPr>
        <w:t xml:space="preserve">10); and Internal Medicine (12-12-12). Gulfport Memorial has requested </w:t>
      </w:r>
      <w:r>
        <w:rPr>
          <w:rFonts w:eastAsiaTheme="minorHAnsi"/>
          <w:color w:val="000000"/>
          <w:sz w:val="24"/>
          <w:szCs w:val="24"/>
          <w:lang w:bidi="ar-SA"/>
        </w:rPr>
        <w:t xml:space="preserve"> </w:t>
      </w:r>
      <w:r w:rsidRPr="00476F0D">
        <w:rPr>
          <w:rFonts w:eastAsiaTheme="minorHAnsi"/>
          <w:color w:val="000000"/>
          <w:sz w:val="24"/>
          <w:szCs w:val="24"/>
          <w:lang w:bidi="ar-SA"/>
        </w:rPr>
        <w:t xml:space="preserve">funding to support its projects. This is an evolving process, and Dr. Mitchell will keep the Board posted as developments occur. </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6) </w:t>
      </w:r>
      <w:r w:rsidRPr="001A1CAA">
        <w:rPr>
          <w:rFonts w:eastAsiaTheme="minorHAnsi"/>
          <w:b/>
          <w:color w:val="000000"/>
          <w:sz w:val="24"/>
          <w:szCs w:val="24"/>
          <w:lang w:bidi="ar-SA"/>
        </w:rPr>
        <w:t>North Mississippi Medical Center (NMMC)</w:t>
      </w:r>
    </w:p>
    <w:p w:rsidR="00095147" w:rsidRPr="001A1CAA"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 xml:space="preserve">NMMC has hired Dr. David Pizzimenti </w:t>
      </w:r>
      <w:r w:rsidRPr="001A1CAA">
        <w:rPr>
          <w:sz w:val="24"/>
          <w:szCs w:val="24"/>
        </w:rPr>
        <w:t xml:space="preserve">to </w:t>
      </w:r>
      <w:r w:rsidRPr="00476F0D">
        <w:rPr>
          <w:rFonts w:eastAsiaTheme="minorHAnsi"/>
          <w:color w:val="000000"/>
          <w:sz w:val="24"/>
          <w:szCs w:val="24"/>
          <w:lang w:bidi="ar-SA"/>
        </w:rPr>
        <w:t>lead in the development of a large (24-24- 24) Internal Medicine Residency and Fellowship program. Dr. Pizzimenti had founded, and has since led, the successful Magnolia Internal Medicine Program in Corinth since its inception. The program plans to accept residents in July, 2021</w:t>
      </w:r>
      <w:r w:rsidRPr="001A1CAA">
        <w:rPr>
          <w:rFonts w:eastAsiaTheme="minorHAnsi"/>
          <w:color w:val="000000"/>
          <w:sz w:val="24"/>
          <w:szCs w:val="24"/>
          <w:lang w:bidi="ar-SA"/>
        </w:rPr>
        <w:t>.</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7) </w:t>
      </w:r>
      <w:r w:rsidRPr="001A1CAA">
        <w:rPr>
          <w:rFonts w:eastAsiaTheme="minorHAnsi"/>
          <w:b/>
          <w:color w:val="000000"/>
          <w:sz w:val="24"/>
          <w:szCs w:val="24"/>
          <w:lang w:bidi="ar-SA"/>
        </w:rPr>
        <w:t>Magnolia Regional Health Center</w:t>
      </w:r>
    </w:p>
    <w:p w:rsidR="00095147" w:rsidRPr="001A1CAA"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 xml:space="preserve">Magnolia Regional was unsuccessful in their initial application to ACGME for an emergency medicine residency program. The program has hired </w:t>
      </w:r>
      <w:r w:rsidRPr="001A1CAA">
        <w:rPr>
          <w:sz w:val="24"/>
          <w:szCs w:val="24"/>
        </w:rPr>
        <w:t xml:space="preserve">Margaret H. Baker, MD, who will serve as the new Internal Medicine Program Director.  </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8) </w:t>
      </w:r>
      <w:r w:rsidRPr="001A1CAA">
        <w:rPr>
          <w:rFonts w:eastAsiaTheme="minorHAnsi"/>
          <w:b/>
          <w:color w:val="000000"/>
          <w:sz w:val="24"/>
          <w:szCs w:val="24"/>
          <w:lang w:bidi="ar-SA"/>
        </w:rPr>
        <w:t>Baptist North Mississippi Medical Center</w:t>
      </w:r>
    </w:p>
    <w:p w:rsidR="00095147" w:rsidRPr="001A1CAA"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 xml:space="preserve">Dr. Pizzimenti, who had been in discussion as Program Director, was recruited by North Mississippi Medical Center to lead the development of their new Internal Medicine Program. OMPW will renew its search for </w:t>
      </w:r>
      <w:r>
        <w:rPr>
          <w:rFonts w:eastAsiaTheme="minorHAnsi"/>
          <w:color w:val="000000"/>
          <w:sz w:val="24"/>
          <w:szCs w:val="24"/>
          <w:lang w:bidi="ar-SA"/>
        </w:rPr>
        <w:t xml:space="preserve">a </w:t>
      </w:r>
      <w:r w:rsidRPr="001A1CAA">
        <w:rPr>
          <w:rFonts w:eastAsiaTheme="minorHAnsi"/>
          <w:color w:val="000000"/>
          <w:sz w:val="24"/>
          <w:szCs w:val="24"/>
          <w:lang w:bidi="ar-SA"/>
        </w:rPr>
        <w:t xml:space="preserve">program director and assist in a national search. </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III. </w:t>
      </w:r>
      <w:r w:rsidRPr="001A1CAA">
        <w:rPr>
          <w:rFonts w:eastAsiaTheme="minorHAnsi"/>
          <w:b/>
          <w:color w:val="000000"/>
          <w:sz w:val="24"/>
          <w:szCs w:val="24"/>
          <w:lang w:bidi="ar-SA"/>
        </w:rPr>
        <w:t>New Business</w:t>
      </w:r>
    </w:p>
    <w:p w:rsidR="00095147" w:rsidRPr="001A1CAA" w:rsidRDefault="00095147" w:rsidP="00095147">
      <w:pPr>
        <w:ind w:left="119"/>
        <w:rPr>
          <w:rFonts w:eastAsiaTheme="minorHAnsi"/>
          <w:b/>
          <w:color w:val="000000"/>
          <w:sz w:val="24"/>
          <w:szCs w:val="24"/>
          <w:lang w:bidi="ar-SA"/>
        </w:rPr>
      </w:pPr>
    </w:p>
    <w:p w:rsidR="00095147" w:rsidRPr="001A1CAA" w:rsidRDefault="00095147" w:rsidP="00095147">
      <w:pPr>
        <w:ind w:left="119"/>
        <w:rPr>
          <w:rFonts w:eastAsiaTheme="minorHAnsi"/>
          <w:b/>
          <w:color w:val="000000"/>
          <w:sz w:val="24"/>
          <w:szCs w:val="24"/>
          <w:lang w:bidi="ar-SA"/>
        </w:rPr>
      </w:pPr>
      <w:r w:rsidRPr="001A1CAA">
        <w:rPr>
          <w:rFonts w:eastAsiaTheme="minorHAnsi"/>
          <w:b/>
          <w:color w:val="000000"/>
          <w:sz w:val="24"/>
          <w:szCs w:val="24"/>
          <w:lang w:bidi="ar-SA"/>
        </w:rPr>
        <w:t>OMPW Advisory Board Appointments and Executive Committee Election</w:t>
      </w:r>
    </w:p>
    <w:p w:rsidR="00095147" w:rsidRPr="001A1CAA"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 xml:space="preserve">OMPW welcomed newly appointed members to the Board including Drs. Luke Lampton, Ann Rea, and Melissa Stephens. </w:t>
      </w:r>
    </w:p>
    <w:p w:rsidR="00095147" w:rsidRPr="001A1CAA" w:rsidRDefault="00095147" w:rsidP="00095147">
      <w:pPr>
        <w:ind w:left="119"/>
        <w:rPr>
          <w:rFonts w:eastAsiaTheme="minorHAnsi"/>
          <w:color w:val="000000"/>
          <w:sz w:val="24"/>
          <w:szCs w:val="24"/>
          <w:lang w:bidi="ar-SA"/>
        </w:rPr>
      </w:pPr>
    </w:p>
    <w:p w:rsidR="00095147"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 xml:space="preserve">Elections were held for the OMPW Executive Committee. Newly elected members include: Drs. Hugh Gamble, Ashley Hood, Loretta Jackson-Williams, Luke Lampton, Andrew Ouzts, Shannon Pittman and Melissa Stephens. </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IV. </w:t>
      </w:r>
      <w:r w:rsidRPr="001A1CAA">
        <w:rPr>
          <w:rFonts w:eastAsiaTheme="minorHAnsi"/>
          <w:b/>
          <w:color w:val="000000"/>
          <w:sz w:val="24"/>
          <w:szCs w:val="24"/>
          <w:lang w:bidi="ar-SA"/>
        </w:rPr>
        <w:t xml:space="preserve">Legislative Update </w:t>
      </w:r>
    </w:p>
    <w:p w:rsidR="00095147" w:rsidRPr="001A1CAA" w:rsidRDefault="00095147" w:rsidP="00095147">
      <w:pPr>
        <w:ind w:left="119"/>
        <w:rPr>
          <w:rFonts w:eastAsiaTheme="minorHAnsi"/>
          <w:color w:val="000000"/>
          <w:sz w:val="24"/>
          <w:szCs w:val="24"/>
          <w:lang w:bidi="ar-SA"/>
        </w:rPr>
      </w:pPr>
    </w:p>
    <w:p w:rsidR="00095147" w:rsidRDefault="00095147" w:rsidP="00095147">
      <w:pPr>
        <w:ind w:left="119"/>
        <w:rPr>
          <w:sz w:val="24"/>
          <w:szCs w:val="24"/>
        </w:rPr>
      </w:pPr>
      <w:r w:rsidRPr="001A1CAA">
        <w:rPr>
          <w:sz w:val="24"/>
          <w:szCs w:val="24"/>
        </w:rPr>
        <w:t xml:space="preserve">A summary of GME project </w:t>
      </w:r>
      <w:r>
        <w:rPr>
          <w:sz w:val="24"/>
          <w:szCs w:val="24"/>
        </w:rPr>
        <w:t xml:space="preserve">funding </w:t>
      </w:r>
      <w:r w:rsidRPr="001A1CAA">
        <w:rPr>
          <w:sz w:val="24"/>
          <w:szCs w:val="24"/>
        </w:rPr>
        <w:t xml:space="preserve">requests was distributed to board members for review. </w:t>
      </w:r>
    </w:p>
    <w:p w:rsidR="00095147" w:rsidRDefault="00095147" w:rsidP="00095147">
      <w:pPr>
        <w:ind w:left="119"/>
        <w:rPr>
          <w:sz w:val="24"/>
          <w:szCs w:val="24"/>
        </w:rPr>
      </w:pPr>
    </w:p>
    <w:p w:rsidR="00095147" w:rsidRPr="001A1CAA" w:rsidRDefault="00095147" w:rsidP="00095147">
      <w:pPr>
        <w:ind w:left="119"/>
        <w:rPr>
          <w:sz w:val="24"/>
          <w:szCs w:val="24"/>
        </w:rPr>
      </w:pPr>
      <w:r>
        <w:rPr>
          <w:sz w:val="24"/>
          <w:szCs w:val="24"/>
        </w:rPr>
        <w:t xml:space="preserve">The state legislature denied an OMPW budgetary request for an additional $1,000,000 funding designated for MSMERC development. OMPW received funding equivalent to 2019 at $1,500,000 less or $1,425,000. Operating costs are inclusive. </w:t>
      </w:r>
      <w:r w:rsidRPr="001A1CAA">
        <w:rPr>
          <w:sz w:val="24"/>
          <w:szCs w:val="24"/>
        </w:rPr>
        <w:t xml:space="preserve"> </w:t>
      </w:r>
      <w:r>
        <w:rPr>
          <w:sz w:val="24"/>
          <w:szCs w:val="24"/>
        </w:rPr>
        <w:t xml:space="preserve"> </w:t>
      </w:r>
    </w:p>
    <w:p w:rsidR="00095147" w:rsidRPr="001A1CAA" w:rsidRDefault="00095147" w:rsidP="00095147">
      <w:pPr>
        <w:ind w:left="119"/>
        <w:rPr>
          <w:sz w:val="24"/>
          <w:szCs w:val="24"/>
        </w:rPr>
      </w:pPr>
    </w:p>
    <w:p w:rsidR="00095147" w:rsidRPr="001A1CAA" w:rsidRDefault="00095147" w:rsidP="00095147">
      <w:pPr>
        <w:ind w:left="119"/>
        <w:rPr>
          <w:sz w:val="24"/>
          <w:szCs w:val="24"/>
        </w:rPr>
      </w:pPr>
      <w:r w:rsidRPr="001A1CAA">
        <w:rPr>
          <w:sz w:val="24"/>
          <w:szCs w:val="24"/>
        </w:rPr>
        <w:t>Interest in GME expansion has increased significantly within the last year. The following institutions have requested OMPW funding assistance to create or expand existing residencies. Planning ahead for the 2020-2021 budgetary cycle, OMPW will potentially request funding for the following programs</w:t>
      </w:r>
      <w:r>
        <w:rPr>
          <w:sz w:val="24"/>
          <w:szCs w:val="24"/>
        </w:rPr>
        <w:t>.</w:t>
      </w:r>
      <w:r w:rsidR="00C60E20">
        <w:rPr>
          <w:sz w:val="24"/>
          <w:szCs w:val="24"/>
        </w:rPr>
        <w:t xml:space="preserve"> </w:t>
      </w:r>
    </w:p>
    <w:p w:rsidR="00095147" w:rsidRPr="001A1CAA" w:rsidRDefault="00095147" w:rsidP="00095147">
      <w:pPr>
        <w:ind w:left="119"/>
        <w:rPr>
          <w:sz w:val="24"/>
          <w:szCs w:val="24"/>
        </w:rPr>
      </w:pPr>
    </w:p>
    <w:tbl>
      <w:tblPr>
        <w:tblStyle w:val="TableGrid"/>
        <w:tblW w:w="0" w:type="auto"/>
        <w:tblInd w:w="119" w:type="dxa"/>
        <w:tblLook w:val="04A0" w:firstRow="1" w:lastRow="0" w:firstColumn="1" w:lastColumn="0" w:noHBand="0" w:noVBand="1"/>
      </w:tblPr>
      <w:tblGrid>
        <w:gridCol w:w="2684"/>
        <w:gridCol w:w="2379"/>
        <w:gridCol w:w="2009"/>
      </w:tblGrid>
      <w:tr w:rsidR="00095147" w:rsidRPr="001A1CAA" w:rsidTr="004D372B">
        <w:tc>
          <w:tcPr>
            <w:tcW w:w="5063" w:type="dxa"/>
            <w:gridSpan w:val="2"/>
          </w:tcPr>
          <w:p w:rsidR="00095147" w:rsidRPr="001A1CAA" w:rsidRDefault="00095147" w:rsidP="00C60E20">
            <w:pPr>
              <w:rPr>
                <w:b/>
                <w:sz w:val="24"/>
                <w:szCs w:val="24"/>
              </w:rPr>
            </w:pPr>
            <w:r w:rsidRPr="001A1CAA">
              <w:rPr>
                <w:b/>
                <w:sz w:val="24"/>
                <w:szCs w:val="24"/>
              </w:rPr>
              <w:t xml:space="preserve">2020-2021 </w:t>
            </w:r>
            <w:r w:rsidR="00C60E20">
              <w:rPr>
                <w:b/>
                <w:sz w:val="24"/>
                <w:szCs w:val="24"/>
              </w:rPr>
              <w:t>Funding Requests</w:t>
            </w:r>
          </w:p>
        </w:tc>
        <w:tc>
          <w:tcPr>
            <w:tcW w:w="2009" w:type="dxa"/>
          </w:tcPr>
          <w:p w:rsidR="00095147" w:rsidRPr="001A1CAA" w:rsidRDefault="00095147" w:rsidP="004D372B">
            <w:pPr>
              <w:rPr>
                <w:b/>
                <w:sz w:val="24"/>
                <w:szCs w:val="24"/>
              </w:rPr>
            </w:pPr>
          </w:p>
        </w:tc>
      </w:tr>
      <w:tr w:rsidR="00095147" w:rsidRPr="001A1CAA" w:rsidTr="004D372B">
        <w:tc>
          <w:tcPr>
            <w:tcW w:w="2684" w:type="dxa"/>
          </w:tcPr>
          <w:p w:rsidR="00095147" w:rsidRPr="001A1CAA" w:rsidRDefault="00095147" w:rsidP="004D372B">
            <w:pPr>
              <w:rPr>
                <w:b/>
                <w:sz w:val="24"/>
                <w:szCs w:val="24"/>
              </w:rPr>
            </w:pPr>
            <w:r w:rsidRPr="001A1CAA">
              <w:rPr>
                <w:b/>
                <w:sz w:val="24"/>
                <w:szCs w:val="24"/>
              </w:rPr>
              <w:t>Institution</w:t>
            </w:r>
          </w:p>
        </w:tc>
        <w:tc>
          <w:tcPr>
            <w:tcW w:w="2379" w:type="dxa"/>
          </w:tcPr>
          <w:p w:rsidR="00095147" w:rsidRPr="001A1CAA" w:rsidRDefault="00095147" w:rsidP="004D372B">
            <w:pPr>
              <w:rPr>
                <w:b/>
                <w:sz w:val="24"/>
                <w:szCs w:val="24"/>
              </w:rPr>
            </w:pPr>
            <w:r w:rsidRPr="001A1CAA">
              <w:rPr>
                <w:b/>
                <w:sz w:val="24"/>
                <w:szCs w:val="24"/>
              </w:rPr>
              <w:t>Residency Specialty</w:t>
            </w:r>
          </w:p>
        </w:tc>
        <w:tc>
          <w:tcPr>
            <w:tcW w:w="2009" w:type="dxa"/>
          </w:tcPr>
          <w:p w:rsidR="00095147" w:rsidRPr="001A1CAA" w:rsidRDefault="00095147" w:rsidP="004D372B">
            <w:pPr>
              <w:rPr>
                <w:b/>
                <w:sz w:val="24"/>
                <w:szCs w:val="24"/>
              </w:rPr>
            </w:pPr>
            <w:r w:rsidRPr="001A1CAA">
              <w:rPr>
                <w:b/>
                <w:sz w:val="24"/>
                <w:szCs w:val="24"/>
              </w:rPr>
              <w:t>Location</w:t>
            </w:r>
          </w:p>
        </w:tc>
      </w:tr>
      <w:tr w:rsidR="00095147" w:rsidRPr="001A1CAA" w:rsidTr="004D372B">
        <w:tc>
          <w:tcPr>
            <w:tcW w:w="2684" w:type="dxa"/>
          </w:tcPr>
          <w:p w:rsidR="00095147" w:rsidRPr="001A1CAA" w:rsidRDefault="00095147" w:rsidP="004D372B">
            <w:pPr>
              <w:rPr>
                <w:sz w:val="24"/>
                <w:szCs w:val="24"/>
              </w:rPr>
            </w:pPr>
            <w:r w:rsidRPr="001A1CAA">
              <w:rPr>
                <w:sz w:val="24"/>
                <w:szCs w:val="24"/>
              </w:rPr>
              <w:t>Gulfport Memorial Hospital</w:t>
            </w:r>
          </w:p>
        </w:tc>
        <w:tc>
          <w:tcPr>
            <w:tcW w:w="2379" w:type="dxa"/>
          </w:tcPr>
          <w:p w:rsidR="00095147" w:rsidRPr="001A1CAA" w:rsidRDefault="00095147" w:rsidP="004D372B">
            <w:pPr>
              <w:rPr>
                <w:sz w:val="24"/>
                <w:szCs w:val="24"/>
              </w:rPr>
            </w:pPr>
            <w:r w:rsidRPr="001A1CAA">
              <w:rPr>
                <w:sz w:val="24"/>
                <w:szCs w:val="24"/>
              </w:rPr>
              <w:t>Family Medicine, Internal Medicine, Emergency Medicine</w:t>
            </w:r>
          </w:p>
        </w:tc>
        <w:tc>
          <w:tcPr>
            <w:tcW w:w="2009" w:type="dxa"/>
          </w:tcPr>
          <w:p w:rsidR="00095147" w:rsidRPr="001A1CAA" w:rsidRDefault="00095147" w:rsidP="004D372B">
            <w:pPr>
              <w:rPr>
                <w:sz w:val="24"/>
                <w:szCs w:val="24"/>
              </w:rPr>
            </w:pPr>
            <w:r w:rsidRPr="001A1CAA">
              <w:rPr>
                <w:sz w:val="24"/>
                <w:szCs w:val="24"/>
              </w:rPr>
              <w:t>Gulfport, MS</w:t>
            </w:r>
          </w:p>
        </w:tc>
        <w:bookmarkStart w:id="0" w:name="_GoBack"/>
        <w:bookmarkEnd w:id="0"/>
      </w:tr>
      <w:tr w:rsidR="00095147" w:rsidRPr="001A1CAA" w:rsidTr="004D372B">
        <w:tc>
          <w:tcPr>
            <w:tcW w:w="2684" w:type="dxa"/>
          </w:tcPr>
          <w:p w:rsidR="00095147" w:rsidRPr="001A1CAA" w:rsidRDefault="00095147" w:rsidP="004D372B">
            <w:pPr>
              <w:rPr>
                <w:sz w:val="24"/>
                <w:szCs w:val="24"/>
              </w:rPr>
            </w:pPr>
            <w:r w:rsidRPr="001A1CAA">
              <w:rPr>
                <w:sz w:val="24"/>
                <w:szCs w:val="24"/>
              </w:rPr>
              <w:t>Mississippi State Hospital</w:t>
            </w:r>
          </w:p>
        </w:tc>
        <w:tc>
          <w:tcPr>
            <w:tcW w:w="2379" w:type="dxa"/>
          </w:tcPr>
          <w:p w:rsidR="00095147" w:rsidRPr="001A1CAA" w:rsidRDefault="00095147" w:rsidP="004D372B">
            <w:pPr>
              <w:rPr>
                <w:sz w:val="24"/>
                <w:szCs w:val="24"/>
              </w:rPr>
            </w:pPr>
            <w:r w:rsidRPr="001A1CAA">
              <w:rPr>
                <w:sz w:val="24"/>
                <w:szCs w:val="24"/>
              </w:rPr>
              <w:t>Psychiatry</w:t>
            </w:r>
          </w:p>
        </w:tc>
        <w:tc>
          <w:tcPr>
            <w:tcW w:w="2009" w:type="dxa"/>
          </w:tcPr>
          <w:p w:rsidR="00095147" w:rsidRPr="001A1CAA" w:rsidRDefault="00095147" w:rsidP="004D372B">
            <w:pPr>
              <w:rPr>
                <w:sz w:val="24"/>
                <w:szCs w:val="24"/>
              </w:rPr>
            </w:pPr>
            <w:r w:rsidRPr="001A1CAA">
              <w:rPr>
                <w:sz w:val="24"/>
                <w:szCs w:val="24"/>
              </w:rPr>
              <w:t>Whitfield, MS</w:t>
            </w:r>
          </w:p>
        </w:tc>
      </w:tr>
      <w:tr w:rsidR="00095147" w:rsidRPr="001A1CAA" w:rsidTr="004D372B">
        <w:tc>
          <w:tcPr>
            <w:tcW w:w="2684" w:type="dxa"/>
          </w:tcPr>
          <w:p w:rsidR="00095147" w:rsidRPr="001A1CAA" w:rsidRDefault="00095147" w:rsidP="004D372B">
            <w:pPr>
              <w:rPr>
                <w:sz w:val="24"/>
                <w:szCs w:val="24"/>
              </w:rPr>
            </w:pPr>
            <w:r w:rsidRPr="001A1CAA">
              <w:rPr>
                <w:sz w:val="24"/>
                <w:szCs w:val="24"/>
              </w:rPr>
              <w:t>Mississippi Delta Family Medicine Program</w:t>
            </w:r>
          </w:p>
        </w:tc>
        <w:tc>
          <w:tcPr>
            <w:tcW w:w="2379" w:type="dxa"/>
          </w:tcPr>
          <w:p w:rsidR="00095147" w:rsidRPr="001A1CAA" w:rsidRDefault="00095147" w:rsidP="004D372B">
            <w:pPr>
              <w:rPr>
                <w:sz w:val="24"/>
                <w:szCs w:val="24"/>
              </w:rPr>
            </w:pPr>
            <w:r w:rsidRPr="001A1CAA">
              <w:rPr>
                <w:sz w:val="24"/>
                <w:szCs w:val="24"/>
              </w:rPr>
              <w:t>Family Medicine</w:t>
            </w:r>
          </w:p>
        </w:tc>
        <w:tc>
          <w:tcPr>
            <w:tcW w:w="2009" w:type="dxa"/>
          </w:tcPr>
          <w:p w:rsidR="00095147" w:rsidRPr="001A1CAA" w:rsidRDefault="00095147" w:rsidP="004D372B">
            <w:pPr>
              <w:rPr>
                <w:sz w:val="24"/>
                <w:szCs w:val="24"/>
              </w:rPr>
            </w:pPr>
            <w:r w:rsidRPr="001A1CAA">
              <w:rPr>
                <w:sz w:val="24"/>
                <w:szCs w:val="24"/>
              </w:rPr>
              <w:t>Greenville, MS</w:t>
            </w:r>
          </w:p>
        </w:tc>
      </w:tr>
      <w:tr w:rsidR="00095147" w:rsidRPr="001A1CAA" w:rsidTr="004D372B">
        <w:tc>
          <w:tcPr>
            <w:tcW w:w="2684" w:type="dxa"/>
          </w:tcPr>
          <w:p w:rsidR="00095147" w:rsidRPr="001A1CAA" w:rsidRDefault="00095147" w:rsidP="004D372B">
            <w:pPr>
              <w:rPr>
                <w:sz w:val="24"/>
                <w:szCs w:val="24"/>
              </w:rPr>
            </w:pPr>
            <w:r w:rsidRPr="001A1CAA">
              <w:rPr>
                <w:sz w:val="24"/>
                <w:szCs w:val="24"/>
              </w:rPr>
              <w:t>North Mississippi Medical Center</w:t>
            </w:r>
          </w:p>
        </w:tc>
        <w:tc>
          <w:tcPr>
            <w:tcW w:w="2379" w:type="dxa"/>
          </w:tcPr>
          <w:p w:rsidR="00095147" w:rsidRPr="001A1CAA" w:rsidRDefault="00095147" w:rsidP="004D372B">
            <w:pPr>
              <w:rPr>
                <w:sz w:val="24"/>
                <w:szCs w:val="24"/>
              </w:rPr>
            </w:pPr>
            <w:r w:rsidRPr="001A1CAA">
              <w:rPr>
                <w:sz w:val="24"/>
                <w:szCs w:val="24"/>
              </w:rPr>
              <w:t>Internal Medicine</w:t>
            </w:r>
          </w:p>
        </w:tc>
        <w:tc>
          <w:tcPr>
            <w:tcW w:w="2009" w:type="dxa"/>
          </w:tcPr>
          <w:p w:rsidR="00095147" w:rsidRPr="001A1CAA" w:rsidRDefault="00095147" w:rsidP="004D372B">
            <w:pPr>
              <w:rPr>
                <w:sz w:val="24"/>
                <w:szCs w:val="24"/>
              </w:rPr>
            </w:pPr>
            <w:r w:rsidRPr="001A1CAA">
              <w:rPr>
                <w:sz w:val="24"/>
                <w:szCs w:val="24"/>
              </w:rPr>
              <w:t>Tupelo, MS</w:t>
            </w:r>
          </w:p>
        </w:tc>
      </w:tr>
      <w:tr w:rsidR="00095147" w:rsidRPr="001A1CAA" w:rsidTr="004D372B">
        <w:tc>
          <w:tcPr>
            <w:tcW w:w="2684" w:type="dxa"/>
          </w:tcPr>
          <w:p w:rsidR="00095147" w:rsidRPr="001A1CAA" w:rsidRDefault="00095147" w:rsidP="004D372B">
            <w:pPr>
              <w:rPr>
                <w:sz w:val="24"/>
                <w:szCs w:val="24"/>
              </w:rPr>
            </w:pPr>
            <w:r w:rsidRPr="001A1CAA">
              <w:rPr>
                <w:sz w:val="24"/>
                <w:szCs w:val="24"/>
              </w:rPr>
              <w:t xml:space="preserve">Baptist Memorial Hospital – North Mississippi </w:t>
            </w:r>
          </w:p>
        </w:tc>
        <w:tc>
          <w:tcPr>
            <w:tcW w:w="2379" w:type="dxa"/>
          </w:tcPr>
          <w:p w:rsidR="00095147" w:rsidRPr="001A1CAA" w:rsidRDefault="00095147" w:rsidP="004D372B">
            <w:pPr>
              <w:rPr>
                <w:sz w:val="24"/>
                <w:szCs w:val="24"/>
              </w:rPr>
            </w:pPr>
            <w:r w:rsidRPr="001A1CAA">
              <w:rPr>
                <w:sz w:val="24"/>
                <w:szCs w:val="24"/>
              </w:rPr>
              <w:t>Internal Medicine</w:t>
            </w:r>
          </w:p>
        </w:tc>
        <w:tc>
          <w:tcPr>
            <w:tcW w:w="2009" w:type="dxa"/>
          </w:tcPr>
          <w:p w:rsidR="00095147" w:rsidRPr="001A1CAA" w:rsidRDefault="00095147" w:rsidP="004D372B">
            <w:pPr>
              <w:rPr>
                <w:sz w:val="24"/>
                <w:szCs w:val="24"/>
              </w:rPr>
            </w:pPr>
            <w:r w:rsidRPr="001A1CAA">
              <w:rPr>
                <w:sz w:val="24"/>
                <w:szCs w:val="24"/>
              </w:rPr>
              <w:t>Oxford, MS</w:t>
            </w:r>
          </w:p>
        </w:tc>
      </w:tr>
      <w:tr w:rsidR="00095147" w:rsidRPr="001A1CAA" w:rsidTr="004D372B">
        <w:tc>
          <w:tcPr>
            <w:tcW w:w="2684" w:type="dxa"/>
          </w:tcPr>
          <w:p w:rsidR="00095147" w:rsidRPr="001A1CAA" w:rsidRDefault="00095147" w:rsidP="004D372B">
            <w:pPr>
              <w:rPr>
                <w:sz w:val="24"/>
                <w:szCs w:val="24"/>
              </w:rPr>
            </w:pPr>
            <w:r w:rsidRPr="001A1CAA">
              <w:rPr>
                <w:sz w:val="24"/>
                <w:szCs w:val="24"/>
              </w:rPr>
              <w:t>Magnolia Regional Health Center</w:t>
            </w:r>
          </w:p>
        </w:tc>
        <w:tc>
          <w:tcPr>
            <w:tcW w:w="2379" w:type="dxa"/>
          </w:tcPr>
          <w:p w:rsidR="00095147" w:rsidRPr="001A1CAA" w:rsidRDefault="00095147" w:rsidP="004D372B">
            <w:pPr>
              <w:rPr>
                <w:sz w:val="24"/>
                <w:szCs w:val="24"/>
              </w:rPr>
            </w:pPr>
            <w:r w:rsidRPr="001A1CAA">
              <w:rPr>
                <w:sz w:val="24"/>
                <w:szCs w:val="24"/>
              </w:rPr>
              <w:t>Emergency Medicine</w:t>
            </w:r>
          </w:p>
        </w:tc>
        <w:tc>
          <w:tcPr>
            <w:tcW w:w="2009" w:type="dxa"/>
          </w:tcPr>
          <w:p w:rsidR="00095147" w:rsidRPr="001A1CAA" w:rsidRDefault="00095147" w:rsidP="004D372B">
            <w:pPr>
              <w:rPr>
                <w:sz w:val="24"/>
                <w:szCs w:val="24"/>
              </w:rPr>
            </w:pPr>
            <w:r w:rsidRPr="001A1CAA">
              <w:rPr>
                <w:sz w:val="24"/>
                <w:szCs w:val="24"/>
              </w:rPr>
              <w:t>Corinth, MS</w:t>
            </w:r>
          </w:p>
        </w:tc>
      </w:tr>
    </w:tbl>
    <w:p w:rsidR="00095147" w:rsidRPr="001A1CAA" w:rsidRDefault="00095147" w:rsidP="00095147">
      <w:pPr>
        <w:ind w:left="119"/>
        <w:rPr>
          <w:sz w:val="24"/>
          <w:szCs w:val="24"/>
        </w:rPr>
      </w:pPr>
    </w:p>
    <w:p w:rsidR="00095147" w:rsidRPr="001A1CAA" w:rsidRDefault="00095147" w:rsidP="00095147">
      <w:pPr>
        <w:ind w:left="119"/>
        <w:rPr>
          <w:rFonts w:eastAsiaTheme="minorHAnsi"/>
          <w:b/>
          <w:color w:val="000000"/>
          <w:sz w:val="24"/>
          <w:szCs w:val="24"/>
          <w:lang w:bidi="ar-SA"/>
        </w:rPr>
      </w:pPr>
      <w:r w:rsidRPr="001A1CAA">
        <w:rPr>
          <w:rFonts w:eastAsiaTheme="minorHAnsi"/>
          <w:b/>
          <w:color w:val="000000"/>
          <w:sz w:val="24"/>
          <w:szCs w:val="24"/>
          <w:lang w:bidi="ar-SA"/>
        </w:rPr>
        <w:t>Budgetary Discussion</w:t>
      </w:r>
    </w:p>
    <w:p w:rsidR="00095147" w:rsidRPr="001A1CAA" w:rsidRDefault="00095147" w:rsidP="00095147">
      <w:pPr>
        <w:ind w:left="119"/>
        <w:rPr>
          <w:rFonts w:eastAsiaTheme="minorHAnsi"/>
          <w:color w:val="000000"/>
          <w:sz w:val="24"/>
          <w:szCs w:val="24"/>
          <w:lang w:bidi="ar-SA"/>
        </w:rPr>
      </w:pPr>
      <w:r w:rsidRPr="001A1CAA">
        <w:rPr>
          <w:rFonts w:eastAsiaTheme="minorHAnsi"/>
          <w:color w:val="000000"/>
          <w:sz w:val="24"/>
          <w:szCs w:val="24"/>
          <w:lang w:bidi="ar-SA"/>
        </w:rPr>
        <w:t>Two of the programs, Gulfport Memorial Hospital and North Mississippi Medical Center, possess enough institutional funding to proceed independent of OMPW contributions. Although this is a significant increase from past budgetary requests, Board members expressed enthusiasm and support.</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r>
        <w:rPr>
          <w:rFonts w:eastAsiaTheme="minorHAnsi"/>
          <w:b/>
          <w:color w:val="000000"/>
          <w:sz w:val="24"/>
          <w:szCs w:val="24"/>
          <w:lang w:bidi="ar-SA"/>
        </w:rPr>
        <w:t xml:space="preserve">V. </w:t>
      </w:r>
      <w:r w:rsidRPr="001A1CAA">
        <w:rPr>
          <w:rFonts w:eastAsiaTheme="minorHAnsi"/>
          <w:b/>
          <w:color w:val="000000"/>
          <w:sz w:val="24"/>
          <w:szCs w:val="24"/>
          <w:lang w:bidi="ar-SA"/>
        </w:rPr>
        <w:t>Cap-Flexibility Proposal</w:t>
      </w:r>
    </w:p>
    <w:p w:rsidR="00095147" w:rsidRPr="001A1CAA" w:rsidRDefault="00095147" w:rsidP="00095147">
      <w:pPr>
        <w:ind w:left="119"/>
        <w:rPr>
          <w:sz w:val="24"/>
          <w:szCs w:val="24"/>
        </w:rPr>
      </w:pPr>
      <w:r w:rsidRPr="001A1CAA">
        <w:rPr>
          <w:sz w:val="24"/>
          <w:szCs w:val="24"/>
        </w:rPr>
        <w:t xml:space="preserve">The Cap Flexibility proposal continues to gain some momentum in Congress. OMPW will continue to support national bills that expand Cap flexibility, address rural PRA, Teaching Health Center grant program and/or other bills that may assist in broadening rural GME training capabilities. If adopted, a revised proposal could help expansion of several Mississippi residencies that are currently capped including Forrest General Hospital, North Mississippi Medical Center, and Magnolia Regional Health Center. </w:t>
      </w:r>
    </w:p>
    <w:p w:rsidR="00095147" w:rsidRPr="001A1CAA" w:rsidRDefault="00095147" w:rsidP="00095147">
      <w:pPr>
        <w:ind w:left="119"/>
        <w:rPr>
          <w:sz w:val="24"/>
          <w:szCs w:val="24"/>
        </w:rPr>
      </w:pPr>
    </w:p>
    <w:p w:rsidR="00095147" w:rsidRPr="004C27FA" w:rsidRDefault="00095147" w:rsidP="00095147">
      <w:pPr>
        <w:ind w:left="119"/>
        <w:rPr>
          <w:b/>
          <w:sz w:val="24"/>
          <w:szCs w:val="24"/>
        </w:rPr>
      </w:pPr>
      <w:r>
        <w:rPr>
          <w:b/>
          <w:sz w:val="24"/>
          <w:szCs w:val="24"/>
        </w:rPr>
        <w:t xml:space="preserve">VI. </w:t>
      </w:r>
      <w:r w:rsidRPr="004C27FA">
        <w:rPr>
          <w:b/>
          <w:sz w:val="24"/>
          <w:szCs w:val="24"/>
        </w:rPr>
        <w:t>Delta Regional Medical Center – Sole Community Hospital Designation</w:t>
      </w:r>
    </w:p>
    <w:p w:rsidR="00095147" w:rsidRDefault="00095147" w:rsidP="00095147">
      <w:pPr>
        <w:ind w:left="119"/>
        <w:rPr>
          <w:rFonts w:eastAsiaTheme="minorHAnsi"/>
          <w:color w:val="000000"/>
          <w:sz w:val="24"/>
          <w:szCs w:val="24"/>
          <w:lang w:bidi="ar-SA"/>
        </w:rPr>
      </w:pPr>
      <w:r>
        <w:rPr>
          <w:rFonts w:eastAsiaTheme="minorHAnsi"/>
          <w:color w:val="000000"/>
          <w:sz w:val="24"/>
          <w:szCs w:val="24"/>
          <w:lang w:bidi="ar-SA"/>
        </w:rPr>
        <w:t xml:space="preserve">DRMC leadership informed Dr. Mitchell that the hospital has been designated as a Sole Community Hospital by the Centers for Medicare and Medicaid Services (CMS). Sole Community Hospitals receiving CMS funding are not eligible to receive Indirect Medical Education (IME) funds. This ruling could reduce the amount of GME funding previously earmarked by DRMC for the Mississippi Delta Family Medicine Program. Dr. Mitchell will continue to investigate alternate funding resources. He will meet with DRMC leadership in mid-August to discuss their financial commitment. </w:t>
      </w:r>
    </w:p>
    <w:p w:rsidR="00095147" w:rsidRPr="001A1CAA" w:rsidRDefault="00095147" w:rsidP="00095147">
      <w:pPr>
        <w:ind w:left="119"/>
        <w:rPr>
          <w:rFonts w:eastAsiaTheme="minorHAnsi"/>
          <w:color w:val="000000"/>
          <w:sz w:val="24"/>
          <w:szCs w:val="24"/>
          <w:lang w:bidi="ar-SA"/>
        </w:rPr>
      </w:pPr>
    </w:p>
    <w:p w:rsidR="00095147" w:rsidRPr="001A1CAA" w:rsidRDefault="00095147" w:rsidP="00095147">
      <w:pPr>
        <w:ind w:left="119"/>
        <w:rPr>
          <w:rFonts w:eastAsiaTheme="minorHAnsi"/>
          <w:b/>
          <w:color w:val="000000"/>
          <w:sz w:val="24"/>
          <w:szCs w:val="24"/>
          <w:lang w:bidi="ar-SA"/>
        </w:rPr>
      </w:pPr>
    </w:p>
    <w:p w:rsidR="00095147" w:rsidRDefault="00095147" w:rsidP="00095147">
      <w:pPr>
        <w:ind w:left="119"/>
        <w:rPr>
          <w:b/>
          <w:sz w:val="24"/>
          <w:szCs w:val="24"/>
        </w:rPr>
      </w:pPr>
      <w:r>
        <w:rPr>
          <w:b/>
          <w:sz w:val="24"/>
          <w:szCs w:val="24"/>
        </w:rPr>
        <w:t>VII. Old Business</w:t>
      </w:r>
    </w:p>
    <w:p w:rsidR="00095147" w:rsidRDefault="00095147" w:rsidP="00095147">
      <w:pPr>
        <w:ind w:left="119"/>
        <w:rPr>
          <w:sz w:val="24"/>
          <w:szCs w:val="24"/>
        </w:rPr>
      </w:pPr>
    </w:p>
    <w:p w:rsidR="00095147" w:rsidRPr="00A554D6" w:rsidRDefault="00095147" w:rsidP="00095147">
      <w:pPr>
        <w:ind w:left="119"/>
        <w:rPr>
          <w:b/>
          <w:sz w:val="24"/>
          <w:szCs w:val="24"/>
        </w:rPr>
      </w:pPr>
      <w:r>
        <w:rPr>
          <w:b/>
          <w:sz w:val="24"/>
          <w:szCs w:val="24"/>
        </w:rPr>
        <w:t xml:space="preserve">VIII. </w:t>
      </w:r>
      <w:r w:rsidRPr="00A554D6">
        <w:rPr>
          <w:b/>
          <w:sz w:val="24"/>
          <w:szCs w:val="24"/>
        </w:rPr>
        <w:t xml:space="preserve">Mississippi Medical Educator Development Program (MSMED) </w:t>
      </w:r>
    </w:p>
    <w:p w:rsidR="00095147" w:rsidRPr="00476F0D" w:rsidRDefault="00095147" w:rsidP="00095147">
      <w:pPr>
        <w:ind w:left="119"/>
        <w:rPr>
          <w:sz w:val="24"/>
          <w:szCs w:val="24"/>
        </w:rPr>
      </w:pPr>
      <w:r>
        <w:rPr>
          <w:sz w:val="24"/>
          <w:szCs w:val="24"/>
        </w:rPr>
        <w:t xml:space="preserve">OMPW anticipates that the MSMED program will factor heavily in faculty development at MSMERC and possibly other residency sites. A portion of MSMERC’s recent HRSA grant application includes incentives for faculty development. </w:t>
      </w:r>
    </w:p>
    <w:p w:rsidR="00095147" w:rsidRPr="00563AB7" w:rsidRDefault="00095147" w:rsidP="00095147">
      <w:pPr>
        <w:ind w:left="119"/>
        <w:rPr>
          <w:b/>
          <w:sz w:val="24"/>
          <w:szCs w:val="24"/>
        </w:rPr>
      </w:pPr>
    </w:p>
    <w:p w:rsidR="00095147" w:rsidRPr="00563AB7" w:rsidRDefault="00095147" w:rsidP="00095147">
      <w:pPr>
        <w:ind w:left="119"/>
        <w:rPr>
          <w:b/>
          <w:sz w:val="24"/>
          <w:szCs w:val="24"/>
        </w:rPr>
      </w:pPr>
      <w:r>
        <w:rPr>
          <w:b/>
          <w:sz w:val="24"/>
          <w:szCs w:val="24"/>
        </w:rPr>
        <w:t xml:space="preserve">IX. </w:t>
      </w:r>
      <w:r w:rsidRPr="00563AB7">
        <w:rPr>
          <w:b/>
          <w:sz w:val="24"/>
          <w:szCs w:val="24"/>
        </w:rPr>
        <w:t>IT/GIS Update</w:t>
      </w:r>
    </w:p>
    <w:p w:rsidR="00095147" w:rsidRPr="00563AB7" w:rsidRDefault="00095147" w:rsidP="00095147">
      <w:pPr>
        <w:ind w:left="119"/>
        <w:rPr>
          <w:b/>
          <w:sz w:val="24"/>
          <w:szCs w:val="24"/>
        </w:rPr>
      </w:pPr>
      <w:r w:rsidRPr="00563AB7">
        <w:rPr>
          <w:sz w:val="24"/>
          <w:szCs w:val="24"/>
        </w:rPr>
        <w:t xml:space="preserve">OMPW has contracted with Gary Hennington, President of the Geospatial Group, to work through processes for data recovery and reconstruction, new data, data sharing, and public availability of the OMPW products. A workable, publicly accessible GIS physician site is planned for early 2019. </w:t>
      </w:r>
    </w:p>
    <w:p w:rsidR="00095147" w:rsidRPr="00563AB7" w:rsidRDefault="00095147" w:rsidP="00095147">
      <w:pPr>
        <w:ind w:left="119"/>
        <w:rPr>
          <w:sz w:val="24"/>
          <w:szCs w:val="24"/>
        </w:rPr>
      </w:pPr>
    </w:p>
    <w:p w:rsidR="00095147" w:rsidRPr="00563AB7" w:rsidRDefault="00095147" w:rsidP="00095147">
      <w:pPr>
        <w:ind w:left="119"/>
        <w:rPr>
          <w:sz w:val="24"/>
          <w:szCs w:val="24"/>
        </w:rPr>
      </w:pPr>
      <w:r w:rsidRPr="00563AB7">
        <w:rPr>
          <w:sz w:val="24"/>
          <w:szCs w:val="24"/>
        </w:rPr>
        <w:t>Meeting adjourned at 3:45 p.m.</w:t>
      </w:r>
    </w:p>
    <w:p w:rsidR="00095147" w:rsidRPr="00563AB7" w:rsidRDefault="00095147" w:rsidP="00095147">
      <w:pPr>
        <w:ind w:left="119"/>
        <w:rPr>
          <w:sz w:val="24"/>
          <w:szCs w:val="24"/>
        </w:rPr>
      </w:pPr>
    </w:p>
    <w:p w:rsidR="00095147" w:rsidRPr="001A1CAA" w:rsidRDefault="00095147" w:rsidP="00095147">
      <w:pPr>
        <w:ind w:left="119"/>
        <w:rPr>
          <w:sz w:val="24"/>
          <w:szCs w:val="24"/>
        </w:rPr>
      </w:pPr>
    </w:p>
    <w:p w:rsidR="00095147" w:rsidRPr="001A1CAA" w:rsidRDefault="00095147" w:rsidP="00095147">
      <w:pPr>
        <w:ind w:left="119"/>
        <w:rPr>
          <w:sz w:val="24"/>
          <w:szCs w:val="24"/>
        </w:rPr>
      </w:pPr>
    </w:p>
    <w:p w:rsidR="00095147" w:rsidRPr="001A1CAA" w:rsidRDefault="00095147" w:rsidP="00095147">
      <w:pPr>
        <w:pStyle w:val="BodyText"/>
        <w:ind w:left="1500"/>
      </w:pPr>
    </w:p>
    <w:p w:rsidR="00095147" w:rsidRPr="001A1CAA" w:rsidRDefault="00095147" w:rsidP="00095147">
      <w:pPr>
        <w:rPr>
          <w:sz w:val="24"/>
          <w:szCs w:val="24"/>
        </w:rPr>
      </w:pPr>
    </w:p>
    <w:p w:rsidR="00095147" w:rsidRPr="001A1CAA" w:rsidRDefault="00095147" w:rsidP="00095147">
      <w:pPr>
        <w:rPr>
          <w:sz w:val="24"/>
          <w:szCs w:val="24"/>
        </w:rPr>
      </w:pPr>
    </w:p>
    <w:p w:rsidR="00AF32E5" w:rsidRDefault="00AF32E5"/>
    <w:sectPr w:rsidR="00AF32E5" w:rsidSect="004802CF">
      <w:footerReference w:type="default" r:id="rId6"/>
      <w:type w:val="continuous"/>
      <w:pgSz w:w="12240" w:h="15840"/>
      <w:pgMar w:top="1354" w:right="1340" w:bottom="806" w:left="1325" w:header="720" w:footer="619"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64676"/>
      <w:docPartObj>
        <w:docPartGallery w:val="Page Numbers (Bottom of Page)"/>
        <w:docPartUnique/>
      </w:docPartObj>
    </w:sdtPr>
    <w:sdtEndPr>
      <w:rPr>
        <w:noProof/>
      </w:rPr>
    </w:sdtEndPr>
    <w:sdtContent>
      <w:p w:rsidR="00EB2D6B" w:rsidRDefault="00C60E2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EB2D6B" w:rsidRDefault="00C60E2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50D8"/>
    <w:multiLevelType w:val="hybridMultilevel"/>
    <w:tmpl w:val="835A874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52996E1D"/>
    <w:multiLevelType w:val="hybridMultilevel"/>
    <w:tmpl w:val="557E171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visionView w:inkAnnotations="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47"/>
    <w:rsid w:val="0008371A"/>
    <w:rsid w:val="00095147"/>
    <w:rsid w:val="000E0115"/>
    <w:rsid w:val="004802CF"/>
    <w:rsid w:val="00AF32E5"/>
    <w:rsid w:val="00C60E20"/>
    <w:rsid w:val="00E21944"/>
    <w:rsid w:val="00FE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253F0-8559-4FBD-BCB5-CC2F26F2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5147"/>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5147"/>
    <w:rPr>
      <w:sz w:val="24"/>
      <w:szCs w:val="24"/>
    </w:rPr>
  </w:style>
  <w:style w:type="character" w:customStyle="1" w:styleId="BodyTextChar">
    <w:name w:val="Body Text Char"/>
    <w:basedOn w:val="DefaultParagraphFont"/>
    <w:link w:val="BodyText"/>
    <w:uiPriority w:val="1"/>
    <w:rsid w:val="00095147"/>
    <w:rPr>
      <w:rFonts w:ascii="Times New Roman" w:eastAsia="Times New Roman" w:hAnsi="Times New Roman" w:cs="Times New Roman"/>
      <w:sz w:val="24"/>
      <w:szCs w:val="24"/>
      <w:lang w:bidi="en-US"/>
    </w:rPr>
  </w:style>
  <w:style w:type="table" w:styleId="TableGrid">
    <w:name w:val="Table Grid"/>
    <w:basedOn w:val="TableNormal"/>
    <w:uiPriority w:val="39"/>
    <w:rsid w:val="00095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95147"/>
    <w:pPr>
      <w:tabs>
        <w:tab w:val="center" w:pos="4680"/>
        <w:tab w:val="right" w:pos="9360"/>
      </w:tabs>
    </w:pPr>
  </w:style>
  <w:style w:type="character" w:customStyle="1" w:styleId="FooterChar">
    <w:name w:val="Footer Char"/>
    <w:basedOn w:val="DefaultParagraphFont"/>
    <w:link w:val="Footer"/>
    <w:uiPriority w:val="99"/>
    <w:rsid w:val="00095147"/>
    <w:rPr>
      <w:rFonts w:ascii="Times New Roman" w:eastAsia="Times New Roman" w:hAnsi="Times New Roman" w:cs="Times New Roman"/>
      <w:lang w:bidi="en-US"/>
    </w:rPr>
  </w:style>
  <w:style w:type="paragraph" w:styleId="ListParagraph">
    <w:name w:val="List Paragraph"/>
    <w:basedOn w:val="Normal"/>
    <w:uiPriority w:val="34"/>
    <w:qFormat/>
    <w:rsid w:val="00095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UMMC</Company>
  <LinksUpToDate>false</LinksUpToDate>
  <CharactersWithSpaces>10607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 Paul</dc:creator>
  <cp:keywords/>
  <dc:description/>
  <cp:lastModifiedBy>Julie M Paul</cp:lastModifiedBy>
  <cp:revision>2</cp:revision>
  <dcterms:created xsi:type="dcterms:W3CDTF">2019-07-29T20:55:00Z</dcterms:created>
  <dcterms:modified xsi:type="dcterms:W3CDTF">2019-07-29T21:01:00Z</dcterms:modified>
</cp:coreProperties>
</file>