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200"/>
        <w:gridCol w:w="5546"/>
      </w:tblGrid>
      <w:tr>
        <w:tc>
          <w:tcPr>
            <w:tcW w:w="4200" w:type="dxa"/>
            <w:tcBorders>
              <w:top w:val="nil"/>
              <w:left w:val="nil"/>
              <w:bottom w:val="single" w:sz="16" w:color="F15E4B"/>
              <w:right w:val="nil"/>
            </w:tcBorders>
            <w:tcMar>
              <w:top w:w="60" w:type="dxa"/>
              <w:left w:w="0" w:type="dxa"/>
              <w:bottom w:w="160" w:type="dxa"/>
              <w:right w:w="120" w:type="dxa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148840" cy="768042"/>
                  <wp:effectExtent l="0" t="0" r="0" b="0"/>
                  <wp:docPr id="1001" name="Grounded AI Practic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1" name="Grounded AI Practice logo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76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6" w:type="dxa"/>
            <w:tcBorders>
              <w:top w:val="nil"/>
              <w:left w:val="nil"/>
              <w:bottom w:val="single" w:sz="16" w:color="F15E4B"/>
              <w:right w:val="nil"/>
            </w:tcBorders>
            <w:tcMar>
              <w:top w:w="60" w:type="dxa"/>
              <w:left w:w="120" w:type="dxa"/>
              <w:bottom w:w="160" w:type="dxa"/>
              <w:right w:w="0" w:type="dxa"/>
            </w:tcMar>
            <w:vAlign w:val="center"/>
          </w:tcPr>
          <w:p>
            <w:pPr>
              <w:pStyle w:val="Eyebrow"/>
              <w:jc w:val="right"/>
            </w:pPr>
            <w:r>
              <w:t xml:space="preserve">LEARNING UNIT — DRAFT</w:t>
            </w:r>
          </w:p>
          <w:p>
            <w:pPr>
              <w:spacing w:after="0"/>
              <w:jc w:val="right"/>
            </w:pPr>
            <w:r>
              <w:rPr>
                <w:rFonts w:ascii="Public Sans" w:hAnsi="Public Sans" w:cs="Public Sans"/>
                <w:i/>
                <w:iCs/>
                <w:color w:val="27221E"/>
                <w:sz w:val="16"/>
                <w:szCs w:val="16"/>
              </w:rPr>
              <w:t xml:space="preserve">Judging a hard drive by its own records</w:t>
            </w:r>
          </w:p>
        </w:tc>
      </w:tr>
    </w:tbl>
    <w:p>
      <w:pPr>
        <w:spacing w:after="120"/>
      </w:pPr>
    </w:p>
    <w:p>
      <w:pPr>
        <w:pStyle w:val="Title"/>
      </w:pPr>
      <w:r>
        <w:t xml:space="preserve">Reading a drive's SMART results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A drive keeps its own health records. SMART — Self-Monitoring, Analysis and Reporting Technology — is the part of a drive's firmware that counts its errors, tracks its age and temperature, and runs self-tests on request. The operating system does not grade the drive; the drive grades itself, and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smartctl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is how you ask to see the marking.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This unit covers reading those records: the one command that shows everything, the five numbers that decide whether a drive can be trusted, and the two traps that make healthy drives look dying and dying drives look healthy.</w:t>
      </w:r>
    </w:p>
    <w:p>
      <w:pPr>
        <w:spacing w:before="120" w:after="160"/>
      </w:pPr>
      <w:r>
        <w:drawing>
          <wp:inline distT="0" distB="0" distL="0" distR="0">
            <wp:extent cx="6188710" cy="1050000"/>
            <wp:effectExtent l="0" t="0" r="0" b="0"/>
            <wp:docPr id="3000" name="Callout NOT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88710" cy="1050000"/>
                      <a:chOff x="0" y="0"/>
                      <a:chExt cx="6188710" cy="1050000"/>
                    </a:xfrm>
                  </wpg:grpSpPr>
                  <wps:wsp>
                    <wps:cNvSpPr/>
                    <wps:spPr>
                      <a:xfrm>
                        <a:off x="0" y="0"/>
                        <a:ext cx="6188710" cy="1050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796000" cy="796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3001" name="NOTE icon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195560" y="214560"/>
                        <a:ext cx="620880" cy="62088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796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799110" cy="79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NOTE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A self-test runs inside the drive, not on the computer. The terminal that started it will never print a result, and closing that terminal changes nothing. The result waits in the drive's own log until something asks for it.</w:t>
                          </w:r>
                        </w:p>
                      </w:txbxContent>
                    </wps:txbx>
                    <wps:bodyPr rot="0" anchor="t" lIns="0" tIns="0" rIns="0" bIns="0"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 xml:space="preserve">The command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9746"/>
      </w:tblGrid>
      <w:tr>
        <w:tc>
          <w:tcPr>
            <w:tcW w:w="9746" w:type="dxa"/>
            <w:tcBorders>
              <w:top w:val="single" w:sz="4" w:color="D5E2E1"/>
              <w:left w:val="single" w:sz="18" w:color="F15E4B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27221E"/>
                <w:sz w:val="17"/>
                <w:szCs w:val="17"/>
              </w:rPr>
              <w:t xml:space="preserve">sudo smartctl -H -A -l selftest /dev/sda</w:t>
            </w:r>
          </w:p>
        </w:tc>
      </w:tr>
    </w:tbl>
    <w:p>
      <w:pPr>
        <w:spacing w:after="80"/>
      </w:pP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2428"/>
        <w:gridCol w:w="7318"/>
      </w:tblGrid>
      <w:tr>
        <w:trPr>
          <w:tblHeader/>
        </w:trP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Part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sudo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Drive-level queries need administrator rights.</w:t>
            </w:r>
          </w:p>
        </w:tc>
      </w:tr>
      <w:t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smartctl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The control tool from the </w:t>
            </w: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smartmontools</w:t>
            </w: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 package.</w:t>
            </w:r>
          </w:p>
        </w:tc>
      </w:tr>
      <w:t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-H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The drive's overall verdict on itself — one line, </w:t>
            </w: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PASSED</w:t>
            </w: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 or </w:t>
            </w: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FAILED</w:t>
            </w: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-A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The attribute table: the drive's running counters.</w:t>
            </w:r>
          </w:p>
        </w:tc>
      </w:tr>
      <w:t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-l selftest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The self-test log, including the test you started.</w:t>
            </w:r>
          </w:p>
        </w:tc>
      </w:tr>
      <w:tr>
        <w:tc>
          <w:tcPr>
            <w:tcW w:w="242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/dev/sda</w:t>
            </w:r>
          </w:p>
        </w:tc>
        <w:tc>
          <w:tcPr>
            <w:tcW w:w="7318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Which drive to ask.</w:t>
            </w:r>
          </w:p>
        </w:tc>
      </w:tr>
    </w:tbl>
    <w:p>
      <w:pPr>
        <w:spacing w:after="80"/>
      </w:pPr>
    </w:p>
    <w:p>
      <w:pPr>
        <w:spacing w:before="120" w:after="160"/>
      </w:pPr>
      <w:r>
        <w:drawing>
          <wp:inline distT="0" distB="0" distL="0" distR="0">
            <wp:extent cx="6188710" cy="1082000"/>
            <wp:effectExtent l="0" t="0" r="0" b="0"/>
            <wp:docPr id="3002" name="Callout TIP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88710" cy="1082000"/>
                      <a:chOff x="0" y="0"/>
                      <a:chExt cx="6188710" cy="1082000"/>
                    </a:xfrm>
                  </wpg:grpSpPr>
                  <wps:wsp>
                    <wps:cNvSpPr/>
                    <wps:spPr>
                      <a:xfrm>
                        <a:off x="0" y="0"/>
                        <a:ext cx="6188710" cy="1082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8DC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3003" name="TIP icon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199080" y="218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799110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F15E4B"/>
                              <w:sz w:val="19"/>
                              <w:szCs w:val="19"/>
                            </w:rPr>
                            <w:t xml:space="preserve">TIP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Device names are handed out at boot and can swap between boots: the drive called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sda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today can be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sdb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tomorrow. Before acting on any result, confirm you are reading the drive you think you are: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sudo smartctl -i /dev/sda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prints the model and serial number, which match the label on the physical drive.</w:t>
                          </w:r>
                        </w:p>
                      </w:txbxContent>
                    </wps:txbx>
                    <wps:bodyPr rot="0" anchor="t" lIns="0" tIns="0" rIns="0" bIns="0"/>
                  </wps:wsp>
                </wpg:wgp>
              </a:graphicData>
            </a:graphic>
          </wp:inline>
        </w:drawing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Prefer a window? Ubuntu ships 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Disks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(search the applications grid for "Disks"). Select the drive, open the menu in the title bar, and choose 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SMART Data &amp; Self-Tests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. Same numbers, same log, and it can start and stop tests too.</w:t>
      </w:r>
    </w:p>
    <w:p>
      <w:pPr>
        <w:pStyle w:val="Heading1"/>
      </w:pPr>
      <w:r>
        <w:t xml:space="preserve">Three layers, three different weights</w:t>
      </w:r>
    </w:p>
    <w:p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smartctl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answers at three levels, and they are not equally trustworthy.</w:t>
      </w:r>
    </w:p>
    <w:p>
      <w:pPr>
        <w:numPr>
          <w:ilvl w:val="0"/>
          <w:numId w:val="2"/>
        </w:numPr>
        <w:spacing w:after="120"/>
        <w:ind w:left="420" w:hanging="240"/>
      </w:pP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The overall verdict (</w:t>
      </w:r>
      <w:r>
        <w:rPr>
          <w:rFonts w:ascii="Consolas" w:hAnsi="Consolas" w:cs="Consolas"/>
          <w:b/>
          <w:bCs/>
          <w:shd w:val="clear" w:color="auto" w:fill="EFEEED"/>
          <w:color w:val="27221E"/>
          <w:sz w:val="19"/>
          <w:szCs w:val="19"/>
        </w:rPr>
        <w:t xml:space="preserve">-H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)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is the weakest.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PASSED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means only that no counter has yet crossed its failure threshold — drives routinely report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PASSED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while visibly deteriorating. Treat it as "not already condemned", never as "healthy".</w:t>
      </w:r>
    </w:p>
    <w:p>
      <w:pPr>
        <w:numPr>
          <w:ilvl w:val="0"/>
          <w:numId w:val="2"/>
        </w:numPr>
        <w:spacing w:after="120"/>
        <w:ind w:left="420" w:hanging="240"/>
      </w:pP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The self-test log (</w:t>
      </w:r>
      <w:r>
        <w:rPr>
          <w:rFonts w:ascii="Consolas" w:hAnsi="Consolas" w:cs="Consolas"/>
          <w:b/>
          <w:bCs/>
          <w:shd w:val="clear" w:color="auto" w:fill="EFEEED"/>
          <w:color w:val="27221E"/>
          <w:sz w:val="19"/>
          <w:szCs w:val="19"/>
        </w:rPr>
        <w:t xml:space="preserve">-l selftest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)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is the exam result. A long test reads every sector on the platter, so "completed without error" means the whole surface has actually been read, recently.</w:t>
      </w:r>
    </w:p>
    <w:p>
      <w:pPr>
        <w:numPr>
          <w:ilvl w:val="0"/>
          <w:numId w:val="2"/>
        </w:numPr>
        <w:spacing w:after="120"/>
        <w:ind w:left="420" w:hanging="240"/>
      </w:pP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The attribute table (</w:t>
      </w:r>
      <w:r>
        <w:rPr>
          <w:rFonts w:ascii="Consolas" w:hAnsi="Consolas" w:cs="Consolas"/>
          <w:b/>
          <w:bCs/>
          <w:shd w:val="clear" w:color="auto" w:fill="EFEEED"/>
          <w:color w:val="27221E"/>
          <w:sz w:val="19"/>
          <w:szCs w:val="19"/>
        </w:rPr>
        <w:t xml:space="preserve">-A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)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is the continuous record. It is where deterioration shows first, and the </w:t>
      </w:r>
      <w:r>
        <w:rPr>
          <w:rFonts w:ascii="Public Sans" w:hAnsi="Public Sans" w:cs="Public Sans"/>
          <w:i/>
          <w:iCs/>
          <w:color w:val="27221E"/>
          <w:sz w:val="21"/>
          <w:szCs w:val="21"/>
        </w:rPr>
        <w:t xml:space="preserve">trend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across weeks matters more than any single reading.</w:t>
      </w:r>
    </w:p>
    <w:p>
      <w:pPr>
        <w:pStyle w:val="Heading1"/>
      </w:pPr>
      <w:r>
        <w:t xml:space="preserve">Reading the self-test log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The log lists recent tests, newest first: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9746"/>
      </w:tblGrid>
      <w:tr>
        <w:tc>
          <w:tcPr>
            <w:tcW w:w="9746" w:type="dxa"/>
            <w:tcBorders>
              <w:top w:val="single" w:sz="4" w:color="D5E2E1"/>
              <w:left w:val="single" w:sz="18" w:color="F15E4B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27221E"/>
                <w:sz w:val="17"/>
                <w:szCs w:val="17"/>
              </w:rPr>
              <w:t xml:space="preserve">Num  Test        Status                    Remaining  LifeTime(hours)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27221E"/>
                <w:sz w:val="17"/>
                <w:szCs w:val="17"/>
              </w:rPr>
              <w:t xml:space="preserve"># 1  Extended    Completed without error       00%        10831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color w:val="27221E"/>
                <w:sz w:val="17"/>
                <w:szCs w:val="17"/>
              </w:rPr>
              <w:t xml:space="preserve"># 2  Short       Completed without error       00%         9905</w:t>
            </w:r>
          </w:p>
        </w:tc>
      </w:tr>
    </w:tbl>
    <w:p>
      <w:pPr>
        <w:spacing w:after="80"/>
      </w:pP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2550"/>
        <w:gridCol w:w="3531"/>
        <w:gridCol w:w="3665"/>
      </w:tblGrid>
      <w:tr>
        <w:trPr>
          <w:tblHeader/>
        </w:trPr>
        <w:tc>
          <w:tcPr>
            <w:tcW w:w="2550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Status</w:t>
            </w:r>
          </w:p>
        </w:tc>
        <w:tc>
          <w:tcPr>
            <w:tcW w:w="35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Meaning</w:t>
            </w:r>
          </w:p>
        </w:tc>
        <w:tc>
          <w:tcPr>
            <w:tcW w:w="366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w="2550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Completed without error</w:t>
            </w:r>
          </w:p>
        </w:tc>
        <w:tc>
          <w:tcPr>
            <w:tcW w:w="35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Every sector read cleanly.</w:t>
            </w:r>
          </w:p>
        </w:tc>
        <w:tc>
          <w:tcPr>
            <w:tcW w:w="366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The pass you wanted.</w:t>
            </w:r>
          </w:p>
        </w:tc>
      </w:tr>
      <w:tr>
        <w:tc>
          <w:tcPr>
            <w:tcW w:w="2550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Completed: read failure</w:t>
            </w:r>
          </w:p>
        </w:tc>
        <w:tc>
          <w:tcPr>
            <w:tcW w:w="35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Bad media found; the log records where.</w:t>
            </w:r>
          </w:p>
        </w:tc>
        <w:tc>
          <w:tcPr>
            <w:tcW w:w="366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Treat the drive as failing — see the verdicts below.</w:t>
            </w:r>
          </w:p>
        </w:tc>
      </w:tr>
      <w:tr>
        <w:tc>
          <w:tcPr>
            <w:tcW w:w="2550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Self-test routine in progress</w:t>
            </w:r>
          </w:p>
        </w:tc>
        <w:tc>
          <w:tcPr>
            <w:tcW w:w="35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Still running; the percentage counts </w:t>
            </w:r>
            <w:r>
              <w:rPr>
                <w:rFonts w:ascii="Public Sans" w:hAnsi="Public Sans" w:cs="Public Sans"/>
                <w:i/>
                <w:iCs/>
                <w:color w:val="27221E"/>
                <w:sz w:val="20"/>
                <w:szCs w:val="20"/>
              </w:rPr>
              <w:t xml:space="preserve">down</w:t>
            </w: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 to 00%.</w:t>
            </w:r>
          </w:p>
        </w:tc>
        <w:tc>
          <w:tcPr>
            <w:tcW w:w="366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Wait. Nothing else.</w:t>
            </w:r>
          </w:p>
        </w:tc>
      </w:tr>
      <w:tr>
        <w:tc>
          <w:tcPr>
            <w:tcW w:w="2550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Interrupted (host reset)</w:t>
            </w:r>
          </w:p>
        </w:tc>
        <w:tc>
          <w:tcPr>
            <w:tcW w:w="35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A reboot or suspend cut it short.</w:t>
            </w:r>
          </w:p>
        </w:tc>
        <w:tc>
          <w:tcPr>
            <w:tcW w:w="366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No verdict either way. Run it again.</w:t>
            </w:r>
          </w:p>
        </w:tc>
      </w:tr>
      <w:tr>
        <w:tc>
          <w:tcPr>
            <w:tcW w:w="2550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Aborted by host</w:t>
            </w:r>
          </w:p>
        </w:tc>
        <w:tc>
          <w:tcPr>
            <w:tcW w:w="35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Something cancelled it.</w:t>
            </w:r>
          </w:p>
        </w:tc>
        <w:tc>
          <w:tcPr>
            <w:tcW w:w="366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Run it again.</w:t>
            </w:r>
          </w:p>
        </w:tc>
      </w:tr>
    </w:tbl>
    <w:p>
      <w:pPr>
        <w:spacing w:after="80"/>
      </w:pPr>
    </w:p>
    <w:p>
      <w:pPr>
        <w:spacing w:before="120" w:after="160"/>
      </w:pPr>
      <w:r>
        <w:drawing>
          <wp:inline distT="0" distB="0" distL="0" distR="0">
            <wp:extent cx="6188710" cy="1050000"/>
            <wp:effectExtent l="0" t="0" r="0" b="0"/>
            <wp:docPr id="3004" name="Callout CHECK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88710" cy="1050000"/>
                      <a:chOff x="0" y="0"/>
                      <a:chExt cx="6188710" cy="1050000"/>
                    </a:xfrm>
                  </wpg:grpSpPr>
                  <wps:wsp>
                    <wps:cNvSpPr/>
                    <wps:spPr>
                      <a:xfrm>
                        <a:off x="0" y="0"/>
                        <a:ext cx="6188710" cy="1050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FEEED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796000" cy="796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3005" name="CHECK icon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195560" y="214560"/>
                        <a:ext cx="620880" cy="62088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796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799110" cy="79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CHECK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LifeTime(hours)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is the drive's power-on-hours count at the moment that test ran. Compare it against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Power_On_Hours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in the attribute table: if the two match to within a few hours, the top entry is the test you just ran, not a relic from years ago.</w:t>
                          </w:r>
                        </w:p>
                      </w:txbxContent>
                    </wps:txbx>
                    <wps:bodyPr rot="0" anchor="t" lIns="0" tIns="0" rIns="0" bIns="0"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 xml:space="preserve">The five numbers that decide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Backblaze, which operates hundreds of thousands of drives and publishes its failure statistics, tracks five SMART attributes as failure predictors: in its data, 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76.7% of failed drives showed a non-zero value in at least one of these five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before failing. Read the </w:t>
      </w: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RAW_VALUE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column for all of them.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1705"/>
        <w:gridCol w:w="2575"/>
        <w:gridCol w:w="5466"/>
      </w:tblGrid>
      <w:tr>
        <w:trPr>
          <w:tblHeader/>
        </w:trPr>
        <w:tc>
          <w:tcPr>
            <w:tcW w:w="170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ID</w:t>
            </w:r>
          </w:p>
        </w:tc>
        <w:tc>
          <w:tcPr>
            <w:tcW w:w="257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Attribute</w:t>
            </w:r>
          </w:p>
        </w:tc>
        <w:tc>
          <w:tcPr>
            <w:tcW w:w="5466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What it counts</w:t>
            </w:r>
          </w:p>
        </w:tc>
      </w:tr>
      <w:tr>
        <w:tc>
          <w:tcPr>
            <w:tcW w:w="170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5</w:t>
            </w:r>
          </w:p>
        </w:tc>
        <w:tc>
          <w:tcPr>
            <w:tcW w:w="257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Reallocated_Sector_Ct</w:t>
            </w:r>
          </w:p>
        </w:tc>
        <w:tc>
          <w:tcPr>
            <w:tcW w:w="5466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Sectors that failed and were quietly replaced from the drive's spare pool.</w:t>
            </w:r>
          </w:p>
        </w:tc>
      </w:tr>
      <w:tr>
        <w:tc>
          <w:tcPr>
            <w:tcW w:w="170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187</w:t>
            </w:r>
          </w:p>
        </w:tc>
        <w:tc>
          <w:tcPr>
            <w:tcW w:w="257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Reported_Uncorrect</w:t>
            </w:r>
          </w:p>
        </w:tc>
        <w:tc>
          <w:tcPr>
            <w:tcW w:w="5466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Errors the drive had to report back to the computer as uncorrectable.</w:t>
            </w:r>
          </w:p>
        </w:tc>
      </w:tr>
      <w:tr>
        <w:tc>
          <w:tcPr>
            <w:tcW w:w="170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188</w:t>
            </w:r>
          </w:p>
        </w:tc>
        <w:tc>
          <w:tcPr>
            <w:tcW w:w="257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Command_Timeout</w:t>
            </w:r>
          </w:p>
        </w:tc>
        <w:tc>
          <w:tcPr>
            <w:tcW w:w="5466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Operations that took so long the drive gave up on them.</w:t>
            </w:r>
          </w:p>
        </w:tc>
      </w:tr>
      <w:tr>
        <w:tc>
          <w:tcPr>
            <w:tcW w:w="170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197</w:t>
            </w:r>
          </w:p>
        </w:tc>
        <w:tc>
          <w:tcPr>
            <w:tcW w:w="257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Current_Pending_Sector</w:t>
            </w:r>
          </w:p>
        </w:tc>
        <w:tc>
          <w:tcPr>
            <w:tcW w:w="5466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Sectors failing to read </w:t>
            </w:r>
            <w:r>
              <w:rPr>
                <w:rFonts w:ascii="Public Sans" w:hAnsi="Public Sans" w:cs="Public Sans"/>
                <w:i/>
                <w:iCs/>
                <w:color w:val="27221E"/>
                <w:sz w:val="20"/>
                <w:szCs w:val="20"/>
              </w:rPr>
              <w:t xml:space="preserve">right now</w:t>
            </w: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, awaiting a verdict.</w:t>
            </w:r>
          </w:p>
        </w:tc>
      </w:tr>
      <w:tr>
        <w:tc>
          <w:tcPr>
            <w:tcW w:w="170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198</w:t>
            </w:r>
          </w:p>
        </w:tc>
        <w:tc>
          <w:tcPr>
            <w:tcW w:w="257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hd w:val="clear" w:color="auto" w:fill="EFEEED"/>
                <w:color w:val="27221E"/>
                <w:sz w:val="18"/>
                <w:szCs w:val="18"/>
              </w:rPr>
              <w:t xml:space="preserve">Offline_Uncorrectable</w:t>
            </w:r>
          </w:p>
        </w:tc>
        <w:tc>
          <w:tcPr>
            <w:tcW w:w="5466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Sectors that could not be read even during the drive's own scans.</w:t>
            </w:r>
          </w:p>
        </w:tc>
      </w:tr>
    </w:tbl>
    <w:p>
      <w:pPr>
        <w:spacing w:after="80"/>
      </w:pP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A healthy drive shows 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zero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for all five. The lifecycle behind the two sector counts: a sector that fails a read goes </w:t>
      </w:r>
      <w:r>
        <w:rPr>
          <w:rFonts w:ascii="Public Sans" w:hAnsi="Public Sans" w:cs="Public Sans"/>
          <w:i/>
          <w:iCs/>
          <w:color w:val="27221E"/>
          <w:sz w:val="21"/>
          <w:szCs w:val="21"/>
        </w:rPr>
        <w:t xml:space="preserve">pending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(197). If a later read succeeds, it leaves the list; if the spot is confirmed bad, the drive swaps in a spare and the count moves to </w:t>
      </w:r>
      <w:r>
        <w:rPr>
          <w:rFonts w:ascii="Public Sans" w:hAnsi="Public Sans" w:cs="Public Sans"/>
          <w:i/>
          <w:iCs/>
          <w:color w:val="27221E"/>
          <w:sz w:val="21"/>
          <w:szCs w:val="21"/>
        </w:rPr>
        <w:t xml:space="preserve">reallocated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(5). Reallocation is the drive consuming its finite stock of spares — the mechanism working as designed, but the need for it is the warning.</w:t>
      </w:r>
    </w:p>
    <w:p>
      <w:pPr>
        <w:spacing w:before="120" w:after="160"/>
      </w:pPr>
      <w:r>
        <w:drawing>
          <wp:inline distT="0" distB="0" distL="0" distR="0">
            <wp:extent cx="6188710" cy="1527969"/>
            <wp:effectExtent l="0" t="0" r="0" b="0"/>
            <wp:docPr id="3006" name="Callout WARNING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88710" cy="1527969"/>
                      <a:chOff x="0" y="0"/>
                      <a:chExt cx="6188710" cy="1527969"/>
                    </a:xfrm>
                  </wpg:grpSpPr>
                  <wps:wsp>
                    <wps:cNvSpPr/>
                    <wps:spPr>
                      <a:xfrm>
                        <a:off x="0" y="0"/>
                        <a:ext cx="6188710" cy="1527969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8DC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349984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3007" name="WARNING icon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199080" y="441064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349984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799110" cy="12739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F15E4B"/>
                              <w:sz w:val="19"/>
                              <w:szCs w:val="19"/>
                            </w:rPr>
                            <w:t xml:space="preserve">WARNING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The Seagate panic trap. On Seagate drives,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Raw_Read_Error_Rate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(1),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Seek_Error_Rate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(7) and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Hardware_ECC_Recovered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(195) show raw values in the millions or billions. These are not errors: Seagate packs the total count of operations into the low bits of the same raw number, so it grows enormous on a perfectly healthy drive while the actual error count — the high bits — stays at zero. Judge those three by their normalised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VALUE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holding steady against </w:t>
                          </w: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THRESH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, or ignore them. Only the five attributes above are read raw.</w:t>
                          </w:r>
                        </w:p>
                      </w:txbxContent>
                    </wps:txbx>
                    <wps:bodyPr rot="0" anchor="t" lIns="0" tIns="0" rIns="0" bIns="0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6188710" cy="1082000"/>
            <wp:effectExtent l="0" t="0" r="0" b="0"/>
            <wp:docPr id="3008" name="Callout TIP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88710" cy="1082000"/>
                      <a:chOff x="0" y="0"/>
                      <a:chExt cx="6188710" cy="1082000"/>
                    </a:xfrm>
                  </wpg:grpSpPr>
                  <wps:wsp>
                    <wps:cNvSpPr/>
                    <wps:spPr>
                      <a:xfrm>
                        <a:off x="0" y="0"/>
                        <a:ext cx="6188710" cy="1082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8DC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3009" name="TIP icon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199080" y="218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799110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F15E4B"/>
                              <w:sz w:val="19"/>
                              <w:szCs w:val="19"/>
                            </w:rPr>
                            <w:t xml:space="preserve">TIP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Consolas" w:hAnsi="Consolas" w:cs="Consolas"/>
                              <w:shd w:val="clear" w:color="auto" w:fill="EFEEED"/>
                              <w:color w:val="27221E"/>
                              <w:sz w:val="17"/>
                              <w:szCs w:val="17"/>
                            </w:rPr>
                            <w:t xml:space="preserve">UDMA_CRC_Error_Count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(199) counts data corrupted on the way between the drive and the motherboard. A rising 199 with the five above at zero is a </w:t>
                          </w: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27221E"/>
                              <w:sz w:val="19"/>
                              <w:szCs w:val="19"/>
                            </w:rPr>
                            <w:t xml:space="preserve">cable</w:t>
                          </w: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 fault, not a drive fault: reseat or replace the SATA data cable. The count never resets, so what matters is whether it stops rising.</w:t>
                          </w:r>
                        </w:p>
                      </w:txbxContent>
                    </wps:txbx>
                    <wps:bodyPr rot="0" anchor="t" lIns="0" tIns="0" rIns="0" bIns="0"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 xml:space="preserve">The other columns, briefly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Each attribute row also carries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VALUE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,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WORST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and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THRESH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— a normalised score that starts high (typically 100 or 200), falls as the drive degrades, and fails when it meets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THRESH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;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WHEN_FAILED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says whether that has ever happened. These columns are what the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-H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verdict is built from, which is exactly why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-H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is slow to alarm: for the five counters above, the raw value moves long before the normalised score follows.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Two attributes are context rather than verdicts.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Power_On_Hours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(9) is the drive's total working life, useful for judging how much a clean record actually covers — a drive that has spent most of its years switched off has had few chances to discover its own bad sectors, which is precisely what a long test corrects.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Temperature_Celsius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(194) should sit comfortably below about 40 °C in steady use.</w:t>
      </w:r>
    </w:p>
    <w:p>
      <w:pPr>
        <w:pStyle w:val="Heading1"/>
      </w:pPr>
      <w:r>
        <w:t xml:space="preserve">What the results decide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3715"/>
        <w:gridCol w:w="6031"/>
      </w:tblGrid>
      <w:tr>
        <w:trPr>
          <w:tblHeader/>
        </w:trPr>
        <w:tc>
          <w:tcPr>
            <w:tcW w:w="371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Result</w:t>
            </w:r>
          </w:p>
        </w:tc>
        <w:tc>
          <w:tcPr>
            <w:tcW w:w="60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rFonts w:ascii="Public Sans" w:hAnsi="Public Sans" w:cs="Public Sans"/>
                <w:color w:val="F9F9F9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w="371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Long test completed without error, all five counters at zero</w:t>
            </w:r>
          </w:p>
        </w:tc>
        <w:tc>
          <w:tcPr>
            <w:tcW w:w="60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Fit for its role. The surface has actually been read, end to end, recently.</w:t>
            </w:r>
          </w:p>
        </w:tc>
      </w:tr>
      <w:tr>
        <w:tc>
          <w:tcPr>
            <w:tcW w:w="371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Test passes, but a counter is small and non-zero</w:t>
            </w:r>
          </w:p>
        </w:tc>
        <w:tc>
          <w:tcPr>
            <w:tcW w:w="60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Usable, not trustworthy: nothing irreplaceable lives on it. Re-test in a few weeks — </w:t>
            </w: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growth is the signal, not the absolute number.</w:t>
            </w:r>
          </w:p>
        </w:tc>
      </w:tr>
      <w:tr>
        <w:tc>
          <w:tcPr>
            <w:tcW w:w="3715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Read failure, or counters climbing between checks</w:t>
            </w:r>
          </w:p>
        </w:tc>
        <w:tc>
          <w:tcPr>
            <w:tcW w:w="6031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Plan its retirement. Copy anything wanted off it now, while it still reads, starting with what matters most.</w:t>
            </w:r>
          </w:p>
        </w:tc>
      </w:tr>
    </w:tbl>
    <w:p>
      <w:pPr>
        <w:spacing w:after="80"/>
      </w:pPr>
    </w:p>
    <w:p>
      <w:pPr>
        <w:spacing w:before="120" w:after="160"/>
      </w:pPr>
      <w:r>
        <w:drawing>
          <wp:inline distT="0" distB="0" distL="0" distR="0">
            <wp:extent cx="6188710" cy="1215827"/>
            <wp:effectExtent l="0" t="0" r="0" b="0"/>
            <wp:docPr id="3010" name="Callout NOT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88710" cy="1215827"/>
                      <a:chOff x="0" y="0"/>
                      <a:chExt cx="6188710" cy="1215827"/>
                    </a:xfrm>
                  </wpg:grpSpPr>
                  <wps:wsp>
                    <wps:cNvSpPr/>
                    <wps:spPr>
                      <a:xfrm>
                        <a:off x="0" y="0"/>
                        <a:ext cx="6188710" cy="1215827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93914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3011" name="NOTE icon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199080" y="284994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93914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799110" cy="9618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NOTE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One clean pass is evidence, not immunity. Backblaze's same figure read the other way: roughly a quarter of its failed drives showed no warning in any of the five attributes. A backup schedule, not a test result, is what protects data — the test says whether a drive is fit to hold data today; the backup is for the drive that fails without notice tomorrow.</w:t>
                          </w:r>
                        </w:p>
                      </w:txbxContent>
                    </wps:txbx>
                    <wps:bodyPr rot="0" anchor="t" lIns="0" tIns="0" rIns="0" bIns="0"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 xml:space="preserve">Keeping watch without doing this by hand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The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smartmontools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package includes 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smartd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, a background service that polls every drive on a schedule, runs periodic self-tests, and raises an alert when a counter moves. Its configuration lives in </w:t>
      </w:r>
      <w:r>
        <w:rPr>
          <w:rFonts w:ascii="Consolas" w:hAnsi="Consolas" w:cs="Consolas"/>
          <w:shd w:val="clear" w:color="auto" w:fill="EFEEED"/>
          <w:color w:val="27221E"/>
          <w:sz w:val="19"/>
          <w:szCs w:val="19"/>
        </w:rPr>
        <w:t xml:space="preserve">/etc/smartd.conf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. Setting it up belongs with monitoring and alerting, in a later unit — the point here is that the manual check this unit teaches is also available as a standing guard.</w:t>
      </w:r>
    </w:p>
    <w:p>
      <w:r>
        <w:rPr>
          <w:rFonts w:ascii="Public Sans" w:hAnsi="Public Sans" w:cs="Public Sans"/>
          <w:color w:val="27221E"/>
          <w:sz w:val="21"/>
          <w:szCs w:val="21"/>
        </w:rPr>
        <w:t xml:space="preserve">Re-run a long test before trusting a drive with a new role, after the machine is physically moved, and on something like a yearly rhythm in between. The </w:t>
      </w:r>
      <w:r>
        <w:rPr>
          <w:rFonts w:ascii="Public Sans" w:hAnsi="Public Sans" w:cs="Public Sans"/>
          <w:b/>
          <w:bCs/>
          <w:color w:val="27221E"/>
          <w:sz w:val="21"/>
          <w:szCs w:val="21"/>
        </w:rPr>
        <w:t xml:space="preserve">Disks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 application shows a one-line assessment for every drive whenever the quick answer is enough.</w:t>
      </w:r>
    </w:p>
    <w:p>
      <w:r>
        <w:rPr>
          <w:rFonts w:ascii="Public Sans" w:hAnsi="Public Sans" w:cs="Public Sans"/>
          <w:i/>
          <w:iCs/>
          <w:color w:val="27221E"/>
          <w:sz w:val="21"/>
          <w:szCs w:val="21"/>
        </w:rPr>
        <w:t xml:space="preserve">Sources: Backblaze, "What SMART Stats Tell Us About Hard Drives" (backblaze.com/blog/hard-drive-smart-stats), which names the five attributes and the 76.7% figure; smartmontools documentation (smartctl(8), smartmontools.org) for flag behaviour and self-test statuses; the Seagate raw-value encoding is community-documented (smartmontools issue tracker, TrueNAS forums) rather than published by Seagate, and is stated here with that weight. Checked 2026-08-09.</w:t>
      </w:r>
    </w:p>
    <w:sectPr>
      <w:footerReference w:type="default" r:id="rIdFooter"/>
      <w:pgSz w:w="11906" w:h="16838"/>
      <w:pgMar w:top="1080" w:right="1080" w:bottom="1080" w:left="1080" w:header="708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164592" cy="164592"/>
          <wp:effectExtent l="0" t="0" r="0" b="0"/>
          <wp:docPr id="1010" name="Grounded AI Practice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0" name="Grounded AI Practice symbol"/>
                  <pic:cNvPicPr/>
                </pic:nvPicPr>
                <pic:blipFill>
                  <a:blip r:embed="rIdFtr"/>
                  <a:stretch>
                    <a:fillRect/>
                  </a:stretch>
                </pic:blipFill>
                <pic:spPr>
                  <a:xfrm>
                    <a:off x="0" y="0"/>
                    <a:ext cx="164592" cy="164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ublic Sans" w:hAnsi="Public Sans" w:cs="Public Sans"/>
        <w:color w:val="6E6E6E"/>
        <w:sz w:val="16"/>
        <w:szCs w:val="16"/>
      </w:rPr>
      <w:t xml:space="preserve">  Grounded AI Practice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  <w:rPr>
        <w:rFonts w:ascii="Public Sans" w:hAnsi="Public Sans" w:cs="Public Sans" w:hint="default"/>
        <w:color w:val="F15E4B"/>
        <w:sz w:val="21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  <w:rPr>
        <w:rFonts w:ascii="Public Sans" w:hAnsi="Public Sans" w:cs="Public Sans" w:hint="default"/>
        <w:b/>
        <w:color w:val="F15E4B"/>
        <w:sz w:val="2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Public Sans" w:hAnsi="Public Sans" w:cs="Public Sans"/>
        <w:sz w:val="21"/>
        <w:szCs w:val="21"/>
        <w:color w:val="27221E"/>
      </w:rPr>
    </w:rPrDefault>
    <w:pPrDefault>
      <w:pPr>
        <w:spacing w:after="2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"/>
    <w:qFormat/>
    <w:pPr>
      <w:spacing w:before="160" w:after="40"/>
    </w:pPr>
    <w:rPr>
      <w:rFonts w:ascii="Public Sans" w:hAnsi="Public Sans" w:cs="Public Sans"/>
      <w:b/>
      <w:bCs/>
      <w:color w:val="27221E"/>
      <w:sz w:val="56"/>
      <w:szCs w:val="56"/>
    </w:rPr>
  </w:style>
  <w:style w:type="paragraph" w:styleId="Subtitle">
    <w:name w:val="Subtitle"/>
    <w:basedOn w:val="Normal"/>
    <w:next w:val="Normal"/>
    <w:uiPriority w:val="2"/>
    <w:qFormat/>
    <w:pPr>
      <w:spacing w:after="120"/>
    </w:pPr>
    <w:rPr>
      <w:rFonts w:ascii="Public Sans" w:hAnsi="Public Sans" w:cs="Public Sans"/>
      <w:b/>
      <w:bCs/>
      <w:color w:val="F15E4B"/>
      <w:sz w:val="30"/>
      <w:szCs w:val="30"/>
    </w:rPr>
  </w:style>
  <w:style w:type="paragraph" w:styleId="Heading1">
    <w:name w:val="heading 1"/>
    <w:basedOn w:val="Normal"/>
    <w:next w:val="Normal"/>
    <w:uiPriority w:val="3"/>
    <w:qFormat/>
    <w:pPr>
      <w:pBdr>
        <w:bottom w:val="single" w:sz="6" w:space="4" w:color="D5E2E1"/>
      </w:pBdr>
      <w:spacing w:before="280" w:after="160"/>
      <w:outlineLvl w:val="0"/>
    </w:pPr>
    <w:rPr>
      <w:rFonts w:ascii="Public Sans" w:hAnsi="Public Sans" w:cs="Public Sans"/>
      <w:b/>
      <w:bCs/>
      <w:color w:val="27221E"/>
      <w:sz w:val="26"/>
      <w:szCs w:val="26"/>
    </w:rPr>
  </w:style>
  <w:style w:type="paragraph" w:styleId="Heading2">
    <w:name w:val="heading 2"/>
    <w:basedOn w:val="Normal"/>
    <w:next w:val="Normal"/>
    <w:uiPriority w:val="4"/>
    <w:qFormat/>
    <w:pPr>
      <w:spacing w:before="220" w:after="120"/>
      <w:outlineLvl w:val="1"/>
    </w:pPr>
    <w:rPr>
      <w:rFonts w:ascii="Public Sans" w:hAnsi="Public Sans" w:cs="Public Sans"/>
      <w:b/>
      <w:bCs/>
      <w:color w:val="27221E"/>
      <w:sz w:val="24"/>
      <w:szCs w:val="24"/>
    </w:rPr>
  </w:style>
  <w:style w:type="paragraph" w:styleId="Heading3">
    <w:name w:val="heading 3"/>
    <w:basedOn w:val="Normal"/>
    <w:next w:val="Normal"/>
    <w:uiPriority w:val="5"/>
    <w:qFormat/>
    <w:pPr>
      <w:spacing w:before="180" w:after="100"/>
      <w:outlineLvl w:val="2"/>
    </w:pPr>
    <w:rPr>
      <w:rFonts w:ascii="Public Sans" w:hAnsi="Public Sans" w:cs="Public Sans"/>
      <w:b/>
      <w:bCs/>
      <w:color w:val="404040"/>
      <w:sz w:val="22"/>
      <w:szCs w:val="22"/>
    </w:rPr>
  </w:style>
  <w:style w:type="paragraph" w:styleId="Caption">
    <w:name w:val="caption"/>
    <w:basedOn w:val="Normal"/>
    <w:next w:val="Normal"/>
    <w:uiPriority w:val="6"/>
    <w:qFormat/>
    <w:pPr>
      <w:spacing w:after="200"/>
    </w:pPr>
    <w:rPr>
      <w:rFonts w:ascii="Public Sans" w:hAnsi="Public Sans" w:cs="Public Sans"/>
      <w:i/>
      <w:iCs/>
      <w:color w:val="6E6E6E"/>
      <w:sz w:val="17"/>
      <w:szCs w:val="17"/>
    </w:rPr>
  </w:style>
  <w:style w:type="paragraph" w:styleId="Quote">
    <w:name w:val="Quote"/>
    <w:basedOn w:val="Normal"/>
    <w:next w:val="Normal"/>
    <w:uiPriority w:val="7"/>
    <w:qFormat/>
    <w:pPr>
      <w:spacing w:after="200" w:line="280" w:lineRule="auto"/>
    </w:pPr>
    <w:rPr>
      <w:rFonts w:ascii="Public Sans" w:hAnsi="Public Sans" w:cs="Public Sans"/>
      <w:i/>
      <w:iCs/>
      <w:color w:val="27221E"/>
      <w:sz w:val="24"/>
      <w:szCs w:val="24"/>
    </w:rPr>
  </w:style>
  <w:style w:type="paragraph" w:styleId="Eyebrow">
    <w:name w:val="Eyebrow"/>
    <w:basedOn w:val="Normal"/>
    <w:next w:val="Normal"/>
    <w:uiPriority w:val="8"/>
    <w:qFormat/>
    <w:pPr>
      <w:spacing w:after="20"/>
    </w:pPr>
    <w:rPr>
      <w:rFonts w:ascii="Public Sans" w:hAnsi="Public Sans" w:cs="Public Sans"/>
      <w:b/>
      <w:bCs/>
      <w:color w:val="6E6E6E"/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10" Type="http://schemas.openxmlformats.org/officeDocument/2006/relationships/image" Target="media/logo_lockup_horizontal_512.png"/><Relationship Id="rId11" Type="http://schemas.openxmlformats.org/officeDocument/2006/relationships/image" Target="media/information_128.png"/><Relationship Id="rId12" Type="http://schemas.openxmlformats.org/officeDocument/2006/relationships/image" Target="media/tip_128.png"/><Relationship Id="rId13" Type="http://schemas.openxmlformats.org/officeDocument/2006/relationships/image" Target="media/verification_128.png"/><Relationship Id="rId14" Type="http://schemas.openxmlformats.org/officeDocument/2006/relationships/image" Target="media/warning_128.png"/><Relationship Id="rId15" Type="http://schemas.openxmlformats.org/officeDocument/2006/relationships/image" Target="media/logo_symbol_256.png"/></Relationships>
</file>

<file path=word/_rels/footer1.xml.rels><?xml version="1.0" encoding="UTF-8" standalone="yes"?>
<Relationships xmlns="http://schemas.openxmlformats.org/package/2006/relationships"><Relationship Id="rIdFtr" Type="http://schemas.openxmlformats.org/officeDocument/2006/relationships/image" Target="media/logo_symbol_256.png"/></Relationships>
</file>