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1F3864"/>
          <w:sz w:val="20"/>
          <w:szCs w:val="20"/>
        </w:rPr>
        <w:t xml:space="preserve">GROUNDED AI PRACTICE</w:t>
      </w:r>
    </w:p>
    <w:p>
      <w:pPr>
        <w:spacing w:after="200"/>
      </w:pPr>
      <w:r>
        <w:rPr>
          <w:color w:val="595959"/>
          <w:sz w:val="19"/>
          <w:szCs w:val="19"/>
        </w:rPr>
        <w:t xml:space="preserve">Research briefing · 24 July 2026</w:t>
      </w:r>
    </w:p>
    <w:p>
      <w:pPr>
        <w:spacing w:after="100"/>
      </w:pPr>
      <w:r>
        <w:rPr>
          <w:b/>
          <w:bCs/>
          <w:color w:val="1F3864"/>
          <w:sz w:val="34"/>
          <w:szCs w:val="34"/>
        </w:rPr>
        <w:t xml:space="preserve">The UK AI Skills Hub: A Structural Design Gap — and What the Evidence Says Would Fix It</w:t>
      </w:r>
    </w:p>
    <w:p>
      <w:pPr>
        <w:pBdr>
          <w:bottom w:val="single" w:color="1F3864" w:sz="6" w:space="8"/>
        </w:pBdr>
        <w:spacing w:after="240"/>
      </w:pPr>
      <w:r>
        <w:t xml:space="preserve"/>
      </w:r>
    </w:p>
    <w:p>
      <w:pPr>
        <w:spacing w:after="200" w:before="60" w:line="276"/>
      </w:pPr>
      <w:r>
        <w:rPr>
          <w:i/>
          <w:iCs/>
          <w:color w:val="595959"/>
          <w:sz w:val="19"/>
          <w:szCs w:val="19"/>
        </w:rPr>
        <w:t xml:space="preserve">Status: preliminary findings from an ongoing, independent research project currently in its scoping stage. Evidence and inference are distinguished throughout; every source is tagged by its likely interest (government, independent/academic, vendor/commercial, or advocacy body). This is not a finished proposal or a claim that the underlying problem has been exhaustively verified.</w:t>
      </w:r>
    </w:p>
    <w:p>
      <w:pPr>
        <w:pStyle w:val="Heading1"/>
        <w:spacing w:after="140" w:before="320"/>
      </w:pPr>
      <w:r>
        <w:rPr>
          <w:b/>
          <w:bCs/>
          <w:color w:val="1F3864"/>
          <w:sz w:val="28"/>
          <w:szCs w:val="28"/>
        </w:rPr>
        <w:t xml:space="preserve">Executive summary</w:t>
      </w:r>
    </w:p>
    <w:p>
      <w:pPr>
        <w:spacing w:after="160" w:line="276"/>
      </w:pPr>
      <w:r>
        <w:rPr>
          <w:b w:val="false"/>
          <w:bCs w:val="false"/>
          <w:i w:val="false"/>
          <w:iCs w:val="false"/>
          <w:sz w:val="21"/>
          <w:szCs w:val="21"/>
        </w:rPr>
        <w:t xml:space="preserve">The UK Government's AI Skills Hub — a national platform under Innovate UK and Skills England, expanded in January 2026 to all UK adults with an ambition to upskill 10 million workers by 2030 — has a specific, well-evidenced design problem: it functions as a directory of pre-existing courses organised by technology vendor, not as a structured programme mapped to the competencies employers actually need. This finding is not a single opinion. It is corroborated independently by an LSE academic analysis and by two commercial reviewers who separately tested the live platform, all converging on the same structural gaps: no competency mapping, no diagnostic-driven sequencing, no embedded practice, and no support for organisational readiness. Notably, the fix is not speculative — the same government research programme that diagnosed the UK's AI skills gap has already published a detailed, evidence-based framework (PRIMES) describing what effective AI training looks like, and an existing international model (Finland's Elements of AI) demonstrates that a coherent, non-directory approach can reach millions of learners without a large budget. Grounded AI Practice is investigating this gap as part of an early-stage, evidence-led research project.</w:t>
      </w:r>
    </w:p>
    <w:p>
      <w:pPr>
        <w:pStyle w:val="Heading1"/>
        <w:spacing w:after="140" w:before="320"/>
      </w:pPr>
      <w:r>
        <w:rPr>
          <w:b/>
          <w:bCs/>
          <w:color w:val="1F3864"/>
          <w:sz w:val="28"/>
          <w:szCs w:val="28"/>
        </w:rPr>
        <w:t xml:space="preserve">1. The platform and the problem</w:t>
      </w:r>
    </w:p>
    <w:p>
      <w:pPr>
        <w:spacing w:after="160" w:line="276"/>
      </w:pPr>
      <w:r>
        <w:rPr>
          <w:b w:val="false"/>
          <w:bCs w:val="false"/>
          <w:i w:val="false"/>
          <w:iCs w:val="false"/>
          <w:sz w:val="21"/>
          <w:szCs w:val="21"/>
        </w:rPr>
        <w:t xml:space="preserve">The AI Skills Hub is a national training-navigation platform delivered under the BridgeAI programme, developed by Innovate UK in partnership with Skills England with delivery support from PwC and industry partners. Initially focused on four sectors, it was expanded on 28 January 2026 to all UK adults, with a stated ambition to upskill 10 million workers by 2030 and a reported £4.1 million investment.</w:t>
      </w:r>
    </w:p>
    <w:p>
      <w:pPr>
        <w:spacing w:after="160" w:line="276"/>
      </w:pPr>
      <w:r>
        <w:rPr>
          <w:b w:val="false"/>
          <w:bCs w:val="false"/>
          <w:i w:val="false"/>
          <w:iCs w:val="false"/>
          <w:sz w:val="21"/>
          <w:szCs w:val="21"/>
        </w:rPr>
        <w:t xml:space="preserve">The core critique, detailed below, is structural rather than about content quality: the platform curates existing third-party courses but does not sequence them against a competency framework, personalise pathways to a learner's actual level, or provide embedded practice. Reviewers characterise it as “a directory, not a programme.”</w:t>
      </w:r>
    </w:p>
    <w:p>
      <w:pPr>
        <w:pStyle w:val="Heading1"/>
        <w:spacing w:after="140" w:before="320"/>
      </w:pPr>
      <w:r>
        <w:rPr>
          <w:b/>
          <w:bCs/>
          <w:color w:val="1F3864"/>
          <w:sz w:val="28"/>
          <w:szCs w:val="28"/>
        </w:rPr>
        <w:t xml:space="preserve">2. Independent corroboration</w:t>
      </w:r>
    </w:p>
    <w:p>
      <w:pPr>
        <w:spacing w:after="160" w:line="276"/>
      </w:pPr>
      <w:r>
        <w:rPr>
          <w:b w:val="false"/>
          <w:bCs w:val="false"/>
          <w:i w:val="false"/>
          <w:iCs w:val="false"/>
          <w:sz w:val="21"/>
          <w:szCs w:val="21"/>
        </w:rPr>
        <w:t xml:space="preserve">Three separately-authored reviews, none citing the others, converge on overlapping specific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50"/>
      </w:tblGrid>
      <w:tr>
        <w:trPr>
          <w:tblHeader/>
        </w:trPr>
        <w:tc>
          <w:tcPr>
            <w:tcW w:type="dxa" w:w="2000"/>
            <w:shd w:fill="1F3864" w:val="clear"/>
            <w:tcMar>
              <w:top w:type="dxa" w:w="100"/>
              <w:left w:type="dxa" w:w="120"/>
              <w:bottom w:type="dxa" w:w="100"/>
              <w:right w:type="dxa" w:w="120"/>
            </w:tcMar>
          </w:tcPr>
          <w:p>
            <w:r>
              <w:rPr>
                <w:b/>
                <w:bCs/>
                <w:color w:val="FFFFFF"/>
                <w:sz w:val="19"/>
                <w:szCs w:val="19"/>
              </w:rPr>
              <w:t xml:space="preserve">Source</w:t>
            </w:r>
          </w:p>
        </w:tc>
        <w:tc>
          <w:tcPr>
            <w:tcW w:type="dxa" w:w="2400"/>
            <w:shd w:fill="1F3864" w:val="clear"/>
            <w:tcMar>
              <w:top w:type="dxa" w:w="100"/>
              <w:left w:type="dxa" w:w="120"/>
              <w:bottom w:type="dxa" w:w="100"/>
              <w:right w:type="dxa" w:w="120"/>
            </w:tcMar>
          </w:tcPr>
          <w:p>
            <w:r>
              <w:rPr>
                <w:b/>
                <w:bCs/>
                <w:color w:val="FFFFFF"/>
                <w:sz w:val="19"/>
                <w:szCs w:val="19"/>
              </w:rPr>
              <w:t xml:space="preserve">Type / interest</w:t>
            </w:r>
          </w:p>
        </w:tc>
        <w:tc>
          <w:tcPr>
            <w:tcW w:type="dxa" w:w="2200"/>
            <w:shd w:fill="1F3864" w:val="clear"/>
            <w:tcMar>
              <w:top w:type="dxa" w:w="100"/>
              <w:left w:type="dxa" w:w="120"/>
              <w:bottom w:type="dxa" w:w="100"/>
              <w:right w:type="dxa" w:w="120"/>
            </w:tcMar>
          </w:tcPr>
          <w:p>
            <w:r>
              <w:rPr>
                <w:b/>
                <w:bCs/>
                <w:color w:val="FFFFFF"/>
                <w:sz w:val="19"/>
                <w:szCs w:val="19"/>
              </w:rPr>
              <w:t xml:space="preserve">Method</w:t>
            </w:r>
          </w:p>
        </w:tc>
        <w:tc>
          <w:tcPr>
            <w:tcW w:type="dxa" w:w="2750"/>
            <w:shd w:fill="1F3864" w:val="clear"/>
            <w:tcMar>
              <w:top w:type="dxa" w:w="100"/>
              <w:left w:type="dxa" w:w="120"/>
              <w:bottom w:type="dxa" w:w="100"/>
              <w:right w:type="dxa" w:w="120"/>
            </w:tcMar>
          </w:tcPr>
          <w:p>
            <w:r>
              <w:rPr>
                <w:b/>
                <w:bCs/>
                <w:color w:val="FFFFFF"/>
                <w:sz w:val="19"/>
                <w:szCs w:val="19"/>
              </w:rPr>
              <w:t xml:space="preserve">Key finding</w:t>
            </w:r>
          </w:p>
        </w:tc>
      </w:tr>
      <w:tr>
        <w:tc>
          <w:tcPr>
            <w:tcW w:type="dxa" w:w="2000"/>
            <w:tcMar>
              <w:top w:type="dxa" w:w="100"/>
              <w:left w:type="dxa" w:w="120"/>
              <w:bottom w:type="dxa" w:w="100"/>
              <w:right w:type="dxa" w:w="120"/>
            </w:tcMar>
          </w:tcPr>
          <w:p>
            <w:r>
              <w:rPr>
                <w:b w:val="false"/>
                <w:bCs w:val="false"/>
                <w:color w:val="000000"/>
                <w:sz w:val="19"/>
                <w:szCs w:val="19"/>
              </w:rPr>
              <w:t xml:space="preserve">LSE Impact of Social Sciences blog (Cardoso-Silva &amp; Brown)</w:t>
            </w:r>
          </w:p>
        </w:tc>
        <w:tc>
          <w:tcPr>
            <w:tcW w:type="dxa" w:w="2400"/>
            <w:tcMar>
              <w:top w:type="dxa" w:w="100"/>
              <w:left w:type="dxa" w:w="120"/>
              <w:bottom w:type="dxa" w:w="100"/>
              <w:right w:type="dxa" w:w="120"/>
            </w:tcMar>
          </w:tcPr>
          <w:p>
            <w:r>
              <w:rPr>
                <w:b w:val="false"/>
                <w:bCs w:val="false"/>
                <w:color w:val="000000"/>
                <w:sz w:val="19"/>
                <w:szCs w:val="19"/>
              </w:rPr>
              <w:t xml:space="preserve">Independent academic (LSE Data Science Institute; LSE Digital Skills Lab)</w:t>
            </w:r>
          </w:p>
        </w:tc>
        <w:tc>
          <w:tcPr>
            <w:tcW w:type="dxa" w:w="2200"/>
            <w:tcMar>
              <w:top w:type="dxa" w:w="100"/>
              <w:left w:type="dxa" w:w="120"/>
              <w:bottom w:type="dxa" w:w="100"/>
              <w:right w:type="dxa" w:w="120"/>
            </w:tcMar>
          </w:tcPr>
          <w:p>
            <w:r>
              <w:rPr>
                <w:b w:val="false"/>
                <w:bCs w:val="false"/>
                <w:color w:val="000000"/>
                <w:sz w:val="19"/>
                <w:szCs w:val="19"/>
              </w:rPr>
              <w:t xml:space="preserve">Policy analysis against the government's own commissioned evidence</w:t>
            </w:r>
          </w:p>
        </w:tc>
        <w:tc>
          <w:tcPr>
            <w:tcW w:type="dxa" w:w="2750"/>
            <w:tcMar>
              <w:top w:type="dxa" w:w="100"/>
              <w:left w:type="dxa" w:w="120"/>
              <w:bottom w:type="dxa" w:w="100"/>
              <w:right w:type="dxa" w:w="120"/>
            </w:tcMar>
          </w:tcPr>
          <w:p>
            <w:r>
              <w:rPr>
                <w:b w:val="false"/>
                <w:bCs w:val="false"/>
                <w:color w:val="000000"/>
                <w:sz w:val="19"/>
                <w:szCs w:val="19"/>
              </w:rPr>
              <w:t xml:space="preserve">“A mixture of existing training content loosely connected by the topic of AI” — courses organised by technology vendor, not by the competencies the government's own research identifies as most needed (72%+ of surveyed organisations: non-technical skills).</w:t>
            </w:r>
          </w:p>
        </w:tc>
      </w:tr>
      <w:tr>
        <w:tc>
          <w:tcPr>
            <w:tcW w:type="dxa" w:w="2000"/>
            <w:tcMar>
              <w:top w:type="dxa" w:w="100"/>
              <w:left w:type="dxa" w:w="120"/>
              <w:bottom w:type="dxa" w:w="100"/>
              <w:right w:type="dxa" w:w="120"/>
            </w:tcMar>
          </w:tcPr>
          <w:p>
            <w:r>
              <w:rPr>
                <w:b w:val="false"/>
                <w:bCs w:val="false"/>
                <w:color w:val="000000"/>
                <w:sz w:val="19"/>
                <w:szCs w:val="19"/>
              </w:rPr>
              <w:t xml:space="preserve">Techosaurus / Quantum Rise</w:t>
            </w:r>
          </w:p>
        </w:tc>
        <w:tc>
          <w:tcPr>
            <w:tcW w:type="dxa" w:w="2400"/>
            <w:tcMar>
              <w:top w:type="dxa" w:w="100"/>
              <w:left w:type="dxa" w:w="120"/>
              <w:bottom w:type="dxa" w:w="100"/>
              <w:right w:type="dxa" w:w="120"/>
            </w:tcMar>
          </w:tcPr>
          <w:p>
            <w:r>
              <w:rPr>
                <w:b w:val="false"/>
                <w:bCs w:val="false"/>
                <w:color w:val="000000"/>
                <w:sz w:val="19"/>
                <w:szCs w:val="19"/>
              </w:rPr>
              <w:t xml:space="preserve">Commercial AI-training providers — competing interest (flagged)</w:t>
            </w:r>
          </w:p>
        </w:tc>
        <w:tc>
          <w:tcPr>
            <w:tcW w:type="dxa" w:w="2200"/>
            <w:tcMar>
              <w:top w:type="dxa" w:w="100"/>
              <w:left w:type="dxa" w:w="120"/>
              <w:bottom w:type="dxa" w:w="100"/>
              <w:right w:type="dxa" w:w="120"/>
            </w:tcMar>
          </w:tcPr>
          <w:p>
            <w:r>
              <w:rPr>
                <w:b w:val="false"/>
                <w:bCs w:val="false"/>
                <w:color w:val="000000"/>
                <w:sz w:val="19"/>
                <w:szCs w:val="19"/>
              </w:rPr>
              <w:t xml:space="preserve">Hands-on testing of the live platform</w:t>
            </w:r>
          </w:p>
        </w:tc>
        <w:tc>
          <w:tcPr>
            <w:tcW w:type="dxa" w:w="2750"/>
            <w:tcMar>
              <w:top w:type="dxa" w:w="100"/>
              <w:left w:type="dxa" w:w="120"/>
              <w:bottom w:type="dxa" w:w="100"/>
              <w:right w:type="dxa" w:w="120"/>
            </w:tcMar>
          </w:tcPr>
          <w:p>
            <w:r>
              <w:rPr>
                <w:b w:val="false"/>
                <w:bCs w:val="false"/>
                <w:color w:val="000000"/>
                <w:sz w:val="19"/>
                <w:szCs w:val="19"/>
              </w:rPr>
              <w:t xml:space="preserve">Five flaws: no organisational-readiness support, vendor/platform lock-in, no practice sandbox, absence of learning-science design (no diagnostics or scaffolding), disconnect from how people actually use AI.</w:t>
            </w:r>
          </w:p>
        </w:tc>
      </w:tr>
      <w:tr>
        <w:tc>
          <w:tcPr>
            <w:tcW w:type="dxa" w:w="2000"/>
            <w:tcMar>
              <w:top w:type="dxa" w:w="100"/>
              <w:left w:type="dxa" w:w="120"/>
              <w:bottom w:type="dxa" w:w="100"/>
              <w:right w:type="dxa" w:w="120"/>
            </w:tcMar>
          </w:tcPr>
          <w:p>
            <w:r>
              <w:rPr>
                <w:b w:val="false"/>
                <w:bCs w:val="false"/>
                <w:color w:val="000000"/>
                <w:sz w:val="19"/>
                <w:szCs w:val="19"/>
              </w:rPr>
              <w:t xml:space="preserve">The Human Co.</w:t>
            </w:r>
          </w:p>
        </w:tc>
        <w:tc>
          <w:tcPr>
            <w:tcW w:type="dxa" w:w="2400"/>
            <w:tcMar>
              <w:top w:type="dxa" w:w="100"/>
              <w:left w:type="dxa" w:w="120"/>
              <w:bottom w:type="dxa" w:w="100"/>
              <w:right w:type="dxa" w:w="120"/>
            </w:tcMar>
          </w:tcPr>
          <w:p>
            <w:r>
              <w:rPr>
                <w:b w:val="false"/>
                <w:bCs w:val="false"/>
                <w:color w:val="000000"/>
                <w:sz w:val="19"/>
                <w:szCs w:val="19"/>
              </w:rPr>
              <w:t xml:space="preserve">Commercial AI-training/consulting — competing interest (flagged)</w:t>
            </w:r>
          </w:p>
        </w:tc>
        <w:tc>
          <w:tcPr>
            <w:tcW w:type="dxa" w:w="2200"/>
            <w:tcMar>
              <w:top w:type="dxa" w:w="100"/>
              <w:left w:type="dxa" w:w="120"/>
              <w:bottom w:type="dxa" w:w="100"/>
              <w:right w:type="dxa" w:w="120"/>
            </w:tcMar>
          </w:tcPr>
          <w:p>
            <w:r>
              <w:rPr>
                <w:b w:val="false"/>
                <w:bCs w:val="false"/>
                <w:color w:val="000000"/>
                <w:sz w:val="19"/>
                <w:szCs w:val="19"/>
              </w:rPr>
              <w:t xml:space="preserve">Hands-on testing of the live platform</w:t>
            </w:r>
          </w:p>
        </w:tc>
        <w:tc>
          <w:tcPr>
            <w:tcW w:type="dxa" w:w="2750"/>
            <w:tcMar>
              <w:top w:type="dxa" w:w="100"/>
              <w:left w:type="dxa" w:w="120"/>
              <w:bottom w:type="dxa" w:w="100"/>
              <w:right w:type="dxa" w:w="120"/>
            </w:tcMar>
          </w:tcPr>
          <w:p>
            <w:r>
              <w:rPr>
                <w:b w:val="false"/>
                <w:bCs w:val="false"/>
                <w:color w:val="000000"/>
                <w:sz w:val="19"/>
                <w:szCs w:val="19"/>
              </w:rPr>
              <w:t xml:space="preserve">Rated the £4.1m platform 3/10 on design despite adequate course content; intermediate learners shown ~71% beginner-level material; no sequencing; progress tracking “nearly invisible”; no embedded practice.</w:t>
            </w:r>
          </w:p>
        </w:tc>
      </w:tr>
    </w:tbl>
    <w:p>
      <w:pPr>
        <w:spacing w:after="200" w:before="60" w:line="276"/>
      </w:pPr>
      <w:r>
        <w:rPr>
          <w:i/>
          <w:iCs/>
          <w:color w:val="595959"/>
          <w:sz w:val="19"/>
          <w:szCs w:val="19"/>
        </w:rPr>
        <w:t xml:space="preserve">Note on interest: two of the three reviewers run commercial AI-training businesses that compete with the platform they reviewed, and are flagged accordingly. Their specific, hands-on structural findings nonetheless align closely with the independent academic critique — the corroboration is across source types, not just repetition of one view.</w:t>
      </w:r>
    </w:p>
    <w:p>
      <w:pPr>
        <w:pStyle w:val="Heading1"/>
        <w:spacing w:after="140" w:before="320"/>
      </w:pPr>
      <w:r>
        <w:rPr>
          <w:b/>
          <w:bCs/>
          <w:color w:val="1F3864"/>
          <w:sz w:val="28"/>
          <w:szCs w:val="28"/>
        </w:rPr>
        <w:t xml:space="preserve">3. The underlying cause: “a directory, not a programme”</w:t>
      </w:r>
    </w:p>
    <w:p>
      <w:pPr>
        <w:spacing w:after="160" w:line="276"/>
      </w:pPr>
      <w:r>
        <w:rPr>
          <w:b w:val="false"/>
          <w:bCs w:val="false"/>
          <w:i w:val="false"/>
          <w:iCs w:val="false"/>
          <w:sz w:val="21"/>
          <w:szCs w:val="21"/>
        </w:rPr>
        <w:t xml:space="preserve">The pattern across all three reviews is the same: a library of courses of roughly equal prominence, organised by technology or vendor rather than by skill, with no diagnostic step to route learners to their actual level, no mandated sequencing, and no built-in low-stakes practice environment. One reviewer found that intermediate learners were shown roughly 71% beginner-level content — nearly doubling realistic completion time.</w:t>
      </w:r>
    </w:p>
    <w:p>
      <w:pPr>
        <w:spacing w:after="160" w:line="276"/>
      </w:pPr>
      <w:r>
        <w:rPr>
          <w:b w:val="false"/>
          <w:bCs w:val="false"/>
          <w:i w:val="false"/>
          <w:iCs w:val="false"/>
          <w:sz w:val="21"/>
          <w:szCs w:val="21"/>
        </w:rPr>
        <w:t xml:space="preserve">The notable irony is that this is not a case of missing evidence. The same government-commissioned research programme (Dr Nisreen Ameen, Royal Holloway, University of London, in partnership with Skills England, drawing on 23 workshops, 10 employer case studies and a 536-response survey) has already published a detailed framework describing exactly what effective AI training requires — summarised below — and it does not appear to have been applied to the Hub's own design.</w:t>
      </w:r>
    </w:p>
    <w:p>
      <w:pPr>
        <w:pStyle w:val="Heading1"/>
        <w:spacing w:after="140" w:before="320"/>
      </w:pPr>
      <w:r>
        <w:rPr>
          <w:b/>
          <w:bCs/>
          <w:color w:val="1F3864"/>
          <w:sz w:val="28"/>
          <w:szCs w:val="28"/>
        </w:rPr>
        <w:t xml:space="preserve">4. What good looks like: two reference models</w:t>
      </w:r>
    </w:p>
    <w:p>
      <w:pPr>
        <w:pStyle w:val="Heading2"/>
        <w:spacing w:after="100" w:before="220"/>
      </w:pPr>
      <w:r>
        <w:rPr>
          <w:b/>
          <w:bCs/>
          <w:color w:val="2E5395"/>
          <w:sz w:val="24"/>
          <w:szCs w:val="24"/>
        </w:rPr>
        <w:t xml:space="preserve">4.1 PRIMES — the government's own evidence-based framework</w:t>
      </w:r>
    </w:p>
    <w:p>
      <w:pPr>
        <w:spacing w:after="160" w:line="276"/>
      </w:pPr>
      <w:r>
        <w:rPr>
          <w:b w:val="false"/>
          <w:bCs w:val="false"/>
          <w:i w:val="false"/>
          <w:iCs w:val="false"/>
          <w:sz w:val="21"/>
          <w:szCs w:val="21"/>
        </w:rPr>
        <w:t xml:space="preserve">Published 10 June 2026 as part of the same “What Works for AI Upskilling in the UK” research programme, PRIMES sets out six accreditation-style principles for effective AI training: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rPr>
          <w:tblHeader/>
        </w:trPr>
        <w:tc>
          <w:tcPr>
            <w:tcW w:type="dxa" w:w="1700"/>
            <w:shd w:fill="1F3864" w:val="clear"/>
            <w:tcMar>
              <w:top w:type="dxa" w:w="100"/>
              <w:left w:type="dxa" w:w="120"/>
              <w:bottom w:type="dxa" w:w="100"/>
              <w:right w:type="dxa" w:w="120"/>
            </w:tcMar>
          </w:tcPr>
          <w:p>
            <w:r>
              <w:rPr>
                <w:b/>
                <w:bCs/>
                <w:color w:val="FFFFFF"/>
                <w:sz w:val="19"/>
                <w:szCs w:val="19"/>
              </w:rPr>
              <w:t xml:space="preserve">Principle</w:t>
            </w:r>
          </w:p>
        </w:tc>
        <w:tc>
          <w:tcPr>
            <w:tcW w:type="dxa" w:w="7650"/>
            <w:shd w:fill="1F3864" w:val="clear"/>
            <w:tcMar>
              <w:top w:type="dxa" w:w="100"/>
              <w:left w:type="dxa" w:w="120"/>
              <w:bottom w:type="dxa" w:w="100"/>
              <w:right w:type="dxa" w:w="120"/>
            </w:tcMar>
          </w:tcPr>
          <w:p>
            <w:r>
              <w:rPr>
                <w:b/>
                <w:bCs/>
                <w:color w:val="FFFFFF"/>
                <w:sz w:val="19"/>
                <w:szCs w:val="19"/>
              </w:rPr>
              <w:t xml:space="preserve">What it requires</w:t>
            </w:r>
          </w:p>
        </w:tc>
      </w:tr>
      <w:tr>
        <w:tc>
          <w:tcPr>
            <w:tcW w:type="dxa" w:w="1700"/>
            <w:tcMar>
              <w:top w:type="dxa" w:w="100"/>
              <w:left w:type="dxa" w:w="120"/>
              <w:bottom w:type="dxa" w:w="100"/>
              <w:right w:type="dxa" w:w="120"/>
            </w:tcMar>
          </w:tcPr>
          <w:p>
            <w:r>
              <w:rPr>
                <w:b/>
                <w:bCs/>
                <w:color w:val="000000"/>
                <w:sz w:val="19"/>
                <w:szCs w:val="19"/>
              </w:rPr>
              <w:t xml:space="preserve">Practical</w:t>
            </w:r>
          </w:p>
        </w:tc>
        <w:tc>
          <w:tcPr>
            <w:tcW w:type="dxa" w:w="7650"/>
            <w:tcMar>
              <w:top w:type="dxa" w:w="100"/>
              <w:left w:type="dxa" w:w="120"/>
              <w:bottom w:type="dxa" w:w="100"/>
              <w:right w:type="dxa" w:w="120"/>
            </w:tcMar>
          </w:tcPr>
          <w:p>
            <w:r>
              <w:rPr>
                <w:b w:val="false"/>
                <w:bCs w:val="false"/>
                <w:color w:val="000000"/>
                <w:sz w:val="19"/>
                <w:szCs w:val="19"/>
              </w:rPr>
              <w:t xml:space="preserve">Links to real tasks and decisions; makes explicit when AI should and should not be used; builds on learners' existing informal AI use rather than assuming a zero starting point.</w:t>
            </w:r>
          </w:p>
        </w:tc>
      </w:tr>
      <w:tr>
        <w:tc>
          <w:tcPr>
            <w:tcW w:type="dxa" w:w="1700"/>
            <w:tcMar>
              <w:top w:type="dxa" w:w="100"/>
              <w:left w:type="dxa" w:w="120"/>
              <w:bottom w:type="dxa" w:w="100"/>
              <w:right w:type="dxa" w:w="120"/>
            </w:tcMar>
          </w:tcPr>
          <w:p>
            <w:r>
              <w:rPr>
                <w:b/>
                <w:bCs/>
                <w:color w:val="000000"/>
                <w:sz w:val="19"/>
                <w:szCs w:val="19"/>
              </w:rPr>
              <w:t xml:space="preserve">Reachable</w:t>
            </w:r>
          </w:p>
        </w:tc>
        <w:tc>
          <w:tcPr>
            <w:tcW w:type="dxa" w:w="7650"/>
            <w:tcMar>
              <w:top w:type="dxa" w:w="100"/>
              <w:left w:type="dxa" w:w="120"/>
              <w:bottom w:type="dxa" w:w="100"/>
              <w:right w:type="dxa" w:w="120"/>
            </w:tcMar>
          </w:tcPr>
          <w:p>
            <w:r>
              <w:rPr>
                <w:b w:val="false"/>
                <w:bCs w:val="false"/>
                <w:color w:val="000000"/>
                <w:sz w:val="19"/>
                <w:szCs w:val="19"/>
              </w:rPr>
              <w:t xml:space="preserve">Accessible in time, format and language; paid/protected time to participate; explicitly designed around intersecting barriers (income, age, disability, gender) rather than a single “average learner.”</w:t>
            </w:r>
          </w:p>
        </w:tc>
      </w:tr>
      <w:tr>
        <w:tc>
          <w:tcPr>
            <w:tcW w:type="dxa" w:w="1700"/>
            <w:tcMar>
              <w:top w:type="dxa" w:w="100"/>
              <w:left w:type="dxa" w:w="120"/>
              <w:bottom w:type="dxa" w:w="100"/>
              <w:right w:type="dxa" w:w="120"/>
            </w:tcMar>
          </w:tcPr>
          <w:p>
            <w:r>
              <w:rPr>
                <w:b/>
                <w:bCs/>
                <w:color w:val="000000"/>
                <w:sz w:val="19"/>
                <w:szCs w:val="19"/>
              </w:rPr>
              <w:t xml:space="preserve">Integrated</w:t>
            </w:r>
          </w:p>
        </w:tc>
        <w:tc>
          <w:tcPr>
            <w:tcW w:type="dxa" w:w="7650"/>
            <w:tcMar>
              <w:top w:type="dxa" w:w="100"/>
              <w:left w:type="dxa" w:w="120"/>
              <w:bottom w:type="dxa" w:w="100"/>
              <w:right w:type="dxa" w:w="120"/>
            </w:tcMar>
          </w:tcPr>
          <w:p>
            <w:r>
              <w:rPr>
                <w:b w:val="false"/>
                <w:bCs w:val="false"/>
                <w:color w:val="000000"/>
                <w:sz w:val="19"/>
                <w:szCs w:val="19"/>
              </w:rPr>
              <w:t xml:space="preserve">Fits into existing systems and professional standards; baseline training mandatory before staff use AI on regulated, confidential or safety-critical work.</w:t>
            </w:r>
          </w:p>
        </w:tc>
      </w:tr>
      <w:tr>
        <w:tc>
          <w:tcPr>
            <w:tcW w:type="dxa" w:w="1700"/>
            <w:tcMar>
              <w:top w:type="dxa" w:w="100"/>
              <w:left w:type="dxa" w:w="120"/>
              <w:bottom w:type="dxa" w:w="100"/>
              <w:right w:type="dxa" w:w="120"/>
            </w:tcMar>
          </w:tcPr>
          <w:p>
            <w:r>
              <w:rPr>
                <w:b/>
                <w:bCs/>
                <w:color w:val="000000"/>
                <w:sz w:val="19"/>
                <w:szCs w:val="19"/>
              </w:rPr>
              <w:t xml:space="preserve">Modular</w:t>
            </w:r>
          </w:p>
        </w:tc>
        <w:tc>
          <w:tcPr>
            <w:tcW w:type="dxa" w:w="7650"/>
            <w:tcMar>
              <w:top w:type="dxa" w:w="100"/>
              <w:left w:type="dxa" w:w="120"/>
              <w:bottom w:type="dxa" w:w="100"/>
              <w:right w:type="dxa" w:w="120"/>
            </w:tcMar>
          </w:tcPr>
          <w:p>
            <w:r>
              <w:rPr>
                <w:b w:val="false"/>
                <w:bCs w:val="false"/>
                <w:color w:val="000000"/>
                <w:sz w:val="19"/>
                <w:szCs w:val="19"/>
              </w:rPr>
              <w:t xml:space="preserve">Short, stackable units (30–90 minutes); learners can enter at different levels and return as needs change.</w:t>
            </w:r>
          </w:p>
        </w:tc>
      </w:tr>
      <w:tr>
        <w:tc>
          <w:tcPr>
            <w:tcW w:type="dxa" w:w="1700"/>
            <w:tcMar>
              <w:top w:type="dxa" w:w="100"/>
              <w:left w:type="dxa" w:w="120"/>
              <w:bottom w:type="dxa" w:w="100"/>
              <w:right w:type="dxa" w:w="120"/>
            </w:tcMar>
          </w:tcPr>
          <w:p>
            <w:r>
              <w:rPr>
                <w:b/>
                <w:bCs/>
                <w:color w:val="000000"/>
                <w:sz w:val="19"/>
                <w:szCs w:val="19"/>
              </w:rPr>
              <w:t xml:space="preserve">Expandable</w:t>
            </w:r>
          </w:p>
        </w:tc>
        <w:tc>
          <w:tcPr>
            <w:tcW w:type="dxa" w:w="7650"/>
            <w:tcMar>
              <w:top w:type="dxa" w:w="100"/>
              <w:left w:type="dxa" w:w="120"/>
              <w:bottom w:type="dxa" w:w="100"/>
              <w:right w:type="dxa" w:w="120"/>
            </w:tcMar>
          </w:tcPr>
          <w:p>
            <w:r>
              <w:rPr>
                <w:b w:val="false"/>
                <w:bCs w:val="false"/>
                <w:color w:val="000000"/>
                <w:sz w:val="19"/>
                <w:szCs w:val="19"/>
              </w:rPr>
              <w:t xml:space="preserve">Builds transferable skills usable across tools and roles, not single-vendor competence; a consistent core that scales to new teams and demand.</w:t>
            </w:r>
          </w:p>
        </w:tc>
      </w:tr>
      <w:tr>
        <w:tc>
          <w:tcPr>
            <w:tcW w:type="dxa" w:w="1700"/>
            <w:tcMar>
              <w:top w:type="dxa" w:w="100"/>
              <w:left w:type="dxa" w:w="120"/>
              <w:bottom w:type="dxa" w:w="100"/>
              <w:right w:type="dxa" w:w="120"/>
            </w:tcMar>
          </w:tcPr>
          <w:p>
            <w:r>
              <w:rPr>
                <w:b/>
                <w:bCs/>
                <w:color w:val="000000"/>
                <w:sz w:val="19"/>
                <w:szCs w:val="19"/>
              </w:rPr>
              <w:t xml:space="preserve">Sustainable</w:t>
            </w:r>
          </w:p>
        </w:tc>
        <w:tc>
          <w:tcPr>
            <w:tcW w:type="dxa" w:w="7650"/>
            <w:tcMar>
              <w:top w:type="dxa" w:w="100"/>
              <w:left w:type="dxa" w:w="120"/>
              <w:bottom w:type="dxa" w:w="100"/>
              <w:right w:type="dxa" w:w="120"/>
            </w:tcMar>
          </w:tcPr>
          <w:p>
            <w:r>
              <w:rPr>
                <w:b w:val="false"/>
                <w:bCs w:val="false"/>
                <w:color w:val="000000"/>
                <w:sz w:val="19"/>
                <w:szCs w:val="19"/>
              </w:rPr>
              <w:t xml:space="preserve">Reviewed and updated on a set cadence (e.g. 3- and 6-month revisits); outcomes tracked beyond completion — confidence, quality of use, judgement — not just enrolment.</w:t>
            </w:r>
          </w:p>
        </w:tc>
      </w:tr>
    </w:tbl>
    <w:p>
      <w:pPr>
        <w:pStyle w:val="Heading2"/>
        <w:spacing w:after="100" w:before="220"/>
      </w:pPr>
      <w:r>
        <w:rPr>
          <w:b/>
          <w:bCs/>
          <w:color w:val="2E5395"/>
          <w:sz w:val="24"/>
          <w:szCs w:val="24"/>
        </w:rPr>
        <w:t xml:space="preserve">4.2 Elements of AI — proof a coherent alternative can scale</w:t>
      </w:r>
    </w:p>
    <w:p>
      <w:pPr>
        <w:spacing w:after="160" w:line="276"/>
      </w:pPr>
      <w:r>
        <w:rPr>
          <w:b w:val="false"/>
          <w:bCs w:val="false"/>
          <w:i w:val="false"/>
          <w:iCs w:val="false"/>
          <w:sz w:val="21"/>
          <w:szCs w:val="21"/>
        </w:rPr>
        <w:t xml:space="preserve">Elements of AI, a free course from MinnaLearn and the University of Helsinki, offers a working counter-example: vendor-neutral, requiring no programming or technical prerequisite, structured as six short chapters combining theory, practical exercises and self-reflection, completed at the learner's own pace. It has reportedly reached approximately one million learners globally and is cited by the LSE reviewers as the model the UK's own platform should have followed.</w:t>
      </w:r>
    </w:p>
    <w:p>
      <w:pPr>
        <w:pStyle w:val="Heading1"/>
        <w:spacing w:after="140" w:before="320"/>
      </w:pPr>
      <w:r>
        <w:rPr>
          <w:b/>
          <w:bCs/>
          <w:color w:val="1F3864"/>
          <w:sz w:val="28"/>
          <w:szCs w:val="28"/>
        </w:rPr>
        <w:t xml:space="preserve">5. Emerging design principles for a credible alternative</w:t>
      </w:r>
    </w:p>
    <w:p>
      <w:pPr>
        <w:pStyle w:val="ListParagraph"/>
        <w:numPr>
          <w:ilvl w:val="0"/>
          <w:numId w:val="2"/>
        </w:numPr>
        <w:spacing w:after="80" w:line="276"/>
      </w:pPr>
      <w:r>
        <w:rPr>
          <w:sz w:val="21"/>
          <w:szCs w:val="21"/>
        </w:rPr>
        <w:t xml:space="preserve">Modular units (roughly 30–90 minutes) with clear entry and re-entry points, rather than long, fixed-length courses.</w:t>
      </w:r>
    </w:p>
    <w:p>
      <w:pPr>
        <w:pStyle w:val="ListParagraph"/>
        <w:numPr>
          <w:ilvl w:val="0"/>
          <w:numId w:val="2"/>
        </w:numPr>
        <w:spacing w:after="80" w:line="276"/>
      </w:pPr>
      <w:r>
        <w:rPr>
          <w:sz w:val="21"/>
          <w:szCs w:val="21"/>
        </w:rPr>
        <w:t xml:space="preserve">Diagnostic-driven sequencing, so learners are not shown content pitched below or above their actual level.</w:t>
      </w:r>
    </w:p>
    <w:p>
      <w:pPr>
        <w:pStyle w:val="ListParagraph"/>
        <w:numPr>
          <w:ilvl w:val="0"/>
          <w:numId w:val="2"/>
        </w:numPr>
        <w:spacing w:after="80" w:line="276"/>
      </w:pPr>
      <w:r>
        <w:rPr>
          <w:sz w:val="21"/>
          <w:szCs w:val="21"/>
        </w:rPr>
        <w:t xml:space="preserve">Embedded, low-stakes practice (“sandbox” activity), not instructional content alone.</w:t>
      </w:r>
    </w:p>
    <w:p>
      <w:pPr>
        <w:pStyle w:val="ListParagraph"/>
        <w:numPr>
          <w:ilvl w:val="0"/>
          <w:numId w:val="2"/>
        </w:numPr>
        <w:spacing w:after="80" w:line="276"/>
      </w:pPr>
      <w:r>
        <w:rPr>
          <w:sz w:val="21"/>
          <w:szCs w:val="21"/>
        </w:rPr>
        <w:t xml:space="preserve">Explicit guidance on when AI should and should not be used, not only how to use it.</w:t>
      </w:r>
    </w:p>
    <w:p>
      <w:pPr>
        <w:pStyle w:val="ListParagraph"/>
        <w:numPr>
          <w:ilvl w:val="0"/>
          <w:numId w:val="2"/>
        </w:numPr>
        <w:spacing w:after="80" w:line="276"/>
      </w:pPr>
      <w:r>
        <w:rPr>
          <w:sz w:val="21"/>
          <w:szCs w:val="21"/>
        </w:rPr>
        <w:t xml:space="preserve">Transferable, tool-agnostic skills prioritised over single-vendor competence.</w:t>
      </w:r>
    </w:p>
    <w:p>
      <w:pPr>
        <w:pStyle w:val="ListParagraph"/>
        <w:numPr>
          <w:ilvl w:val="0"/>
          <w:numId w:val="2"/>
        </w:numPr>
        <w:spacing w:after="80" w:line="276"/>
      </w:pPr>
      <w:r>
        <w:rPr>
          <w:sz w:val="21"/>
          <w:szCs w:val="21"/>
        </w:rPr>
        <w:t xml:space="preserve">Planned revisit points and outcome tracking (for example, 3- and 6-month check-ins) rather than one-off completion metrics.</w:t>
      </w:r>
    </w:p>
    <w:p>
      <w:pPr>
        <w:pStyle w:val="ListParagraph"/>
        <w:numPr>
          <w:ilvl w:val="0"/>
          <w:numId w:val="2"/>
        </w:numPr>
        <w:spacing w:after="80" w:line="276"/>
      </w:pPr>
      <w:r>
        <w:rPr>
          <w:sz w:val="21"/>
          <w:szCs w:val="21"/>
        </w:rPr>
        <w:t xml:space="preserve">Training designed to build calibrated confidence, not just knowledge — surface-level AI familiarity can itself increase the risk of misplaced trust in AI outputs if not paired with practice in judging one's own accuracy.</w:t>
      </w:r>
    </w:p>
    <w:p>
      <w:pPr>
        <w:pStyle w:val="Heading1"/>
        <w:spacing w:after="140" w:before="320"/>
      </w:pPr>
      <w:r>
        <w:rPr>
          <w:b/>
          <w:bCs/>
          <w:color w:val="1F3864"/>
          <w:sz w:val="28"/>
          <w:szCs w:val="28"/>
        </w:rPr>
        <w:t xml:space="preserve">6. Where this sits in the project</w:t>
      </w:r>
    </w:p>
    <w:p>
      <w:pPr>
        <w:spacing w:after="160" w:line="276"/>
      </w:pPr>
      <w:r>
        <w:rPr>
          <w:b w:val="false"/>
          <w:bCs w:val="false"/>
          <w:i w:val="false"/>
          <w:iCs w:val="false"/>
          <w:sz w:val="21"/>
          <w:szCs w:val="21"/>
        </w:rPr>
        <w:t xml:space="preserve">Grounded AI Practice is a personal, open, research-led project currently in its scoping stage; it has not yet finalised an audience, format, or curriculum. These findings sharpen — rather than settle — the project's direction: they clarify what a credible, evidence-grounded alternative to the current national approach would need to demonstrate, ahead of decisions still to be made about who the project should serve first and in what form.</w:t>
      </w:r>
    </w:p>
    <w:p>
      <w:pPr>
        <w:pStyle w:val="Heading1"/>
        <w:spacing w:after="140" w:before="320"/>
      </w:pPr>
      <w:r>
        <w:rPr>
          <w:b/>
          <w:bCs/>
          <w:color w:val="1F3864"/>
          <w:sz w:val="28"/>
          <w:szCs w:val="28"/>
        </w:rPr>
        <w:t xml:space="preserve">7. A note on method</w:t>
      </w:r>
    </w:p>
    <w:p>
      <w:pPr>
        <w:spacing w:after="160" w:line="276"/>
      </w:pPr>
      <w:r>
        <w:rPr>
          <w:b w:val="false"/>
          <w:bCs w:val="false"/>
          <w:i w:val="false"/>
          <w:iCs w:val="false"/>
          <w:sz w:val="21"/>
          <w:szCs w:val="21"/>
        </w:rPr>
        <w:t xml:space="preserve">Findings in this briefing draw on primary sources read directly wherever possible, with every source tagged by its likely interest (government/official, independent/academic, vendor/commercial, or advocacy/membership body) so that the concentration of the evidence base is visible rather than hidden. Where a finding would materially affect the project's direction, confirming and disconfirming evidence has been sought together rather than assuming the initial hypothesis. A small number of leads referenced during this research (for example, further critical commentary on the AI Skills Hub in the trade press) have not yet been independently verified and are not included as findings here.</w:t>
      </w:r>
    </w:p>
    <w:p>
      <w:pPr>
        <w:pStyle w:val="Heading1"/>
        <w:spacing w:after="140" w:before="320"/>
      </w:pPr>
      <w:r>
        <w:rPr>
          <w:b/>
          <w:bCs/>
          <w:color w:val="1F3864"/>
          <w:sz w:val="28"/>
          <w:szCs w:val="28"/>
        </w:rPr>
        <w:t xml:space="preserve">Sources</w:t>
      </w:r>
    </w:p>
    <w:p>
      <w:pPr>
        <w:spacing w:after="100" w:line="260"/>
        <w:ind w:left="260" w:hanging="260"/>
      </w:pPr>
      <w:r>
        <w:rPr>
          <w:sz w:val="19"/>
          <w:szCs w:val="19"/>
        </w:rPr>
        <w:t xml:space="preserve">Innovate UK / Skills England, UK AI Skills Hub (BridgeAI programme), expanded to all UK adults 28 January 2026. aiskillshub.org.uk</w:t>
      </w:r>
    </w:p>
    <w:p>
      <w:pPr>
        <w:spacing w:after="100" w:line="260"/>
        <w:ind w:left="260" w:hanging="260"/>
      </w:pPr>
      <w:r>
        <w:rPr>
          <w:sz w:val="19"/>
          <w:szCs w:val="19"/>
        </w:rPr>
        <w:t xml:space="preserve">Cardoso-Silva, J. &amp; Brown, J. (LSE), “The UK's AI training ambition deserves better than a course directory,” LSE Impact of Social Sciences blog, 17 February 2026.</w:t>
      </w:r>
    </w:p>
    <w:p>
      <w:pPr>
        <w:spacing w:after="100" w:line="260"/>
        <w:ind w:left="260" w:hanging="260"/>
      </w:pPr>
      <w:r>
        <w:rPr>
          <w:sz w:val="19"/>
          <w:szCs w:val="19"/>
        </w:rPr>
        <w:t xml:space="preserve">Quilter, S. (Techosaurus Ltd) &amp; Farmer, E. (Quantum Rise), “We Tested the Government's AI Skills Hub: Five Critical Flaws You Need to Know,” Techosaurus News, 30 January 2026.</w:t>
      </w:r>
    </w:p>
    <w:p>
      <w:pPr>
        <w:spacing w:after="100" w:line="260"/>
        <w:ind w:left="260" w:hanging="260"/>
      </w:pPr>
      <w:r>
        <w:rPr>
          <w:sz w:val="19"/>
          <w:szCs w:val="19"/>
        </w:rPr>
        <w:t xml:space="preserve">Thomas, P. (The Human Co.), “The UK Government's AI Skills Hub: A £4.1m Lesson in How Not to Build Real AI Capability,” thehumanco.org, 2026.</w:t>
      </w:r>
    </w:p>
    <w:p>
      <w:pPr>
        <w:spacing w:after="100" w:line="260"/>
        <w:ind w:left="260" w:hanging="260"/>
      </w:pPr>
      <w:r>
        <w:rPr>
          <w:sz w:val="19"/>
          <w:szCs w:val="19"/>
        </w:rPr>
        <w:t xml:space="preserve">Ameen, N. (Royal Holloway, University of London / British Academy Policy-Led Innovation Fellowship, in partnership with Skills England), “What Works for AI Upskilling in the UK: Employer Guide,” 10 June 2026. gov.uk</w:t>
      </w:r>
    </w:p>
    <w:p>
      <w:pPr>
        <w:spacing w:after="100" w:line="260"/>
        <w:ind w:left="260" w:hanging="260"/>
      </w:pPr>
      <w:r>
        <w:rPr>
          <w:sz w:val="19"/>
          <w:szCs w:val="19"/>
        </w:rPr>
        <w:t xml:space="preserve">Ameen, N. et al., “AI Skills for the UK Workforce,” Skills England / DfE, 30 October 2025 (companion AI Skills Tools Package, updated 4 November 2025). gov.uk</w:t>
      </w:r>
    </w:p>
    <w:p>
      <w:pPr>
        <w:spacing w:after="100" w:line="260"/>
        <w:ind w:left="260" w:hanging="260"/>
      </w:pPr>
      <w:r>
        <w:rPr>
          <w:sz w:val="19"/>
          <w:szCs w:val="19"/>
        </w:rPr>
        <w:t xml:space="preserve">MinnaLearn &amp; University of Helsinki, Elements of AI. elementsofai.com</w:t>
      </w:r>
    </w:p>
    <w:p>
      <w:pPr>
        <w:spacing w:after="200" w:before="60" w:line="276"/>
      </w:pPr>
      <w:r>
        <w:rPr>
          <w:i/>
          <w:iCs/>
          <w:color w:val="595959"/>
          <w:sz w:val="19"/>
          <w:szCs w:val="19"/>
        </w:rPr>
        <w:t xml:space="preserve">Full source list, interest tagging, and detailed entry-by-entry findings are maintained in RESEARCH_LOG.md within the Grounded AI Practice project repository.</w:t>
      </w:r>
    </w:p>
    <w:sectPr>
      <w:pgSz w:w="11906" w:h="16838"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2026-07-24T05:09:16.354Z</dcterms:created>
  <dcterms:modified xsi:type="dcterms:W3CDTF">2026-07-24T05:09:16.355Z</dcterms:modified>
</cp:coreProperties>
</file>

<file path=docProps/custom.xml><?xml version="1.0" encoding="utf-8"?>
<Properties xmlns="http://schemas.openxmlformats.org/officeDocument/2006/custom-properties" xmlns:vt="http://schemas.openxmlformats.org/officeDocument/2006/docPropsVTypes"/>
</file>