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200"/>
        <w:gridCol w:w="5546"/>
      </w:tblGrid>
      <w:tr>
        <w:tc>
          <w:tcPr>
            <w:tcW w:w="4200" w:type="dxa"/>
            <w:tcBorders>
              <w:top w:val="nil"/>
              <w:left w:val="nil"/>
              <w:bottom w:val="single" w:sz="16" w:color="F15E4B"/>
              <w:right w:val="nil"/>
            </w:tcBorders>
            <w:tcMar>
              <w:top w:w="60" w:type="dxa"/>
              <w:left w:w="0" w:type="dxa"/>
              <w:bottom w:w="160" w:type="dxa"/>
              <w:right w:w="120" w:type="dxa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148840" cy="768042"/>
                  <wp:effectExtent l="0" t="0" r="0" b="0"/>
                  <wp:docPr id="1001" name="Grounded AI Practic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1" name="Grounded AI Practice 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76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6" w:type="dxa"/>
            <w:tcBorders>
              <w:top w:val="nil"/>
              <w:left w:val="nil"/>
              <w:bottom w:val="single" w:sz="16" w:color="F15E4B"/>
              <w:right w:val="nil"/>
            </w:tcBorders>
            <w:tcMar>
              <w:top w:w="60" w:type="dxa"/>
              <w:left w:w="120" w:type="dxa"/>
              <w:bottom w:w="160" w:type="dxa"/>
              <w:right w:w="0" w:type="dxa"/>
            </w:tcMar>
            <w:vAlign w:val="center"/>
          </w:tcPr>
          <w:p>
            <w:pPr>
              <w:pStyle w:val="Eyebrow"/>
              <w:jc w:val="right"/>
            </w:pPr>
            <w:r>
              <w:t xml:space="preserve">GROUNDED AI PRACTICE</w:t>
            </w:r>
          </w:p>
          <w:p>
            <w:pPr>
              <w:spacing w:after="0"/>
              <w:jc w:val="right"/>
            </w:pPr>
            <w:r>
              <w:rPr>
                <w:rFonts w:ascii="Public Sans" w:hAnsi="Public Sans" w:cs="Public Sans"/>
                <w:i/>
                <w:iCs/>
                <w:color w:val="27221E"/>
                <w:sz w:val="16"/>
                <w:szCs w:val="16"/>
              </w:rPr>
              <w:t xml:space="preserve">Style reference — example format</w:t>
            </w:r>
          </w:p>
        </w:tc>
      </w:tr>
    </w:tbl>
    <w:p>
      <w:pPr>
        <w:spacing w:after="60"/>
      </w:pPr>
    </w:p>
    <w:p>
      <w:pPr>
        <w:pStyle w:val="Title"/>
      </w:pPr>
      <w:r>
        <w:t xml:space="preserve">Style Reference</w:t>
      </w:r>
    </w:p>
    <w:p>
      <w:pPr>
        <w:pStyle w:val="Subtitle"/>
      </w:pPr>
      <w:r>
        <w:t xml:space="preserve">Every visual element in one document</w:t>
      </w:r>
    </w:p>
    <w:p>
      <w:pPr>
        <w:pStyle w:val="Caption"/>
        <w:spacing w:after="320"/>
      </w:pPr>
      <w:r>
        <w:t xml:space="preserve">Reference document only — the text throughout is placeholder, not lesson content. Its purpose is to catalogue the formatting patterns available for Grounded AI Practice documents in one place.</w:t>
      </w:r>
    </w:p>
    <w:p>
      <w:pPr>
        <w:spacing w:after="280" w:line="264" w:lineRule="auto"/>
      </w:pPr>
      <w:r>
        <w:t xml:space="preserve">Everything on the following pages is built from the same six-tone palette, the same Public Sans type system, and a handful of reusable constructions — a title block, a labelled section heading, a card, a table, a list. Once a pattern is established here, reusing it in real content is a copy-and-relabel job, not a redesign.</w:t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01" name="Learning and documentation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1" name="Learning and documentation ico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Text hierarchy</w:t>
      </w:r>
    </w:p>
    <w:p>
      <w:pPr>
        <w:spacing w:after="200" w:line="264" w:lineRule="auto"/>
      </w:pPr>
      <w:r>
        <w:t xml:space="preserve">Every specimen below is rendered in its actual Word style, not just described — apply the named style from the Word Styles pane and this is what you get.</w:t>
      </w:r>
    </w:p>
    <w:p>
      <w:pPr>
        <w:pStyle w:val="Title"/>
        <w:spacing w:before="120" w:after="200"/>
      </w:pPr>
      <w:r>
        <w:t xml:space="preserve">This is Title style</w:t>
      </w:r>
    </w:p>
    <w:p>
      <w:pPr>
        <w:pStyle w:val="Caption"/>
        <w:spacing w:after="160"/>
      </w:pPr>
      <w:r>
        <w:t xml:space="preserve">Public Sans Bold, 28pt, Ink — one per document</w:t>
      </w:r>
    </w:p>
    <w:p>
      <w:pPr>
        <w:pStyle w:val="Subtitle"/>
        <w:spacing w:before="120" w:after="200"/>
      </w:pPr>
      <w:r>
        <w:t xml:space="preserve">This is Subtitle style</w:t>
      </w:r>
    </w:p>
    <w:p>
      <w:pPr>
        <w:pStyle w:val="Caption"/>
        <w:spacing w:after="160"/>
      </w:pPr>
      <w:r>
        <w:t xml:space="preserve">Public Sans Bold, 15pt, Ember — sits directly under the title</w:t>
      </w:r>
    </w:p>
    <w:p>
      <w:pPr>
        <w:pStyle w:val="Heading1"/>
        <w:spacing w:before="120" w:after="200"/>
      </w:pPr>
      <w:r>
        <w:t xml:space="preserve">This is Heading 1 style</w:t>
      </w:r>
    </w:p>
    <w:p>
      <w:pPr>
        <w:pStyle w:val="Caption"/>
        <w:spacing w:after="160"/>
      </w:pPr>
      <w:r>
        <w:t xml:space="preserve">Public Sans Bold, 13pt, Ink, Sage rule beneath — top-level section; the icon is added by hand, not part of the style</w:t>
      </w:r>
    </w:p>
    <w:p>
      <w:pPr>
        <w:pStyle w:val="Heading2"/>
        <w:spacing w:before="120" w:after="200"/>
      </w:pPr>
      <w:r>
        <w:t xml:space="preserve">This is Heading 2 style</w:t>
      </w:r>
    </w:p>
    <w:p>
      <w:pPr>
        <w:pStyle w:val="Caption"/>
        <w:spacing w:after="160"/>
      </w:pPr>
      <w:r>
        <w:t xml:space="preserve">Public Sans Bold, 12pt, Ink — subsection within a Heading 1</w:t>
      </w:r>
    </w:p>
    <w:p>
      <w:pPr>
        <w:pStyle w:val="Heading3"/>
        <w:spacing w:before="120" w:after="200"/>
      </w:pPr>
      <w:r>
        <w:t xml:space="preserve">This is Heading 3 style</w:t>
      </w:r>
    </w:p>
    <w:p>
      <w:pPr>
        <w:pStyle w:val="Caption"/>
        <w:spacing w:after="160"/>
      </w:pPr>
      <w:r>
        <w:t xml:space="preserve">Public Sans Bold, 11pt, Graphite — third-level heading, used sparingly</w:t>
      </w:r>
    </w:p>
    <w:p>
      <w:pPr>
        <w:pStyle w:val="Normal"/>
        <w:spacing w:before="120" w:after="200"/>
      </w:pPr>
      <w:r>
        <w:t xml:space="preserve">This is Body text (Normal style)</w:t>
      </w:r>
    </w:p>
    <w:p>
      <w:pPr>
        <w:pStyle w:val="Caption"/>
        <w:spacing w:after="160"/>
      </w:pPr>
      <w:r>
        <w:t xml:space="preserve">Public Sans Regular, 10.5pt, Ink — the document default</w:t>
      </w:r>
    </w:p>
    <w:p>
      <w:pPr>
        <w:pStyle w:val="Caption"/>
        <w:spacing w:before="120" w:after="200"/>
      </w:pPr>
      <w:r>
        <w:t xml:space="preserve">This is Caption style</w:t>
      </w:r>
    </w:p>
    <w:p>
      <w:pPr>
        <w:pStyle w:val="Caption"/>
        <w:spacing w:after="160"/>
      </w:pPr>
      <w:r>
        <w:t xml:space="preserve">Public Sans Italic, 8.5pt, Stone — figure captions, asides, this line itself</w:t>
      </w:r>
    </w:p>
    <w:p>
      <w:pPr>
        <w:pStyle w:val="Caption"/>
        <w:spacing w:after="200"/>
      </w:pPr>
      <w:r>
        <w:t xml:space="preserve">Heading1/2/3 carry a real Word outline level, so Insert → Table of Contents and the Navigation pane both work against them without extra setup.</w:t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02" name="Quote callout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2" name="Quote callout ic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Pull quotes</w:t>
      </w:r>
    </w:p>
    <w:p>
      <w:pPr>
        <w:spacing w:after="160" w:line="264" w:lineRule="auto"/>
      </w:pPr>
      <w:r>
        <w:t xml:space="preserve">A short, indented statement pulled out from body text, with a pill-shaped Ember bar on the left — built the same way as a callout card (a Word group of a bar shape and a text box), just without the icon well or background card.</w:t>
      </w:r>
    </w:p>
    <w:p>
      <w:pPr>
        <w:spacing w:before="120" w:after="200"/>
      </w:pPr>
      <w:r>
        <w:drawing>
          <wp:inline distT="0" distB="0" distL="0" distR="0">
            <wp:extent cx="6000000" cy="690099"/>
            <wp:effectExtent l="0" t="0" r="0" b="0"/>
            <wp:docPr id="2003" name="Pull quot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00000" cy="690099"/>
                      <a:chOff x="0" y="0"/>
                      <a:chExt cx="6000000" cy="690099"/>
                    </a:xfrm>
                  </wpg:grpSpPr>
                  <wps:wsp>
                    <wps:cNvSpPr/>
                    <wps:spPr>
                      <a:xfrm>
                        <a:off x="0" y="0"/>
                        <a:ext cx="57600" cy="690099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73600" y="0"/>
                        <a:ext cx="5726400" cy="6900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60" w:line="280" w:lineRule="auto"/>
                          </w:pPr>
                          <w:r>
                            <w:rPr>
                              <w:rFonts w:ascii="Public Sans" w:hAnsi="Public Sans" w:cs="Public Sans"/>
                              <w:i/>
                              <w:iCs/>
                              <w:color w:val="27221E"/>
                              <w:sz w:val="24"/>
                              <w:szCs w:val="24"/>
                            </w:rPr>
                            <w:t xml:space="preserve">“If it is not in the prompt or the visible context, the model does not have it.”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6E6E6E"/>
                              <w:sz w:val="17"/>
                              <w:szCs w:val="17"/>
                            </w:rPr>
                            <w:t xml:space="preserve">— Quote style: 12pt italic Ink; attribution in Caption style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04" name="Principles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4" name="Principles ico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Callout cards</w:t>
      </w:r>
    </w:p>
    <w:p>
      <w:pPr>
        <w:spacing w:after="200" w:line="264" w:lineRule="auto"/>
      </w:pPr>
      <w:r>
        <w:t xml:space="preserve">One shared construction — rounded background card, white icon well, pill-shaped colour divider, text block — built as a single Word group so it survives copy-paste as one object. The icon well is a fixed size for a given size preset; only the text column resizes, so the icon is never stretched or squeezed.</w:t>
      </w:r>
    </w:p>
    <w:p>
      <w:pPr>
        <w:pStyle w:val="Heading2"/>
      </w:pPr>
      <w:r>
        <w:t xml:space="preserve">Semantic types</w:t>
      </w:r>
    </w:p>
    <w:p>
      <w:pPr>
        <w:spacing w:before="120" w:after="160"/>
      </w:pPr>
      <w:r>
        <w:drawing>
          <wp:inline distT="0" distB="0" distL="0" distR="0">
            <wp:extent cx="4608000" cy="1082000"/>
            <wp:effectExtent l="0" t="0" r="0" b="0"/>
            <wp:docPr id="2005" name="Callout NOTE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8000" cy="1082000"/>
                      <a:chOff x="0" y="0"/>
                      <a:chExt cx="4608000" cy="1082000"/>
                    </a:xfrm>
                  </wpg:grpSpPr>
                  <wps:wsp>
                    <wps:cNvSpPr/>
                    <wps:spPr>
                      <a:xfrm>
                        <a:off x="0" y="0"/>
                        <a:ext cx="4608000" cy="1082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06" name="Information icon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199080" y="218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3218400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NOTE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Neutral, informational aside. Sage background, Stone divider and label. Medium preset.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4608000" cy="1082000"/>
            <wp:effectExtent l="0" t="0" r="0" b="0"/>
            <wp:docPr id="2007" name="Callout TIP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8000" cy="1082000"/>
                      <a:chOff x="0" y="0"/>
                      <a:chExt cx="4608000" cy="1082000"/>
                    </a:xfrm>
                  </wpg:grpSpPr>
                  <wps:wsp>
                    <wps:cNvSpPr/>
                    <wps:spPr>
                      <a:xfrm>
                        <a:off x="0" y="0"/>
                        <a:ext cx="4608000" cy="1082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F9E8DC"/>
                      </a:solidFill>
                      <a:ln w="9525">
                        <a:solidFill>
                          <a:srgbClr val="F15E4B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08" name="Tip icon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199080" y="218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15E4B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3218400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F15E4B"/>
                              <w:sz w:val="19"/>
                              <w:szCs w:val="19"/>
                            </w:rPr>
                            <w:t xml:space="preserve">TIP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Suggested action for the reader to try. Sand background, Ember divider and label.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5688000" cy="1082000"/>
            <wp:effectExtent l="0" t="0" r="0" b="0"/>
            <wp:docPr id="2009" name="Callout WARNING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688000" cy="1082000"/>
                      <a:chOff x="0" y="0"/>
                      <a:chExt cx="5688000" cy="1082000"/>
                    </a:xfrm>
                  </wpg:grpSpPr>
                  <wps:wsp>
                    <wps:cNvSpPr/>
                    <wps:spPr>
                      <a:xfrm>
                        <a:off x="0" y="0"/>
                        <a:ext cx="5688000" cy="1082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EFEEED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10" name="Warning icon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199080" y="218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40404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4298400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404040"/>
                              <w:sz w:val="19"/>
                              <w:szCs w:val="19"/>
                            </w:rPr>
                            <w:t xml:space="preserve">WARNING</w:t>
                          </w:r>
                        </w:p>
                        <w:p>
                          <w:pPr>
                            <w:spacing w:after="40" w:line="250" w:lineRule="auto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27221E"/>
                              <w:sz w:val="21"/>
                              <w:szCs w:val="21"/>
                            </w:rPr>
                            <w:t xml:space="preserve">Common mistake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Flags a frequent error. Mist background, Graphite divider and label. Large preset — same icon well as medium, extra height for a heading line.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spacing w:before="120" w:after="160"/>
      </w:pPr>
      <w:r>
        <w:drawing>
          <wp:inline distT="0" distB="0" distL="0" distR="0">
            <wp:extent cx="4608000" cy="1082000"/>
            <wp:effectExtent l="0" t="0" r="0" b="0"/>
            <wp:docPr id="2011" name="Callout CHECK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8000" cy="1082000"/>
                      <a:chOff x="0" y="0"/>
                      <a:chExt cx="4608000" cy="1082000"/>
                    </a:xfrm>
                  </wpg:grpSpPr>
                  <wps:wsp>
                    <wps:cNvSpPr/>
                    <wps:spPr>
                      <a:xfrm>
                        <a:off x="0" y="0"/>
                        <a:ext cx="4608000" cy="108200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828000" cy="82800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12" name="Verification icon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199080" y="218080"/>
                        <a:ext cx="645840" cy="64584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1080000" y="127000"/>
                        <a:ext cx="57600" cy="828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281600" y="127000"/>
                        <a:ext cx="3218400" cy="82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CHECK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A new type built from the same card, reusing NOTE's colours with a different icon and label.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pPr>
        <w:pStyle w:val="Caption"/>
        <w:spacing w:after="200"/>
      </w:pPr>
      <w:r>
        <w:t xml:space="preserve">New types are built by swapping the icon, label and body text inside the shared construction above — not by inventing new colours. CHECK reuses NOTE's Sage/Stone pairing on purpose; the full 36-icon set is available for further types in the same style.</w:t>
      </w:r>
    </w:p>
    <w:p>
      <w:pPr>
        <w:pStyle w:val="Heading2"/>
      </w:pPr>
      <w:r>
        <w:t xml:space="preserve">Size presets</w:t>
      </w:r>
    </w:p>
    <w:p>
      <w:pPr>
        <w:spacing w:after="160" w:line="264" w:lineRule="auto"/>
      </w:pPr>
      <w:r>
        <w:t xml:space="preserve">Small, medium and large presets change the icon-well size and available text height for the amount of content a card needs to carry. Width is independent of preset — set it to whatever the text needs.</w:t>
      </w:r>
    </w:p>
    <w:p>
      <w:pPr>
        <w:spacing w:before="120" w:after="160"/>
      </w:pPr>
      <w:r>
        <w:drawing>
          <wp:inline distT="0" distB="0" distL="0" distR="0">
            <wp:extent cx="3200000" cy="767360"/>
            <wp:effectExtent l="0" t="0" r="0" b="0"/>
            <wp:docPr id="2013" name="Callout NOTE small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0000" cy="767360"/>
                      <a:chOff x="0" y="0"/>
                      <a:chExt cx="3200000" cy="767360"/>
                    </a:xfrm>
                  </wpg:grpSpPr>
                  <wps:wsp>
                    <wps:cNvSpPr/>
                    <wps:spPr>
                      <a:xfrm>
                        <a:off x="0" y="0"/>
                        <a:ext cx="3200000" cy="767360"/>
                      </a:xfrm>
                      <a:prstGeom prst="roundRect">
                        <a:avLst>
                          <a:gd name="adj" fmla="val 8000"/>
                        </a:avLst>
                      </a:prstGeom>
                      <a:solidFill>
                        <a:srgbClr val="D5E2E1"/>
                      </a:solidFill>
                      <a:ln w="9525">
                        <a:solidFill>
                          <a:srgbClr val="6E6E6E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08000" y="127000"/>
                        <a:ext cx="513360" cy="513360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bodyPr/>
                  </wps:wsp>
                  <pic:pic>
                    <pic:nvPicPr>
                      <pic:cNvPr id="2014" name="Information icon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164470" y="183470"/>
                        <a:ext cx="400420" cy="400420"/>
                      </a:xfrm>
                      <a:prstGeom prst="rect">
                        <a:avLst/>
                      </a:prstGeom>
                    </pic:spPr>
                  </pic:pic>
                  <wps:wsp>
                    <wps:cNvSpPr/>
                    <wps:spPr>
                      <a:xfrm>
                        <a:off x="765360" y="127000"/>
                        <a:ext cx="57600" cy="51336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6E6E6E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966960" y="127000"/>
                        <a:ext cx="2125040" cy="5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40"/>
                          </w:pPr>
                          <w:r>
                            <w:rPr>
                              <w:rFonts w:ascii="Public Sans" w:hAnsi="Public Sans" w:cs="Public Sans"/>
                              <w:b/>
                              <w:bCs/>
                              <w:color w:val="6E6E6E"/>
                              <w:sz w:val="19"/>
                              <w:szCs w:val="19"/>
                            </w:rPr>
                            <w:t xml:space="preserve">NOTE</w:t>
                          </w:r>
                        </w:p>
                        <w:p>
                          <w:pPr>
                            <w:spacing w:after="0" w:line="250" w:lineRule="auto"/>
                          </w:pPr>
                          <w:r>
                            <w:rPr>
                              <w:rFonts w:ascii="Public Sans" w:hAnsi="Public Sans" w:cs="Public Sans"/>
                              <w:color w:val="27221E"/>
                              <w:sz w:val="19"/>
                              <w:szCs w:val="19"/>
                            </w:rPr>
                            <w:t xml:space="preserve">Small preset — compact icon well, one line of text, narrower card.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g:wgp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5" name="Architecture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5" name="Architecture ico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Tables</w:t>
      </w:r>
    </w:p>
    <w:p>
      <w:pPr>
        <w:pStyle w:val="Heading2"/>
      </w:pPr>
      <w:r>
        <w:t xml:space="preserve">Flow table</w:t>
      </w:r>
    </w:p>
    <w:p>
      <w:pPr>
        <w:spacing w:after="160" w:line="264" w:lineRule="auto"/>
      </w:pPr>
      <w:r>
        <w:t xml:space="preserve">A three-step flow, each stage shaded a different tint with an Ember arrow between: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2800"/>
        <w:gridCol w:w="673"/>
        <w:gridCol w:w="2800"/>
        <w:gridCol w:w="673"/>
        <w:gridCol w:w="2800"/>
      </w:tblGrid>
      <w:tr>
        <w:tc>
          <w:tcPr>
            <w:tcW w:w="2800" w:type="dxa"/>
            <w:tcBorders>
              <w:top w:val="single" w:sz="8" w:color="27221E"/>
              <w:left w:val="single" w:sz="8" w:color="27221E"/>
              <w:bottom w:val="single" w:sz="8" w:color="27221E"/>
              <w:right w:val="single" w:sz="8" w:color="27221E"/>
            </w:tcBorders>
            <w:shd w:val="clear" w:color="auto" w:fill="F9E8D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21"/>
                <w:szCs w:val="21"/>
              </w:rPr>
              <w:t xml:space="preserve">Input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404040"/>
                <w:sz w:val="17"/>
                <w:szCs w:val="17"/>
              </w:rPr>
              <w:t xml:space="preserve">What goes in, unchanged.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15E4B"/>
                <w:sz w:val="28"/>
                <w:szCs w:val="28"/>
              </w:rPr>
              <w:t xml:space="preserve">→</w:t>
            </w:r>
          </w:p>
        </w:tc>
        <w:tc>
          <w:tcPr>
            <w:tcW w:w="2800" w:type="dxa"/>
            <w:tcBorders>
              <w:top w:val="single" w:sz="8" w:color="27221E"/>
              <w:left w:val="single" w:sz="8" w:color="27221E"/>
              <w:bottom w:val="single" w:sz="8" w:color="27221E"/>
              <w:right w:val="single" w:sz="8" w:color="27221E"/>
            </w:tcBorders>
            <w:shd w:val="clear" w:color="auto" w:fill="EFEE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21"/>
                <w:szCs w:val="21"/>
              </w:rPr>
              <w:t xml:space="preserve">Process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404040"/>
                <w:sz w:val="17"/>
                <w:szCs w:val="17"/>
              </w:rPr>
              <w:t xml:space="preserve">What happens to it in between.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" w:type="dxa"/>
              <w:bottom w:w="6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15E4B"/>
                <w:sz w:val="28"/>
                <w:szCs w:val="28"/>
              </w:rPr>
              <w:t xml:space="preserve">→</w:t>
            </w:r>
          </w:p>
        </w:tc>
        <w:tc>
          <w:tcPr>
            <w:tcW w:w="2800" w:type="dxa"/>
            <w:tcBorders>
              <w:top w:val="single" w:sz="8" w:color="27221E"/>
              <w:left w:val="single" w:sz="8" w:color="27221E"/>
              <w:bottom w:val="single" w:sz="8" w:color="27221E"/>
              <w:right w:val="single" w:sz="8" w:color="27221E"/>
            </w:tcBorders>
            <w:shd w:val="clear" w:color="auto" w:fill="D5E2E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21"/>
                <w:szCs w:val="21"/>
              </w:rPr>
              <w:t xml:space="preserve">Output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404040"/>
                <w:sz w:val="17"/>
                <w:szCs w:val="17"/>
              </w:rPr>
              <w:t xml:space="preserve">What comes out the other side.</w:t>
            </w:r>
          </w:p>
        </w:tc>
      </w:tr>
    </w:tbl>
    <w:p>
      <w:pPr>
        <w:pStyle w:val="Heading2"/>
      </w:pPr>
      <w:r>
        <w:t xml:space="preserve">Comparison table</w:t>
      </w:r>
    </w:p>
    <w:p>
      <w:pPr>
        <w:spacing w:after="160" w:line="264" w:lineRule="auto"/>
      </w:pPr>
      <w:r>
        <w:t xml:space="preserve">A two-column comparison, dark header row and alternating row tints: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20"/>
                <w:szCs w:val="20"/>
              </w:rPr>
              <w:t xml:space="preserve">Option A</w:t>
            </w:r>
          </w:p>
        </w:tc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2722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First row, left column.</w:t>
            </w:r>
          </w:p>
        </w:tc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F9F9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First row, right column.</w:t>
            </w:r>
          </w:p>
        </w:tc>
      </w:tr>
      <w:tr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Second row, left column.</w:t>
            </w:r>
          </w:p>
        </w:tc>
        <w:tc>
          <w:tcPr>
            <w:tcW w:w="4873" w:type="dxa"/>
            <w:tcBorders>
              <w:top w:val="single" w:sz="4" w:color="D5E2E1"/>
              <w:left w:val="single" w:sz="4" w:color="D5E2E1"/>
              <w:bottom w:val="single" w:sz="4" w:color="D5E2E1"/>
              <w:right w:val="single" w:sz="4" w:color="D5E2E1"/>
            </w:tcBorders>
            <w:shd w:val="clear" w:color="auto" w:fill="EFEE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Second row, right column.</w:t>
            </w:r>
          </w:p>
        </w:tc>
      </w:tr>
    </w:tbl>
    <w:p>
      <w:pPr>
        <w:pStyle w:val="Heading2"/>
      </w:pPr>
      <w:r>
        <w:t xml:space="preserve">Compact reference table</w:t>
      </w:r>
    </w:p>
    <w:p>
      <w:pPr>
        <w:spacing w:after="160" w:line="264" w:lineRule="auto"/>
      </w:pPr>
      <w:r>
        <w:t xml:space="preserve">A narrower key/value type, no shading, just a thin Sage rule under each row — for short specs rather than side-by-side comparison. This table is, in fact, describing itself:</w:t>
      </w:r>
    </w:p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2400"/>
        <w:gridCol w:w="7346"/>
      </w:tblGrid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Page size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A4, 1080-twip margins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Body font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Public Sans Regular, 10.5pt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Accent colour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Ember #F15E4B</w:t>
            </w:r>
          </w:p>
        </w:tc>
      </w:tr>
      <w:tr>
        <w:tc>
          <w:tcPr>
            <w:tcW w:w="2400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b/>
                <w:bCs/>
                <w:color w:val="27221E"/>
                <w:sz w:val="20"/>
                <w:szCs w:val="20"/>
              </w:rPr>
              <w:t xml:space="preserve">Line spacing</w:t>
            </w:r>
          </w:p>
        </w:tc>
        <w:tc>
          <w:tcPr>
            <w:tcW w:w="7346" w:type="dxa"/>
            <w:tcBorders>
              <w:top w:val="nil"/>
              <w:left w:val="nil"/>
              <w:bottom w:val="single" w:sz="4" w:color="D5E2E1"/>
              <w:right w:val="nil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spacing w:after="0"/>
            </w:pPr>
            <w:r>
              <w:rPr>
                <w:rFonts w:ascii="Public Sans" w:hAnsi="Public Sans" w:cs="Public Sans"/>
                <w:color w:val="27221E"/>
                <w:sz w:val="20"/>
                <w:szCs w:val="20"/>
              </w:rPr>
              <w:t xml:space="preserve">264% (auto)</w:t>
            </w:r>
          </w:p>
        </w:tc>
      </w:tr>
    </w:tbl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6" name="Workflow and automation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6" name="Workflow and automation ico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Lists</w:t>
      </w:r>
    </w:p>
    <w:p>
      <w:pPr>
        <w:pStyle w:val="Heading2"/>
      </w:pPr>
      <w:r>
        <w:t xml:space="preserve">Dash list</w:t>
      </w:r>
    </w:p>
    <w:p>
      <w:pPr>
        <w:spacing w:after="160" w:line="264" w:lineRule="auto"/>
      </w:pPr>
      <w:r>
        <w:t xml:space="preserve">The existing pattern for a short set of outcomes or takeaways, manually indented rather than a native Word list:</w:t>
      </w:r>
    </w:p>
    <w:p>
      <w:pPr>
        <w:spacing w:after="80" w:line="264" w:lineRule="auto"/>
        <w:ind w:left="340" w:hanging="280"/>
      </w:pP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– 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First point, styled with an Ember dash.</w:t>
      </w:r>
    </w:p>
    <w:p>
      <w:pPr>
        <w:spacing w:after="80" w:line="264" w:lineRule="auto"/>
        <w:ind w:left="340" w:hanging="280"/>
      </w:pP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– 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Second point, same treatment.</w:t>
      </w:r>
    </w:p>
    <w:p>
      <w:pPr>
        <w:spacing w:after="80" w:line="264" w:lineRule="auto"/>
        <w:ind w:left="340" w:hanging="280"/>
      </w:pPr>
      <w:r>
        <w:rPr>
          <w:rFonts w:ascii="Public Sans" w:hAnsi="Public Sans" w:cs="Public Sans"/>
          <w:b/>
          <w:bCs/>
          <w:color w:val="F15E4B"/>
          <w:sz w:val="21"/>
          <w:szCs w:val="21"/>
        </w:rPr>
        <w:t xml:space="preserve">– </w:t>
      </w:r>
      <w:r>
        <w:rPr>
          <w:rFonts w:ascii="Public Sans" w:hAnsi="Public Sans" w:cs="Public Sans"/>
          <w:color w:val="27221E"/>
          <w:sz w:val="21"/>
          <w:szCs w:val="21"/>
        </w:rPr>
        <w:t xml:space="preserve">Third point, same treatment.</w:t>
      </w:r>
    </w:p>
    <w:p>
      <w:pPr>
        <w:pStyle w:val="Heading2"/>
      </w:pPr>
      <w:r>
        <w:t xml:space="preserve">Native bulleted list</w:t>
      </w:r>
    </w:p>
    <w:p>
      <w:pPr>
        <w:spacing w:after="160" w:line="264" w:lineRule="auto"/>
      </w:pPr>
      <w:r>
        <w:t xml:space="preserve">A real Word list style, so it renumbers and reflows correctly if items are added or removed:</w:t>
      </w:r>
    </w:p>
    <w:p>
      <w:pPr>
        <w:numPr>
          <w:ilvl w:val="0"/>
          <w:numId w:val="1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First bulleted item.</w:t>
      </w:r>
    </w:p>
    <w:p>
      <w:pPr>
        <w:numPr>
          <w:ilvl w:val="0"/>
          <w:numId w:val="1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Second bulleted item.</w:t>
      </w:r>
    </w:p>
    <w:p>
      <w:pPr>
        <w:numPr>
          <w:ilvl w:val="0"/>
          <w:numId w:val="1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Third bulleted item.</w:t>
      </w:r>
    </w:p>
    <w:p>
      <w:pPr>
        <w:pStyle w:val="Heading2"/>
      </w:pPr>
      <w:r>
        <w:t xml:space="preserve">Native numbered list</w:t>
      </w:r>
    </w:p>
    <w:p>
      <w:pPr>
        <w:spacing w:after="160" w:line="264" w:lineRule="auto"/>
      </w:pPr>
      <w:r>
        <w:t xml:space="preserve">The same mechanism, for ordered steps:</w:t>
      </w:r>
    </w:p>
    <w:p>
      <w:pPr>
        <w:numPr>
          <w:ilvl w:val="0"/>
          <w:numId w:val="2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Read the prompt back before sending it.</w:t>
      </w:r>
    </w:p>
    <w:p>
      <w:pPr>
        <w:numPr>
          <w:ilvl w:val="0"/>
          <w:numId w:val="2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Check who the answer is for.</w:t>
      </w:r>
    </w:p>
    <w:p>
      <w:pPr>
        <w:numPr>
          <w:ilvl w:val="0"/>
          <w:numId w:val="2"/>
        </w:numPr>
        <w:spacing w:after="100" w:line="250" w:lineRule="auto"/>
      </w:pPr>
      <w:r>
        <w:rPr>
          <w:rFonts w:ascii="Public Sans" w:hAnsi="Public Sans" w:cs="Public Sans"/>
          <w:color w:val="27221E"/>
          <w:sz w:val="21"/>
          <w:szCs w:val="21"/>
        </w:rPr>
        <w:t xml:space="preserve">Check what length and tone it should have.</w:t>
      </w:r>
    </w:p>
    <w:p>
      <w:r>
        <w:br w:type="page"/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7" name="Files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7" name="Files ico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Images and figures</w:t>
      </w:r>
    </w:p>
    <w:p>
      <w:pPr>
        <w:spacing w:after="160" w:line="264" w:lineRule="auto"/>
      </w:pPr>
      <w:r>
        <w:t xml:space="preserve">A standalone figure, centred, with a caption below it — here, one of the 36 approved content icons used at illustration size rather than inline:</w:t>
      </w:r>
    </w:p>
    <w:p>
      <w:pPr>
        <w:spacing w:before="120" w:after="80"/>
        <w:jc w:val="center"/>
      </w:pPr>
      <w:r>
        <w:drawing>
          <wp:inline distT="0" distB="0" distL="0" distR="0">
            <wp:extent cx="914400" cy="914400"/>
            <wp:effectExtent l="0" t="0" r="0" b="0"/>
            <wp:docPr id="2018" name="Hybrid AI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8" name="Hybrid AI ico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— a content icon used as a standalone illustration, not inline with text.</w:t>
      </w:r>
    </w:p>
    <w:p>
      <w:pPr>
        <w:pStyle w:val="Heading1"/>
      </w:pPr>
      <w:r>
        <w:drawing>
          <wp:inline distT="0" distB="0" distL="0" distR="0">
            <wp:extent cx="182880" cy="182880"/>
            <wp:effectExtent l="0" t="0" r="0" b="0"/>
            <wp:docPr id="2019" name="Outcomes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9" name="Outcomes ico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Colour palette</w:t>
      </w:r>
    </w:p>
    <w:p>
      <w:pPr>
        <w:spacing w:after="200" w:line="264" w:lineRule="auto"/>
      </w:pPr>
      <w:r>
        <w:t xml:space="preserve">The eight colours everything above is built from. Paper carries a thin Ink border here so it stays visible against the page.</w:t>
      </w:r>
    </w:p>
    <w:tbl>
      <w:tblPr>
        <w:tblW w:w="9744" w:type="dxa"/>
        <w:tblLayout w:type="fixed"/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27221E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18"/>
                <w:szCs w:val="18"/>
              </w:rPr>
              <w:t xml:space="preserve">Ink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F9F9F9"/>
                <w:sz w:val="15"/>
                <w:szCs w:val="15"/>
              </w:rPr>
              <w:t xml:space="preserve">#27221E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15E4B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Ember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#F15E4B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9E8DC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Sand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#F9E8DC</w:t>
            </w:r>
          </w:p>
        </w:tc>
        <w:tc>
          <w:tcPr>
            <w:tcW w:w="2436" w:type="dxa"/>
            <w:tcBorders>
              <w:top w:val="single" w:sz="4" w:color="27221E"/>
              <w:left w:val="single" w:sz="4" w:color="27221E"/>
              <w:bottom w:val="single" w:sz="4" w:color="27221E"/>
              <w:right w:val="single" w:sz="4" w:color="27221E"/>
            </w:tcBorders>
            <w:shd w:val="clear" w:color="auto" w:fill="F9F9F9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Paper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#F9F9F9</w:t>
            </w:r>
          </w:p>
        </w:tc>
      </w:tr>
      <w:t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EFEEED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Mist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#EFEEED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D5E2E1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27221E"/>
                <w:sz w:val="18"/>
                <w:szCs w:val="18"/>
              </w:rPr>
              <w:t xml:space="preserve">Sage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27221E"/>
                <w:sz w:val="15"/>
                <w:szCs w:val="15"/>
              </w:rPr>
              <w:t xml:space="preserve">#D5E2E1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6E6E6E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18"/>
                <w:szCs w:val="18"/>
              </w:rPr>
              <w:t xml:space="preserve">Stone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F9F9F9"/>
                <w:sz w:val="15"/>
                <w:szCs w:val="15"/>
              </w:rPr>
              <w:t xml:space="preserve">#6E6E6E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Public Sans" w:hAnsi="Public Sans" w:cs="Public Sans"/>
                <w:b/>
                <w:bCs/>
                <w:color w:val="F9F9F9"/>
                <w:sz w:val="18"/>
                <w:szCs w:val="18"/>
              </w:rPr>
              <w:t xml:space="preserve">Graphite</w:t>
            </w:r>
          </w:p>
          <w:p>
            <w:pPr>
              <w:spacing w:after="0"/>
              <w:jc w:val="center"/>
            </w:pPr>
            <w:r>
              <w:rPr>
                <w:rFonts w:ascii="Public Sans" w:hAnsi="Public Sans" w:cs="Public Sans"/>
                <w:color w:val="F9F9F9"/>
                <w:sz w:val="15"/>
                <w:szCs w:val="15"/>
              </w:rPr>
              <w:t xml:space="preserve">#404040</w:t>
            </w:r>
          </w:p>
        </w:tc>
      </w:tr>
    </w:tbl>
    <w:p>
      <w:pPr>
        <w:spacing w:after="160"/>
      </w:pPr>
    </w:p>
    <w:p>
      <w:pPr>
        <w:pStyle w:val="Caption"/>
        <w:jc w:val="center"/>
      </w:pPr>
      <w:r>
        <w:t xml:space="preserve">End of style reference.</w:t>
      </w:r>
    </w:p>
    <w:sectPr>
      <w:footerReference w:type="default" r:id="rIdFooter"/>
      <w:pgSz w:w="11906" w:h="16838"/>
      <w:pgMar w:top="1080" w:right="1080" w:bottom="1080" w:left="1080" w:header="708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164592" cy="164592"/>
          <wp:effectExtent l="0" t="0" r="0" b="0"/>
          <wp:docPr id="1010" name="Grounded AI Practice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0" name="Grounded AI Practice symbol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" cy="164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ublic Sans" w:hAnsi="Public Sans" w:cs="Public Sans"/>
        <w:color w:val="6E6E6E"/>
        <w:sz w:val="16"/>
        <w:szCs w:val="16"/>
      </w:rPr>
      <w:t xml:space="preserve">  Grounded AI Practice — Style Reference (example)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  <w:rPr>
        <w:rFonts w:ascii="Public Sans" w:hAnsi="Public Sans" w:cs="Public Sans" w:hint="default"/>
        <w:color w:val="F15E4B"/>
        <w:sz w:val="21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  <w:rPr>
        <w:rFonts w:ascii="Public Sans" w:hAnsi="Public Sans" w:cs="Public Sans" w:hint="default"/>
        <w:b/>
        <w:color w:val="F15E4B"/>
        <w:sz w:val="2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Public Sans" w:hAnsi="Public Sans" w:cs="Public Sans"/>
        <w:sz w:val="21"/>
        <w:szCs w:val="21"/>
        <w:color w:val="27221E"/>
      </w:rPr>
    </w:rPrDefault>
    <w:pPrDefault>
      <w:pPr>
        <w:spacing w:after="2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"/>
    <w:qFormat/>
    <w:pPr>
      <w:spacing w:before="160" w:after="40"/>
    </w:pPr>
    <w:rPr>
      <w:rFonts w:ascii="Public Sans" w:hAnsi="Public Sans" w:cs="Public Sans"/>
      <w:b/>
      <w:bCs/>
      <w:color w:val="27221E"/>
      <w:sz w:val="56"/>
      <w:szCs w:val="56"/>
    </w:rPr>
  </w:style>
  <w:style w:type="paragraph" w:styleId="Subtitle">
    <w:name w:val="Subtitle"/>
    <w:basedOn w:val="Normal"/>
    <w:next w:val="Normal"/>
    <w:uiPriority w:val="2"/>
    <w:qFormat/>
    <w:pPr>
      <w:spacing w:after="120"/>
    </w:pPr>
    <w:rPr>
      <w:rFonts w:ascii="Public Sans" w:hAnsi="Public Sans" w:cs="Public Sans"/>
      <w:b/>
      <w:bCs/>
      <w:color w:val="F15E4B"/>
      <w:sz w:val="30"/>
      <w:szCs w:val="30"/>
    </w:rPr>
  </w:style>
  <w:style w:type="paragraph" w:styleId="Heading1">
    <w:name w:val="heading 1"/>
    <w:basedOn w:val="Normal"/>
    <w:next w:val="Normal"/>
    <w:uiPriority w:val="3"/>
    <w:qFormat/>
    <w:pPr>
      <w:pBdr>
        <w:bottom w:val="single" w:sz="6" w:space="4" w:color="D5E2E1"/>
      </w:pBdr>
      <w:spacing w:before="280" w:after="160"/>
      <w:outlineLvl w:val="0"/>
    </w:pPr>
    <w:rPr>
      <w:rFonts w:ascii="Public Sans" w:hAnsi="Public Sans" w:cs="Public Sans"/>
      <w:b/>
      <w:bCs/>
      <w:color w:val="27221E"/>
      <w:sz w:val="26"/>
      <w:szCs w:val="26"/>
    </w:rPr>
  </w:style>
  <w:style w:type="paragraph" w:styleId="Heading2">
    <w:name w:val="heading 2"/>
    <w:basedOn w:val="Normal"/>
    <w:next w:val="Normal"/>
    <w:uiPriority w:val="4"/>
    <w:qFormat/>
    <w:pPr>
      <w:spacing w:before="220" w:after="120"/>
      <w:outlineLvl w:val="1"/>
    </w:pPr>
    <w:rPr>
      <w:rFonts w:ascii="Public Sans" w:hAnsi="Public Sans" w:cs="Public Sans"/>
      <w:b/>
      <w:bCs/>
      <w:color w:val="27221E"/>
      <w:sz w:val="24"/>
      <w:szCs w:val="24"/>
    </w:rPr>
  </w:style>
  <w:style w:type="paragraph" w:styleId="Heading3">
    <w:name w:val="heading 3"/>
    <w:basedOn w:val="Normal"/>
    <w:next w:val="Normal"/>
    <w:uiPriority w:val="5"/>
    <w:qFormat/>
    <w:pPr>
      <w:spacing w:before="180" w:after="100"/>
      <w:outlineLvl w:val="2"/>
    </w:pPr>
    <w:rPr>
      <w:rFonts w:ascii="Public Sans" w:hAnsi="Public Sans" w:cs="Public Sans"/>
      <w:b/>
      <w:bCs/>
      <w:color w:val="404040"/>
      <w:sz w:val="22"/>
      <w:szCs w:val="22"/>
    </w:rPr>
  </w:style>
  <w:style w:type="paragraph" w:styleId="Caption">
    <w:name w:val="caption"/>
    <w:basedOn w:val="Normal"/>
    <w:next w:val="Normal"/>
    <w:uiPriority w:val="6"/>
    <w:qFormat/>
    <w:pPr>
      <w:spacing w:after="200"/>
    </w:pPr>
    <w:rPr>
      <w:rFonts w:ascii="Public Sans" w:hAnsi="Public Sans" w:cs="Public Sans"/>
      <w:i/>
      <w:iCs/>
      <w:color w:val="6E6E6E"/>
      <w:sz w:val="17"/>
      <w:szCs w:val="17"/>
    </w:rPr>
  </w:style>
  <w:style w:type="paragraph" w:styleId="Quote">
    <w:name w:val="Quote"/>
    <w:basedOn w:val="Normal"/>
    <w:next w:val="Normal"/>
    <w:uiPriority w:val="7"/>
    <w:qFormat/>
    <w:pPr>
      <w:spacing w:after="200" w:line="280" w:lineRule="auto"/>
    </w:pPr>
    <w:rPr>
      <w:rFonts w:ascii="Public Sans" w:hAnsi="Public Sans" w:cs="Public Sans"/>
      <w:i/>
      <w:iCs/>
      <w:color w:val="27221E"/>
      <w:sz w:val="24"/>
      <w:szCs w:val="24"/>
    </w:rPr>
  </w:style>
  <w:style w:type="paragraph" w:styleId="Eyebrow">
    <w:name w:val="Eyebrow"/>
    <w:basedOn w:val="Normal"/>
    <w:next w:val="Normal"/>
    <w:uiPriority w:val="8"/>
    <w:qFormat/>
    <w:pPr>
      <w:spacing w:after="20"/>
    </w:pPr>
    <w:rPr>
      <w:rFonts w:ascii="Public Sans" w:hAnsi="Public Sans" w:cs="Public Sans"/>
      <w:b/>
      <w:bCs/>
      <w:color w:val="6E6E6E"/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4" Type="http://schemas.openxmlformats.org/officeDocument/2006/relationships/image" Target="media/logo_lockup_horizontal_512.png"/><Relationship Id="rId5" Type="http://schemas.openxmlformats.org/officeDocument/2006/relationships/image" Target="media/purpose_128.png"/><Relationship Id="rId6" Type="http://schemas.openxmlformats.org/officeDocument/2006/relationships/image" Target="media/tip_128.png"/><Relationship Id="rId7" Type="http://schemas.openxmlformats.org/officeDocument/2006/relationships/image" Target="media/warning_128.png"/><Relationship Id="rId8" Type="http://schemas.openxmlformats.org/officeDocument/2006/relationships/image" Target="media/verification_128.png"/><Relationship Id="rId9" Type="http://schemas.openxmlformats.org/officeDocument/2006/relationships/image" Target="media/information_128.png"/><Relationship Id="rId10" Type="http://schemas.openxmlformats.org/officeDocument/2006/relationships/image" Target="media/learning_and_documentation_128.png"/><Relationship Id="rId11" Type="http://schemas.openxmlformats.org/officeDocument/2006/relationships/image" Target="media/quote_callout_128.png"/><Relationship Id="rId12" Type="http://schemas.openxmlformats.org/officeDocument/2006/relationships/image" Target="media/principles_128.png"/><Relationship Id="rId13" Type="http://schemas.openxmlformats.org/officeDocument/2006/relationships/image" Target="media/architecture_128.png"/><Relationship Id="rId14" Type="http://schemas.openxmlformats.org/officeDocument/2006/relationships/image" Target="media/workflow_and_automation_128.png"/><Relationship Id="rId15" Type="http://schemas.openxmlformats.org/officeDocument/2006/relationships/image" Target="media/files_128.png"/><Relationship Id="rId16" Type="http://schemas.openxmlformats.org/officeDocument/2006/relationships/image" Target="media/outcomes_128.png"/><Relationship Id="rId17" Type="http://schemas.openxmlformats.org/officeDocument/2006/relationships/image" Target="media/hybrid_ai_256.png"/><Relationship Id="rIdNumbering" Type="http://schemas.openxmlformats.org/officeDocument/2006/relationships/numbering" Target="numbering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logo_symbol_25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Grounded AI Practice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 Reference — Example Format</dc:title>
  <dc:creator>Grounded AI Practice</dc:creator>
  <cp:lastModifiedBy>Grounded AI Practice</cp:lastModifiedBy>
  <dcterms:created xsi:type="dcterms:W3CDTF">2026-07-27T00:00:00Z</dcterms:created>
  <dcterms:modified xsi:type="dcterms:W3CDTF">2026-07-27T00:00:00Z</dcterms:modified>
</cp:coreProperties>
</file>