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맑은 고딕" w:cs="맑은 고딕" w:eastAsia="맑은 고딕" w:hAnsi="맑은 고딕"/>
          <w:color w:val="2E74B5"/>
          <w:sz w:val="18"/>
          <w:szCs w:val="18"/>
        </w:rPr>
        <w:t xml:space="preserve">2026 경상남도 빅데이터 활용 공모전 · 1부문 | 분석내용 요약서</w:t>
      </w:r>
    </w:p>
    <w:p>
      <w:pPr>
        <w:spacing w:after="20" w:before="12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이음(E-um) — 생활인구는 왜 지역 소비로 이어지지 않는가</w:t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경남 인구감소지역의 생활인구 대비 카드매출 부족 위험도 분석과 지역 유형 분류</w:t>
      </w:r>
    </w:p>
    <w:p>
      <w:pPr>
        <w:pBdr>
          <w:bottom w:val="single" w:color="2E74B5" w:sz="6" w:space="1"/>
        </w:pBdr>
        <w:spacing w:after="80"/>
        <w:jc w:val="center"/>
      </w:pPr>
      <w:r>
        <w:rPr>
          <w:rFonts w:ascii="맑은 고딕" w:cs="맑은 고딕" w:eastAsia="맑은 고딕" w:hAnsi="맑은 고딕"/>
          <w:sz w:val="17"/>
          <w:szCs w:val="17"/>
        </w:rPr>
        <w:t xml:space="preserve">팀명 E-um   |   팀원 김재민 · 강원준 · 오수환   |   2026. 6.</w:t>
      </w:r>
    </w:p>
    <w:p>
      <w:pPr>
        <w:spacing w:after="30" w:before="11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■ 문제의식  </w:t>
      </w:r>
      <w:r>
        <w:rPr>
          <w:rFonts w:ascii="맑은 고딕" w:cs="맑은 고딕" w:eastAsia="맑은 고딕" w:hAnsi="맑은 고딕"/>
          <w:sz w:val="18"/>
          <w:szCs w:val="18"/>
        </w:rPr>
        <w:t xml:space="preserve">“사람이 없어서가 아니라, 있는 사람이 소비로 이어지지 않는 것은 아닌가?” 카드매출(실제 소비)과 생활인구(실제 체류 흐름)를 결합해, 생활인구가 지역 소비로 전환되는 정도를 생활인구 대비 카드소비 수준을 나타내는 MI(Mismatch Index)로 정량화한다.</w:t>
      </w:r>
    </w:p>
    <w:p>
      <w:pPr>
        <w:spacing w:after="30" w:before="11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■ 데이터  </w:t>
      </w:r>
      <w:r>
        <w:rPr>
          <w:rFonts w:ascii="맑은 고딕" w:cs="맑은 고딕" w:eastAsia="맑은 고딕" w:hAnsi="맑은 고딕"/>
          <w:sz w:val="18"/>
          <w:szCs w:val="18"/>
        </w:rPr>
        <w:t xml:space="preserve">2024년 경남 카드매출 3종(월별·시간대별·성연령별, 경남 빅데이터 허브플랫폼) + KOSIS 인구감소지역 생활인구 + 통계청 시군 행정경계. 분석 대상은 13개 인구감소·관심지역.</w:t>
      </w:r>
    </w:p>
    <w:p>
      <w:pPr>
        <w:spacing w:after="30" w:before="11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■ 분석 방법  </w:t>
      </w:r>
      <w:r>
        <w:rPr>
          <w:rFonts w:ascii="맑은 고딕" w:cs="맑은 고딕" w:eastAsia="맑은 고딕" w:hAnsi="맑은 고딕"/>
          <w:sz w:val="18"/>
          <w:szCs w:val="18"/>
        </w:rPr>
        <w:t xml:space="preserve">생활인구 결합으로 가능해진 신규 지표 MI·CPC·STI 등 9개 지표 산출 → 이음-Cluster(7개 지표 K-means, 침체 4유형) → 이음-Detect(RandomForest+SHAP, 원인 정량 분해) → 이음-Simulate(개선 반사실 시뮬레이션 + 위험점수 민감도). 전 과정 random_state=42 재현성 고정.</w:t>
      </w:r>
    </w:p>
    <w:p>
      <w:pPr>
        <w:spacing w:after="30" w:before="11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■ 핵심 결과  </w:t>
      </w:r>
      <w:r>
        <w:rPr>
          <w:rFonts w:ascii="맑은 고딕" w:cs="맑은 고딕" w:eastAsia="맑은 고딕" w:hAnsi="맑은 고딕"/>
          <w:sz w:val="18"/>
          <w:szCs w:val="18"/>
        </w:rPr>
        <w:t xml:space="preserve">① 침체 4유형(방문대비 소비부족형 / 외지방문 의존형 / 혼합 경계형 /소비 안정형) 분류. ② 인구감소지역 내부에도 1인당 소비력(CPC) 7.6배 양극화. ③ 위험점수 우선 개선 TOP5 = 하동·함양·합천·남해·의령. ④ 방문대비 소비부족형(산청·의령·합천)은 비지도 군집·공간 연속성으로 교차 입증되어 우연이 아닌 구조적 패턴.</w:t>
      </w:r>
    </w:p>
    <w:p>
      <w:pPr>
        <w:spacing w:after="30" w:before="11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■ 정책 개선 방안  </w:t>
      </w:r>
      <w:r>
        <w:rPr>
          <w:rFonts w:ascii="맑은 고딕" w:cs="맑은 고딕" w:eastAsia="맑은 고딕" w:hAnsi="맑은 고딕"/>
          <w:sz w:val="18"/>
          <w:szCs w:val="18"/>
        </w:rPr>
        <w:t xml:space="preserve">외지방문 의존형(하동·함양): 외부 방문객 체류·연계 + 지역화폐로 경남 외 소비 회수. 방문대비 소비부족형(합천·의령·산청): 생활밀착 객단가 제고 + 관광 통과를 체류 소비로 전환.</w:t>
      </w:r>
    </w:p>
    <w:p>
      <w:pPr>
        <w:spacing w:after="30" w:before="11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■ 기대효과(탐색적 추정)  </w:t>
      </w:r>
      <w:r>
        <w:rPr>
          <w:rFonts w:ascii="맑은 고딕" w:cs="맑은 고딕" w:eastAsia="맑은 고딕" w:hAnsi="맑은 고딕"/>
          <w:sz w:val="18"/>
          <w:szCs w:val="18"/>
        </w:rPr>
        <w:t xml:space="preserve">방문 1인당 월 +1,000원(커피 한 잔 값 미만) 객단가 개선 시, 방문대비 소비부족형 3곳(산청·의령·합천)에서 연 약 +78억 원의 지역 매출 증가. 생활인구가 방문 흐름의 합계이므로 작은 1인당 변화가 큰 총량 효과로 이어진다.</w:t>
      </w:r>
    </w:p>
    <w:p>
      <w:pPr>
        <w:spacing w:after="30" w:before="11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■ 검증·강건성  </w:t>
      </w:r>
      <w:r>
        <w:rPr>
          <w:rFonts w:ascii="맑은 고딕" w:cs="맑은 고딕" w:eastAsia="맑은 고딕" w:hAnsi="맑은 고딕"/>
          <w:sz w:val="18"/>
          <w:szCs w:val="18"/>
        </w:rPr>
        <w:t xml:space="preserve">개선 반사실 시뮬레이션에서 개선 대상만 위험점수가 하락하고 미적용 시군은 불변(효과 귀속 확인). 위험점수 가중치를 ±0.05 무작위 교란(3,000회)해도 우선 개선 TOP5가 100% 유지되고 하동은 항상 1위로, 산식 자의성에 강건함을 확인.</w:t>
      </w:r>
    </w:p>
    <w:p>
      <w:pPr>
        <w:pBdr>
          <w:bottom w:val="single" w:color="2E74B5" w:sz="6" w:space="1"/>
        </w:pBdr>
        <w:spacing w:before="120"/>
      </w:pPr>
      <w:r>
        <w:rPr>
          <w:rFonts w:ascii="맑은 고딕" w:cs="맑은 고딕" w:eastAsia="맑은 고딕" w:hAnsi="맑은 고딕"/>
          <w:sz w:val="4"/>
          <w:szCs w:val="4"/>
        </w:rPr>
        <w:t xml:space="preserve"/>
      </w:r>
    </w:p>
    <w:p>
      <w:pPr>
        <w:spacing w:before="40"/>
      </w:pPr>
      <w:r>
        <w:rPr>
          <w:rFonts w:ascii="맑은 고딕" w:cs="맑은 고딕" w:eastAsia="맑은 고딕" w:hAnsi="맑은 고딕"/>
          <w:i/>
          <w:iCs/>
          <w:color w:val="666666"/>
          <w:sz w:val="15"/>
          <w:szCs w:val="15"/>
        </w:rPr>
        <w:t xml:space="preserve">※ 생활인구는 월별 방문 흐름의 합계이므로 MI·CPC는 상대 비교 지표이며, K-means·SHAP·기대효과는 표본 13개의 탐색적 분석이다.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2026-06-07T11:28:53.951Z</dcterms:created>
  <dcterms:modified xsi:type="dcterms:W3CDTF">2026-06-07T11:28:53.952Z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