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>
      <w:pPr>
        <w:spacing w:before="160" w:after="60"/>
      </w:pPr>
      <w:r>
        <w:rPr>
          <w:b/>
          <w:bCs/>
          <w:sz w:val="22"/>
          <w:szCs w:val="22"/>
          <w:color w:val="1F4E79"/>
        </w:rPr>
        <w:t>■ 선행연구 검토 — 기존 상권진단의 한계와 이음(MI)의 차별점</w:t>
      </w:r>
    </w:p>
    <w:p>
      <w:pPr>
        <w:spacing w:after="80"/>
      </w:pPr>
      <w:r>
        <w:t xml:space="preserve">기존 상권진단은 유동인구·매출 등 정량지표에 의존하거나 생활인구를 ‘규모’로만 활용해, 생활인구가 실제 소비로 전환되는 정도(소비-유동 불일치)는 측정하지 못했다. 이음은 카드매출×생활인구로 이 공백을 MI로 메운다.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2600"/>
        <w:gridCol w:w="1900"/>
        <w:gridCol w:w="2150"/>
        <w:gridCol w:w="2376"/>
      </w:tblGrid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선행 접근 · 출처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핵심 기여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한계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차별점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상권–유동인구 실증연구 (대한교통학회)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유동인구↔매출 양(+)의 상관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유동인구를 매출의 투입으로만 봄 — 소비 전환 효율은 미측정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 대비 소비전환을 MI로 직접 정량화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서울시 상권분석 서비스 (KT 생활인구 기반)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생활인구로 점포·매출·유동 지표 제공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지표 나열식 — 소비-유동 불일치 진단·유형분류·처방 없음(대도시 중심)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인구감소 시군 특화 + 4유형 분류·처방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「인구감소지역과 생활밀접업종 관계 분석」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생활인구↔소비(생활밀접업종) 연동 입증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관계 규명에 그침 — 시군별 진단지수·처방 부재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MI·CPC로 지수화 + Detect·Simulate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 생활인구 산정」(2024)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생활인구=등록인구 약 4배 공식 산정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 통계만 — 소비 결합 없음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카드매출 결합으로 소비전환 측정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KDI 「인구 요인이 소비성향에 미치는 영향」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인구–소비 거시 연계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거시·전국 단위 — 시군 상권 미시진단 아님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시군 단위 미시 진단·처방</w:t>
            </w:r>
          </w:p>
        </w:tc>
      </w:tr>
    </w:tbl>
    <w:p>
      <w:pPr>
        <w:spacing w:after="120"/>
      </w:pP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FA4116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한국관광 데이터랩(신한카드)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관광형 처방(체류전환)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30대 이하 청년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가로축 MI(소비-유동 불일치)와 세로축 LRR(경남권 소비자 비중)의 2차원 위치. 좌하단(둘 다 낮음)이 외지방문 의존형(하동·함양), 우상단이 소비 안정형(통영·사천). 원 크기는 생활인구.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7개 지표를 2차원으로 축약(PCA)해 K-means 4유형이 평면상 분리됨을 확인. 군집이 겹치지 않아 유형 구분이 유효함을 보인다.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4개 핵심지표(MI·LRR·CPC·STI)를 시군별 막대로 비교. 막대 색은 침체유형이며, MI·CPC가 낮은 지역일수록 소비전환이 취약하다.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시군별 월별 생활인구(1월=100 정규화). 여름철 급증 지역은 관광 계절편중(STI 높음)을 뜻한다(예: 산청).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위험점수가 높을수록 진한 색. 하동·함양이 가장 진해 최우선 처방 대상임을 한눈에 보여준다.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13개 시군을 유형 색상으로 지도에 투영. 서부내륙(하동·함양·산청·합천·의령)에 침체가 띠처럼 연속 분포함이 드러난다.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각 시군 위험점수를 MI·CPC·LRR·TREND 기여로 분해. 위험 상위 전 지역에서 MI(진빨강)가 최대 기여 — 침체의 축이 소비전환 실패임을 정량 확인.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MI를 설명하는 구조지표 기여도(RandomForest+SHAP). TREND(매출추세)·CDI(업종집중)·NAR(야간) 순으로 소비-유동 불일치에 크게 기여한다.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처방(객단가 +1,000원) 적용 시 위험점수 변화. 처방대상(진빨강)만 하락하고 미처방(파랑)은 불변 — 효과가 대상 지역에만 귀속됨을 보인다.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>
      <w:pPr>
        <w:spacing w:before="120" w:after="120"/>
      </w:pPr>
      <w:r>
        <w:rPr>
          <w:i/>
          <w:iCs/>
          <w:sz w:val="18"/>
          <w:szCs w:val="18"/>
          <w:color w:val="555555"/>
        </w:rPr>
        <w:t xml:space="preserve">※ [시계열 보강·탐색적] 경남 빅데이터 허브플랫폼 카드매출(2023→2024) 비교 결과, 하동·함양의 1인당 결제액(객단가)이 약 1,400원 감소(타 유형은 보합)해 두 지역의 소비력 약화가 진행 중임을 시계열로도 확인했다 — 최우선 대응의 시급성을 뒷받침한다. (두 해의 카드 집계표본 규모 차이로, 절대 매출이 아닌 객단가·비중 변화만 비교한 탐색적 분석)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관광형 4곳의 업종 구성. 체류성(숙박+여가)이 산청 1.8%에서 남해 23.4%로 커진다. 산청·하동은 통과형, 남해는 체류형.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5D401001" w14:textId="77777777" w:rsidR="00FA4116" w:rsidRDefault="00000000">
      <w:pPr>
        <w:pStyle w:val="2"/>
      </w:pPr>
      <w:bookmarkStart w:id="50" w:name="_Toc231757099"/>
      <w:r>
        <w:t>5.4 처방전 카드 — 하동군(시범)</w:t>
      </w:r>
      <w:bookmarkEnd w:id="50"/>
    </w:p>
    <w:p>
      <w:pPr>
        <w:spacing w:after="80"/>
      </w:pPr>
      <w:r>
        <w:t xml:space="preserve">진단을 실행 단위로 전환한 시범 처방전이다. 우선순위 1위 하동을 대상으로, 소상공인 상가정보로 체류 인프라 공백을 공간적으로 특정해 처방을 구체화했다.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637117"/>
            <wp:effectExtent l="0" t="0" r="0" b="0"/>
            <wp:docPr id="901002" name="하동 상가 공간진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bCs/>
          <w:sz w:val="18"/>
          <w:szCs w:val="18"/>
        </w:rPr>
        <w:t>그림 11. 하동 읍·면별 체류 인프라 분포 (소상공인 상가정보, 2026)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하동 읍·면별 점포수(가로)와 체류비중(세로). 우하단 하동읍·진교면은 점포는 많지만 체류 인프라가 비어(공백) 체류전환 처방의 우선 대상이다.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외지방문 의존형 · 위험점수 1위(0.865) · MI −0.865 · LRR 0.729(경남 소비자 비중↓ = 외지 의존) · CPC 13,240원/월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(이음-Detect) 야간 활성도(NAR) 최약 + 외지 의존 / 관광은 통과형(체류 6.6%)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(상가정보) 체류 인프라(숙박·여가)가 화개면 28.9%·청암면 31.9%(지리산 관광지)에 편중. 점포 최다 하동읍(826)·진교면(378)은 체류비중 5%대로 공백 — [그림 11]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① 하동읍·진교면에 체류·야간 콘텐츠(숙박·체험·소규모 공연) 유치 → 관광 통과를 읍 상권 체류로 전환  ② 지역화폐 페이백으로 경남 외 소비 회수(LRR↑)  ③ 화개(숙박 거점)–하동읍(생활상권) 셔틀·결제 동선 연계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방문 1인당 객단가 +1,000원 · 하동읍·진교면 체류업종 비중 5%→10% · 야간(18–23시) 매출 비중 ↑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연 +30.5억 (생활인구 254,547 × 12개월 × 1,000원, 탐색적 추정)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합천군 (방문대비 소비부족형) — 처방전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3위(0.775) · MI −1.016(13곳 최저) · CPC 11,380원(최저) · STI 0.065(정주형)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TREND(매출 감소세)가 최대 동인 — 유동 대비 소비가 극히 낮음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1,923개 중 합천읍 40% 집중 · 음식+소매 68%(생활업종 위주)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합천읍 거점 상권에 생활밀착 객단가↑ 지원  ② 매출 감소세 업종 정밀진단·맞춤지원  ③ 지역화폐로 역내 소비 결속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객단가 +1,000원 · 합천읍 상권 매출 추세 전환(− → +)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연 +30.6억 (생활인구 254,764 × 12 × 1,000원, 탐색적)</w:t>
            </w:r>
          </w:p>
        </w:tc>
      </w:tr>
    </w:tbl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남해군 (혼합 경계형) — 모니터링·예방 카드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4위(0.709) · MI −0.610 · 관광 체류 인프라 27%(상가, 비교적 양호)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TREND(감소세) — 경계선상, 악화 시 소비부족형 전락 위험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3,218개 · 남해읍 33% + 체류업종 27%로 관광자산 보유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대응(모니터링)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MI·TREND·객단가 분기 감시, 임계값(MI &lt; −0.7 또는 TREND &lt; 0) 도달 시 처방형 전환  ② 보유 관광 체류자산을 소비전환으로 선제 강화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분기 MI·TREND 추적 · 임계값 도달 여부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기대효과(참고)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소비전환 시 연 +35.7억 여력</w:t>
            </w:r>
          </w:p>
        </w:tc>
      </w:tr>
    </w:tbl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거창군 (소비 안정형) — 회복 거점 활용 카드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11위(0.227, 낮음) · MI +0.727(양수) · CPC 65,036원(군 단위 최고)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특성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뚜렷한 위험 동인 없음(고령 AGI 미약) — 전반 양호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3,304개 중 거창읍 78% 초집중 = 서부내륙 상권 거점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활용(거점)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거창읍을 서부내륙 광역 소비 거점으로  ② 인접 침체지역(함양·산청·합천) 방문·소비 연계  ③ 거점 기능 강화로 역외 유출 차단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인접지역 방문자의 거창 경유·연계 소비율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비고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처방 대상 아님 — 거점·완충 역할</w:t>
            </w:r>
          </w:p>
        </w:tc>
      </w:tr>
    </w:tbl>
    <w:p>
      <w:pPr>
        <w:spacing w:after="120"/>
      </w:pP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