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맑은 고딕" w:cs="맑은 고딕" w:eastAsia="맑은 고딕" w:hAnsi="맑은 고딕"/>
          <w:color w:val="2E74B5"/>
          <w:sz w:val="22"/>
          <w:szCs w:val="22"/>
        </w:rPr>
        <w:t xml:space="preserve">2026 경상남도 빅데이터 활용 공모전 · 1부문(빅데이터 분석)</w:t>
      </w:r>
    </w:p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이음(E-um)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생활인구는 왜 지역 소비로 이어지지 않는가</w:t>
      </w:r>
    </w:p>
    <w:p>
      <w:pPr>
        <w:spacing w:after="100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— 경남 인구감소지역의 소비-유동 불일치 진단과 유형별 처방 —</w:t>
      </w:r>
    </w:p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분석 대상: 경남 13개 인구감소·관심지역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데이터: 2024년 카드매출 3종 + KOSIS 생활인구</w:t>
      </w:r>
    </w:p>
    <w:p>
      <w:pPr>
        <w:spacing w:after="60" w:before="40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팀명  ［팀명 기입］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팀원  김재민 · 강원준 · 오수환</w:t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2026년 6월</w:t>
      </w:r>
    </w:p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 — 문제 제기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경남 인구감소지역 상권 정책은 오랫동안 </w:t>
      </w:r>
      <w:r>
        <w:rPr>
          <w:rFonts w:ascii="맑은 고딕" w:cs="맑은 고딕" w:eastAsia="맑은 고딕" w:hAnsi="맑은 고딕"/>
          <w:b/>
          <w:bCs/>
        </w:rPr>
        <w:t xml:space="preserve">"사람이 없으니 상권이 죽는다"</w:t>
      </w:r>
      <w:r>
        <w:rPr>
          <w:rFonts w:ascii="맑은 고딕" w:cs="맑은 고딕" w:eastAsia="맑은 고딕" w:hAnsi="맑은 고딕"/>
        </w:rPr>
        <w:t xml:space="preserve">는 전제 위에 있었다.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그러나 이 전제는 현실의 절반만 설명한다. 어떤 지역은 관광·계절 유입으로 방문 인구가 적지 않은데도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지역 소비가 일어나지 않고, 어떤 지역은 외부 방문객에 기댄 구조에서 매출이 오히려 줄고 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본 연구의 핵심 질문은 다음과 같다.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"문제는 사람이 없는 것인가, 아니면 있는 사람이 소비로 이어지지 않는 것인가?"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이를 데이터로 답하기 위해, 우리는 </w:t>
      </w:r>
      <w:r>
        <w:rPr>
          <w:rFonts w:ascii="맑은 고딕" w:cs="맑은 고딕" w:eastAsia="맑은 고딕" w:hAnsi="맑은 고딕"/>
          <w:b/>
          <w:bCs/>
        </w:rPr>
        <w:t xml:space="preserve">카드매출(실제 소비)</w:t>
      </w:r>
      <w:r>
        <w:rPr>
          <w:rFonts w:ascii="맑은 고딕" w:cs="맑은 고딕" w:eastAsia="맑은 고딕" w:hAnsi="맑은 고딕"/>
        </w:rPr>
        <w:t xml:space="preserve">과 </w:t>
      </w:r>
      <w:r>
        <w:rPr>
          <w:rFonts w:ascii="맑은 고딕" w:cs="맑은 고딕" w:eastAsia="맑은 고딕" w:hAnsi="맑은 고딕"/>
          <w:b/>
          <w:bCs/>
        </w:rPr>
        <w:t xml:space="preserve">생활인구(실제 방문 흐름)</w:t>
      </w:r>
      <w:r>
        <w:rPr>
          <w:rFonts w:ascii="맑은 고딕" w:cs="맑은 고딕" w:eastAsia="맑은 고딕" w:hAnsi="맑은 고딕"/>
        </w:rPr>
        <w:t xml:space="preserve">를 결합하여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*생활인구가 지역 소비로 전환되는 정도*를 정량화하는 진단 모델 </w:t>
      </w:r>
      <w:r>
        <w:rPr>
          <w:rFonts w:ascii="맑은 고딕" w:cs="맑은 고딕" w:eastAsia="맑은 고딕" w:hAnsi="맑은 고딕"/>
          <w:b/>
          <w:bCs/>
        </w:rPr>
        <w:t xml:space="preserve">「이음(E-um)」</w:t>
      </w:r>
      <w:r>
        <w:rPr>
          <w:rFonts w:ascii="맑은 고딕" w:cs="맑은 고딕" w:eastAsia="맑은 고딕" w:hAnsi="맑은 고딕"/>
        </w:rPr>
        <w:t xml:space="preserve">을 설계했다.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핵심 지표는 소비-유동 불일치 지수 </w:t>
      </w:r>
      <w:r>
        <w:rPr>
          <w:rFonts w:ascii="맑은 고딕" w:cs="맑은 고딕" w:eastAsia="맑은 고딕" w:hAnsi="맑은 고딕"/>
          <w:b/>
          <w:bCs/>
        </w:rPr>
        <w:t xml:space="preserve">MI(Mismatch Index)</w:t>
      </w:r>
      <w:r>
        <w:rPr>
          <w:rFonts w:ascii="맑은 고딕" w:cs="맑은 고딕" w:eastAsia="맑은 고딕" w:hAnsi="맑은 고딕"/>
        </w:rPr>
        <w:t xml:space="preserve">이다.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E-um은 13개 지역을 (1) 통계적으로 </w:t>
      </w:r>
      <w:r>
        <w:rPr>
          <w:rFonts w:ascii="맑은 고딕" w:cs="맑은 고딕" w:eastAsia="맑은 고딕" w:hAnsi="맑은 고딕"/>
          <w:b/>
          <w:bCs/>
        </w:rPr>
        <w:t xml:space="preserve">유형화</w:t>
      </w:r>
      <w:r>
        <w:rPr>
          <w:rFonts w:ascii="맑은 고딕" w:cs="맑은 고딕" w:eastAsia="맑은 고딕" w:hAnsi="맑은 고딕"/>
        </w:rPr>
        <w:t xml:space="preserve">하고, (2) 유형별 </w:t>
      </w:r>
      <w:r>
        <w:rPr>
          <w:rFonts w:ascii="맑은 고딕" w:cs="맑은 고딕" w:eastAsia="맑은 고딕" w:hAnsi="맑은 고딕"/>
          <w:b/>
          <w:bCs/>
        </w:rPr>
        <w:t xml:space="preserve">원인을 분리</w:t>
      </w:r>
      <w:r>
        <w:rPr>
          <w:rFonts w:ascii="맑은 고딕" w:cs="맑은 고딕" w:eastAsia="맑은 고딕" w:hAnsi="맑은 고딕"/>
        </w:rPr>
        <w:t xml:space="preserve">하며,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(3) 가진 데이터 안에서 </w:t>
      </w:r>
      <w:r>
        <w:rPr>
          <w:rFonts w:ascii="맑은 고딕" w:cs="맑은 고딕" w:eastAsia="맑은 고딕" w:hAnsi="맑은 고딕"/>
          <w:b/>
          <w:bCs/>
        </w:rPr>
        <w:t xml:space="preserve">실행 가능한 처방과 기대효과</w:t>
      </w:r>
      <w:r>
        <w:rPr>
          <w:rFonts w:ascii="맑은 고딕" w:cs="맑은 고딕" w:eastAsia="맑은 고딕" w:hAnsi="맑은 고딕"/>
        </w:rPr>
        <w:t xml:space="preserve">까지 제시한다.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데이터 및 전처리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2.1 수집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데이터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파일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출처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용도(지표)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월별 카드매출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2024년 경상남도 지역별 월별 카드매출현황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경남 빅데이터 허브플랫폼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LRR·CDI·TREND·연간매출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시간대별 카드매출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〃 시간대별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〃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NAR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성연령별 카드매출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〃 성연령별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〃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AGI·YR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생활인구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101_DT_1YL12002E (인구감소지역 생활인구)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KOSIS(통계청·행안부, 통신3사 기반)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MI·CPC·STI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행정경계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시군구 행정경계 (시각화용)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통계청 KOSTAT 시군구 경계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침체유형·위험점수 지도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모든 카드 CSV 인코딩: `cp949`. 시군구명 표기 변형은 표준화 사전으로 통일.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생활인구: 「월 1회 이상 3시간 이상 체류한 인구의 월별 합계」(2024.1~12), wide→long 변환 후 연령 합계(계) 사용.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2025년 기준 폐지/결측 항목 및 지역 미매칭 항목 제외.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2.2 분석 대상 13개 시·군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인구감소지역(11)</w:t>
      </w:r>
      <w:r>
        <w:rPr>
          <w:rFonts w:ascii="맑은 고딕" w:cs="맑은 고딕" w:eastAsia="맑은 고딕" w:hAnsi="맑은 고딕"/>
        </w:rPr>
        <w:t xml:space="preserve">: 밀양·의령·함안·창녕·고성·남해·하동·산청·함양·거창·합천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관심지역(2)</w:t>
      </w:r>
      <w:r>
        <w:rPr>
          <w:rFonts w:ascii="맑은 고딕" w:cs="맑은 고딕" w:eastAsia="맑은 고딕" w:hAnsi="맑은 고딕"/>
        </w:rPr>
        <w:t xml:space="preserve">: 통영·사천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경남 22개 시군구 전수(Phase 1)를 먼저 분석한 뒤, 생활인구 결합이 가능한 13개 지역(Phase 2)으로 범위를 좁혀 정밀 진단했다. 보고서의 중심은 Phase 2다.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2.3 분석 환경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Python 3 (pandas, scikit-learn, matplotlib, geopandas, shap). K-means·RandomForest 모두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`random_state=42` 고정으로 재현성 확보.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핵심 지표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정의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해석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★ MI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log(연간매출 / 연평균 생활인구) − 13곳 평균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음수 = 유동 대비 소비 부진(소비전환 취약)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★ CPC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연간매출 / 생활인구 / 12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방문 1인당 월 소비 흡수력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★ STI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성수기(6~8월)/비수기(1~3월) 생활인구 − 1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높음 = 관광·계절 유입 의존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LRR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유입지가 경남인 매출 / 전체 매출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경남권 소비자 비중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(낮음 = 외부유입 소비 의존)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CDI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업종별 매출의 Shannon Entropy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낮음 = 업종 집중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NAR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18~23시 매출 / 전체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낮음 = 야간 체류 약함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AGI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60대+ 매출 비중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높음 = 고령 소비 의존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YR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20~30대 매출 비중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낮음 = 청년 소비 이탈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TREND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월별 매출 회귀 기울기 / 평균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음수 = 2024년 내 감소세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★ = 생활인구 결합으로 새로 가능해진 본 연구의 핵심 지표.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해석 주의(LRR):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낮은 LRR은 "자금 유출/출혈"이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아니라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해당 지역 매출 중 경남 외 소비자 비중이 높다는 의미, 즉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외부유입 소비 의존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특성이다.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지표·산식 설계 근거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MI·CPC (생활인구 대비 소비):</w:t>
      </w:r>
      <w:r>
        <w:rPr>
          <w:rFonts w:ascii="맑은 고딕" w:cs="맑은 고딕" w:eastAsia="맑은 고딕" w:hAnsi="맑은 고딕"/>
        </w:rPr>
        <w:t xml:space="preserve"> 생활인구는 통근·통학·관광 등 실제 체류 흐름의 합계로,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「인구감소지역 지원 특별법」(2022) 이후 정주인구를 보완하는 공식 지표로 산정된다. 통계청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「인구감소지역과 생활밀접업종 관계 분석」은 생활인구가 지역 소비(생활밀접업종 매출)와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체계적으로 연동됨을 보였다. 본 연구의 MI·CPC는 *이 연동이 지역별로 얼마나 약한가*를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로그 비율로 정량화한 것으로, 분모를 정주인구가 아닌 생활인구로 둔 점이 핵심 차별점이다.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CDI (Shannon Entropy):</w:t>
      </w:r>
      <w:r>
        <w:rPr>
          <w:rFonts w:ascii="맑은 고딕" w:cs="맑은 고딕" w:eastAsia="맑은 고딕" w:hAnsi="맑은 고딕"/>
        </w:rPr>
        <w:t xml:space="preserve"> 업종 매출 분포의 집중도를 정보 엔트로피로 측정한다(Shannon, 1948).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값이 낮을수록 소수 업종 의존이 커 외부 충격에 취약하다.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위험점수 가중치(0.40·0.25·0.20·0.15):</w:t>
      </w:r>
      <w:r>
        <w:rPr>
          <w:rFonts w:ascii="맑은 고딕" w:cs="맑은 고딕" w:eastAsia="맑은 고딕" w:hAnsi="맑은 고딕"/>
        </w:rPr>
        <w:t xml:space="preserve"> 핵심 가설(소비-유동 불일치)을 직접 측정하는 MI에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최대 비중을, 구매력(CPC)에 차순위를 부여했다. 외부의존(LRR)·추세(TREND)는 방향성을 반영하되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보조 비중으로 두었다. 이 가중 구조의 타당성은 </w:t>
      </w:r>
      <w:r>
        <w:rPr>
          <w:rFonts w:ascii="맑은 고딕" w:cs="맑은 고딕" w:eastAsia="맑은 고딕" w:hAnsi="맑은 고딕"/>
          <w:b/>
          <w:bCs/>
        </w:rPr>
        <w:t xml:space="preserve">4.6 이음-Detect Part ①</w:t>
      </w:r>
      <w:r>
        <w:rPr>
          <w:rFonts w:ascii="맑은 고딕" w:cs="맑은 고딕" w:eastAsia="맑은 고딕" w:hAnsi="맑은 고딕"/>
        </w:rPr>
        <w:t xml:space="preserve">에서 위험 상위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시군 전부가 MI 1위 요인으로 분해됨으로써 사후 검증된다.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분석 결과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4.1 13개 지역 핵심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30"/>
      </w:tblGrid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지역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MI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CPC(원/월)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STI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LRR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TREND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침체유형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위험점수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하동군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−0.865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13,240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−0.132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0.729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−0.004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외부의존+소비전환 취약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0.865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함양군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−0.151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27,037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0.602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0.655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−0.014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외부의존+소비전환 취약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0.778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합천군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−1.016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11,380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0.065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0.767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0.016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소비전환 취약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0.775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남해군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−0.610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17,074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0.154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0.743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0.013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경계형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0.709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의령군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−0.963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12,001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0.022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0.870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0.015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소비전환 취약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0.702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산청군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−0.642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16,536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0.718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0.930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0.009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소비전환 취약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0.613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창녕군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0.016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31,927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−0.088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0.772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0.004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경계형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0.561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고성군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0.168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37,170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0.048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0.928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−0.002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경계형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0.439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밀양시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0.529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53,357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0.182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0.807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0.006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상대적 양호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0.358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함안군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0.822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71,516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0.069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0.787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0.005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경계형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0.255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거창군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0.727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65,036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0.226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0.896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0.004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상대적 양호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0.227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사천시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0.969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82,844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0.083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0.901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0.009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상대적 양호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0.093</w:t>
            </w:r>
          </w:p>
        </w:tc>
      </w:tr>
      <w:tr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통영시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1.015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86,764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0.101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0.955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0.003</w:t>
            </w:r>
          </w:p>
        </w:tc>
        <w:tc>
          <w:tcPr>
            <w:tcW w:type="dxa" w:w="11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상대적 양호</w:t>
            </w:r>
          </w:p>
        </w:tc>
        <w:tc>
          <w:tcPr>
            <w:tcW w:type="dxa" w:w="11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0.065</w:t>
            </w:r>
          </w:p>
        </w:tc>
      </w:tr>
    </w:tbl>
    <w:p>
      <w:pPr>
        <w:spacing w:after="80"/>
      </w:pP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위험점수 산식: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위험점수 = 0.40·MI′ + 0.25·CPC′ + 0.20·LRR′ + 0.15·TREND′ (각 지표를 13개 지역 min-max 정규화하고, 낮을수록 위험인 지표는 부호 반전). 가중치는 핵심 가설인 소비-유동 불일치(MI)에 최대 비중을 부여했다.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4.2 핵심 발견 ① — 인구감소지역 안에도 "양극화"가 있다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13개 지역의 MI·CPC는 </w:t>
      </w:r>
      <w:r>
        <w:rPr>
          <w:rFonts w:ascii="맑은 고딕" w:cs="맑은 고딕" w:eastAsia="맑은 고딕" w:hAnsi="맑은 고딕"/>
          <w:b/>
          <w:bCs/>
        </w:rPr>
        <w:t xml:space="preserve">극단적으로 갈린다</w:t>
      </w:r>
      <w:r>
        <w:rPr>
          <w:rFonts w:ascii="맑은 고딕" w:cs="맑은 고딕" w:eastAsia="맑은 고딕" w:hAnsi="맑은 고딕"/>
        </w:rPr>
        <w:t xml:space="preserve">. CPC 최저 합천(11,380원)과 최고 통영(86,764원)은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7.6배</w:t>
      </w:r>
      <w:r>
        <w:rPr>
          <w:rFonts w:ascii="맑은 고딕" w:cs="맑은 고딕" w:eastAsia="맑은 고딕" w:hAnsi="맑은 고딕"/>
        </w:rPr>
        <w:t xml:space="preserve"> 차이다. 같은 인구감소지역, 심지어 같은 군(郡) 단위인데도 거창(65,036원)과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합천(11,380원)은 5.7배 차이가 난다.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→ *"인구감소지역 = 일률적 침체"라는 통념을 데이터로 반박*한다. 처방도 일률적일 수 없다.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그림 1. MI × LRR 진단 매트릭스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— 소비전환 정도(MI)와 외부유입 의존(LRR)의 2차원 위치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010025"/>
            <wp:effectExtent t="0" r="0" b="0" l="0"/>
            <wp:docPr id="1" name="MI-LRR 진단 매트릭스" descr="MI-LRR 진단 매트릭스" title="MI-LRR 진단 매트릭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4.3 핵심 발견 ② — "소비전환 취약형"은 우연이 아니다 (n=3)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K-means 군집(탐색적 유형화) 결과, </w:t>
      </w:r>
      <w:r>
        <w:rPr>
          <w:rFonts w:ascii="맑은 고딕" w:cs="맑은 고딕" w:eastAsia="맑은 고딕" w:hAnsi="맑은 고딕"/>
          <w:b/>
          <w:bCs/>
        </w:rPr>
        <w:t xml:space="preserve">소비전환 취약형(산청·의령·합천)</w:t>
      </w:r>
      <w:r>
        <w:rPr>
          <w:rFonts w:ascii="맑은 고딕" w:cs="맑은 고딕" w:eastAsia="맑은 고딕" w:hAnsi="맑은 고딕"/>
        </w:rPr>
        <w:t xml:space="preserve"> 세 지역이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MI 전부 &lt; −0.6, CPC 전부 &lt; 17,000원</w:t>
      </w:r>
      <w:r>
        <w:rPr>
          <w:rFonts w:ascii="맑은 고딕" w:cs="맑은 고딕" w:eastAsia="맑은 고딕" w:hAnsi="맑은 고딕"/>
        </w:rPr>
        <w:t xml:space="preserve">이라는 동일 증상으로 묶였다. 세 지역이 서로의 증상을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교차 입증하므로, 이는 단일 사례가 아니라 </w:t>
      </w:r>
      <w:r>
        <w:rPr>
          <w:rFonts w:ascii="맑은 고딕" w:cs="맑은 고딕" w:eastAsia="맑은 고딕" w:hAnsi="맑은 고딕"/>
          <w:b/>
          <w:bCs/>
        </w:rPr>
        <w:t xml:space="preserve">반복되는 패턴</w:t>
      </w:r>
      <w:r>
        <w:rPr>
          <w:rFonts w:ascii="맑은 고딕" w:cs="맑은 고딕" w:eastAsia="맑은 고딕" w:hAnsi="맑은 고딕"/>
        </w:rPr>
        <w:t xml:space="preserve">이다.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그림 2. 유형별 지표 비교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/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그림 3. PCA 군집 시각화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705225"/>
            <wp:effectExtent t="0" r="0" b="0" l="0"/>
            <wp:docPr id="1" name="지표 비교" descr="지표 비교" title="지표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010025"/>
            <wp:effectExtent t="0" r="0" b="0" l="0"/>
            <wp:docPr id="1" name="PCA 군집" descr="PCA 군집" title="PCA 군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4.4 핵심 발견 ③ — 산청: 관광객은 오는데 소비가 없다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산청은 성수기 생활인구가 비수기 대비 </w:t>
      </w:r>
      <w:r>
        <w:rPr>
          <w:rFonts w:ascii="맑은 고딕" w:cs="맑은 고딕" w:eastAsia="맑은 고딕" w:hAnsi="맑은 고딕"/>
          <w:b/>
          <w:bCs/>
        </w:rPr>
        <w:t xml:space="preserve">72% 증가(STI 0.718, 13곳 최고)</w:t>
      </w:r>
      <w:r>
        <w:rPr>
          <w:rFonts w:ascii="맑은 고딕" w:cs="맑은 고딕" w:eastAsia="맑은 고딕" w:hAnsi="맑은 고딕"/>
        </w:rPr>
        <w:t xml:space="preserve">하지만 MI는 음수다.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야간 매출(NAR 0.192)도 낮다. 즉 </w:t>
      </w:r>
      <w:r>
        <w:rPr>
          <w:rFonts w:ascii="맑은 고딕" w:cs="맑은 고딕" w:eastAsia="맑은 고딕" w:hAnsi="맑은 고딕"/>
          <w:b/>
          <w:bCs/>
        </w:rPr>
        <w:t xml:space="preserve">"낮에 왔다 그냥 가는 통과형"</w:t>
      </w:r>
      <w:r>
        <w:rPr>
          <w:rFonts w:ascii="맑은 고딕" w:cs="맑은 고딕" w:eastAsia="맑은 고딕" w:hAnsi="맑은 고딕"/>
        </w:rPr>
        <w:t xml:space="preserve"> 관광 구조다. 방문은 폭증하는데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지역 소비로 전환되지 않는, MI 모델이 아니면 보이지 않는 현상이다.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그림 4. 월별 생활인구 추세 (계절성)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28950"/>
            <wp:effectExtent t="0" r="0" b="0" l="0"/>
            <wp:docPr id="1" name="월별 생활인구" descr="월별 생활인구" title="월별 생활인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4.5 공간 분포 — 침체유형·위험점수 지도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13개 지역의 진단 결과를 경남 행정경계(통계청 시군구 경계) 위에 투영하면, 침체가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서부 내륙(하동·함양·산청·합천·의령)에 띠처럼 연속 분포</w:t>
      </w:r>
      <w:r>
        <w:rPr>
          <w:rFonts w:ascii="맑은 고딕" w:cs="맑은 고딕" w:eastAsia="맑은 고딕" w:hAnsi="맑은 고딕"/>
        </w:rPr>
        <w:t xml:space="preserve">함이 드러난다. 단발 사례가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아니라 </w:t>
      </w:r>
      <w:r>
        <w:rPr>
          <w:rFonts w:ascii="맑은 고딕" w:cs="맑은 고딕" w:eastAsia="맑은 고딕" w:hAnsi="맑은 고딕"/>
          <w:b/>
          <w:bCs/>
        </w:rPr>
        <w:t xml:space="preserve">공간적으로 인접한 구조적 침체 벨트</w:t>
      </w:r>
      <w:r>
        <w:rPr>
          <w:rFonts w:ascii="맑은 고딕" w:cs="맑은 고딕" w:eastAsia="맑은 고딕" w:hAnsi="맑은 고딕"/>
        </w:rPr>
        <w:t xml:space="preserve">라는 점은 광역 단위 처방의 근거가 된다.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반대로 해안·도심 접근성이 좋은 통영·사천·밀양은 상대적 양호형으로 분리된다.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그림 5. 침체유형 지도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/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그림 6. 위험점수 지도 (라벨 = 순위·점수)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981700"/>
            <wp:effectExtent t="0" r="0" b="0" l="0"/>
            <wp:docPr id="1" name="침체유형 지도" descr="침체유형 지도" title="침체유형 지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200650"/>
            <wp:effectExtent t="0" r="0" b="0" l="0"/>
            <wp:docPr id="1" name="위험점수 지도" descr="위험점수 지도" title="위험점수 지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4.6 이음-Detect — 침체 원인 정량 분해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진단을 "어디가 위험한가"에서 </w:t>
      </w:r>
      <w:r>
        <w:rPr>
          <w:rFonts w:ascii="맑은 고딕" w:cs="맑은 고딕" w:eastAsia="맑은 고딕" w:hAnsi="맑은 고딕"/>
          <w:b/>
          <w:bCs/>
        </w:rPr>
        <w:t xml:space="preserve">"무엇 때문에 위험한가"</w:t>
      </w:r>
      <w:r>
        <w:rPr>
          <w:rFonts w:ascii="맑은 고딕" w:cs="맑은 고딕" w:eastAsia="맑은 고딕" w:hAnsi="맑은 고딕"/>
        </w:rPr>
        <w:t xml:space="preserve">로 끌어내리기 위해, 원인을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두 층위로 분해했다.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① 위험점수 요인 분해 (정확 분해).</w:t>
      </w:r>
      <w:r>
        <w:rPr>
          <w:rFonts w:ascii="맑은 고딕" w:cs="맑은 고딕" w:eastAsia="맑은 고딕" w:hAnsi="맑은 고딕"/>
        </w:rPr>
        <w:t xml:space="preserve"> 위험점수는 4개 지표의 가중합이므로, 각 시군의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점수를 MI·CPC·LRR·TREND 기여항으로 정확히 나눌 수 있다(재현 오차 0). 그 결과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위험 상위 8개 시군 전부에서 MI(소비-유동 불일치)가 1위 요인</w:t>
      </w:r>
      <w:r>
        <w:rPr>
          <w:rFonts w:ascii="맑은 고딕" w:cs="맑은 고딕" w:eastAsia="맑은 고딕" w:hAnsi="맑은 고딕"/>
        </w:rPr>
        <w:t xml:space="preserve">(기여율 30~56%)으로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나타나, 본 연구의 핵심 가설 — *침체의 축은 인구가 아니라 소비전환 실패* — 이 정량적으로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재확인된다. 반면 상대적 양호군(밀양·거창)은 CPC, 통영은 TREND가 잔여 위험의 주축이다.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그림 7. 위험점수 요인 분해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857625"/>
            <wp:effectExtent t="0" r="0" b="0" l="0"/>
            <wp:docPr id="1" name="위험점수 요인 분해" descr="위험점수 요인 분해" title="위험점수 요인 분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② MI의 구조적 동인 (RandomForest + SHAP, 탐색적).</w:t>
      </w:r>
      <w:r>
        <w:rPr>
          <w:rFonts w:ascii="맑은 고딕" w:cs="맑은 고딕" w:eastAsia="맑은 고딕" w:hAnsi="맑은 고딕"/>
        </w:rPr>
        <w:t xml:space="preserve"> 그렇다면 *소비전환 실패 자체는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무엇과 연관되는가?* MI를 종속변수로, 산식에 포함되지 않은 구조지표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(LRR·CDI·NAR·AGI·YR·STI·TREND)를 독립변수로 RandomForest 회귀를 적합하고 SHAP으로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기여도를 분해했다. 전역 기여도는 </w:t>
      </w:r>
      <w:r>
        <w:rPr>
          <w:rFonts w:ascii="맑은 고딕" w:cs="맑은 고딕" w:eastAsia="맑은 고딕" w:hAnsi="맑은 고딕"/>
          <w:b/>
          <w:bCs/>
        </w:rPr>
        <w:t xml:space="preserve">TREND(매출 감소세) &gt; CDI(업종 집중) &gt; NAR(야간 약함)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순으로, 소비-유동 불일치는 *추세 악화·업종 편중·야간 상권 부재*와 가장 강하게 결부됨을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시사한다. 시군별로 보면 합천·남해·의령은 TREND(감소세), 하동은 NAR(야간 약함),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함양·산청은 CDI(업종 집중)가 MI를 끌어내리는 1순위 동인으로 분리되어, **유형 내에서도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처방의 우선순위가 달라야 함**을 뒷받침한다.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그림 8. MI의 구조적 동인 (SHAP 전역 기여도)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33775"/>
            <wp:effectExtent t="0" r="0" b="0" l="0"/>
            <wp:docPr id="1" name="SHAP 구조동인" descr="SHAP 구조동인" title="SHAP 구조동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해석 주의: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Part ②는 표본 n=13의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탐색적 기여도 분해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다. 확정적 인과가 아니라 처방 우선순위를 좁히기 위한 패턴 탐지로 해석하며, RandomForest는 `random_state=42`로 재현성을 고정했다.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4.7 이음-Simulate — 처방 효과 시뮬레이션과 위험점수 검증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진단·원인 분해에 이어, </w:t>
      </w:r>
      <w:r>
        <w:rPr>
          <w:rFonts w:ascii="맑은 고딕" w:cs="맑은 고딕" w:eastAsia="맑은 고딕" w:hAnsi="맑은 고딕"/>
          <w:b/>
          <w:bCs/>
        </w:rPr>
        <w:t xml:space="preserve">"처방하면 정말 나아지는가"</w:t>
      </w:r>
      <w:r>
        <w:rPr>
          <w:rFonts w:ascii="맑은 고딕" w:cs="맑은 고딕" w:eastAsia="맑은 고딕" w:hAnsi="맑은 고딕"/>
        </w:rPr>
        <w:t xml:space="preserve">를 모델로 보였다. 처방을 반사실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(counterfactual) 입력으로 넣고 </w:t>
      </w:r>
      <w:r>
        <w:rPr>
          <w:rFonts w:ascii="맑은 고딕" w:cs="맑은 고딕" w:eastAsia="맑은 고딕" w:hAnsi="맑은 고딕"/>
          <w:b/>
          <w:bCs/>
        </w:rPr>
        <w:t xml:space="preserve">이음의 지표 체계를 다시 계산</w:t>
      </w:r>
      <w:r>
        <w:rPr>
          <w:rFonts w:ascii="맑은 고딕" w:cs="맑은 고딕" w:eastAsia="맑은 고딕" w:hAnsi="맑은 고딕"/>
        </w:rPr>
        <w:t xml:space="preserve">해 전·후를 비교한다(외부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데이터 없이, 자체 모델의 시나리오 분석).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① 처방 효과 시뮬레이션.</w:t>
      </w:r>
      <w:r>
        <w:rPr>
          <w:rFonts w:ascii="맑은 고딕" w:cs="맑은 고딕" w:eastAsia="맑은 고딕" w:hAnsi="맑은 고딕"/>
        </w:rPr>
        <w:t xml:space="preserve"> 처방 대상 5곳(소비전환 취약형 산청·의령·합천 + 외부의존형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하동·함양)에 *방문 1인당 월 +1,000원* 객단가 개선이 달성된다고 가정하고(부록 A와 동일 가정),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매출→MI·CPC→위험점수를 재산정했다. </w:t>
      </w:r>
      <w:r>
        <w:rPr>
          <w:rFonts w:ascii="맑은 고딕" w:cs="맑은 고딕" w:eastAsia="맑은 고딕" w:hAnsi="맑은 고딕"/>
          <w:b/>
          <w:bCs/>
        </w:rPr>
        <w:t xml:space="preserve">현행 평균·정규화 척도를 고정</w:t>
      </w:r>
      <w:r>
        <w:rPr>
          <w:rFonts w:ascii="맑은 고딕" w:cs="맑은 고딕" w:eastAsia="맑은 고딕" w:hAnsi="맑은 고딕"/>
        </w:rPr>
        <w:t xml:space="preserve">해 순수 정책효과만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분리했다.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처방 대상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CPC(원/월)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위험점수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합천군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11,380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12,380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(+8.8%)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0.775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0.756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(−0.020)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의령군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12,001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13,001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(+8.3%)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0.702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0.683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(−0.019)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하동군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13,240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14,240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(+7.6%)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0.865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0.848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(−0.018)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산청군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16,536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17,536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(+6.0%)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0.613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0.598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(−0.015)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함양군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27,037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28,037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(+3.7%)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0.778 →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0.767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(−0.010)</w:t>
            </w:r>
          </w:p>
        </w:tc>
      </w:tr>
    </w:tbl>
    <w:p>
      <w:pPr>
        <w:spacing w:after="80"/>
      </w:pP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커피 한 잔 값 미만(+1,000원)의 최소 처방으로도 위험점수가 측정 가능하게 하락하며,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처방받지 않은 8개 시군의 위험점수는 정확히 불변(Δ=0)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— 효과가 대상 지역에 온전히 귀속됨을 보인다(목표 객단가를 높이면 개선폭은 선형 확대).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그림 9. 처방 전·후 위험점수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(처방대상 = 진빨강, 미처방 = 파랑·불변)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848100"/>
            <wp:effectExtent t="0" r="0" b="0" l="0"/>
            <wp:docPr id="1" name="처방 전후 위험점수" descr="처방 전후 위험점수" title="처방 전후 위험점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② 위험점수 민감도(robustness) 검증.</w:t>
      </w:r>
      <w:r>
        <w:rPr>
          <w:rFonts w:ascii="맑은 고딕" w:cs="맑은 고딕" w:eastAsia="맑은 고딕" w:hAnsi="맑은 고딕"/>
        </w:rPr>
        <w:t xml:space="preserve"> 가중치(MI 0.40·CPC 0.25·LRR 0.20·TREND 0.15)를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±0.05 범위에서 무작위 교란(N=3,000)해도 </w:t>
      </w:r>
      <w:r>
        <w:rPr>
          <w:rFonts w:ascii="맑은 고딕" w:cs="맑은 고딕" w:eastAsia="맑은 고딕" w:hAnsi="맑은 고딕"/>
          <w:b/>
          <w:bCs/>
        </w:rPr>
        <w:t xml:space="preserve">우선 처방 TOP5 집합이 100% 동일</w:t>
      </w:r>
      <w:r>
        <w:rPr>
          <w:rFonts w:ascii="맑은 고딕" w:cs="맑은 고딕" w:eastAsia="맑은 고딕" w:hAnsi="맑은 고딕"/>
        </w:rPr>
        <w:t xml:space="preserve">하게 유지됐고,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하동은 모든 경우 1위</w:t>
      </w:r>
      <w:r>
        <w:rPr>
          <w:rFonts w:ascii="맑은 고딕" w:cs="맑은 고딕" w:eastAsia="맑은 고딕" w:hAnsi="맑은 고딕"/>
        </w:rPr>
        <w:t xml:space="preserve">, 함양·합천은 2~3위로 고정됐다. 위험점수의 우선순위는 가중치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선택의 자의성에 흔들리지 않는 </w:t>
      </w:r>
      <w:r>
        <w:rPr>
          <w:rFonts w:ascii="맑은 고딕" w:cs="맑은 고딕" w:eastAsia="맑은 고딕" w:hAnsi="맑은 고딕"/>
          <w:b/>
          <w:bCs/>
        </w:rPr>
        <w:t xml:space="preserve">강건한(robust) 결과</w:t>
      </w:r>
      <w:r>
        <w:rPr>
          <w:rFonts w:ascii="맑은 고딕" w:cs="맑은 고딕" w:eastAsia="맑은 고딕" w:hAnsi="맑은 고딕"/>
        </w:rPr>
        <w:t xml:space="preserve">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유형별 정책 처방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설계 원칙: </w:t>
      </w:r>
      <w:r>
        <w:rPr>
          <w:rFonts w:ascii="맑은 고딕" w:cs="맑은 고딕" w:eastAsia="맑은 고딕" w:hAnsi="맑은 고딕"/>
          <w:b/>
          <w:bCs/>
        </w:rPr>
        <w:t xml:space="preserve">"넓게 진단, 좁게 처방"</w:t>
      </w:r>
      <w:r>
        <w:rPr>
          <w:rFonts w:ascii="맑은 고딕" w:cs="맑은 고딕" w:eastAsia="맑은 고딕" w:hAnsi="맑은 고딕"/>
        </w:rPr>
        <w:t xml:space="preserve"> — 13개 진단은 유형의 실재성을 입증하는 근거, 처방은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복수 지역으로 구성된 </w:t>
      </w:r>
      <w:r>
        <w:rPr>
          <w:rFonts w:ascii="맑은 고딕" w:cs="맑은 고딕" w:eastAsia="맑은 고딕" w:hAnsi="맑은 고딕"/>
          <w:b/>
          <w:bCs/>
        </w:rPr>
        <w:t xml:space="preserve">유형군 단위</w:t>
      </w:r>
      <w:r>
        <w:rPr>
          <w:rFonts w:ascii="맑은 고딕" w:cs="맑은 고딕" w:eastAsia="맑은 고딕" w:hAnsi="맑은 고딕"/>
        </w:rPr>
        <w:t xml:space="preserve">로 심화한다(단일 사례 편향 회피).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5.1 메인 — 외부의존+소비전환 취약형 (하동·함양)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경남 외 소비자 비중이 높고(LRR 낮음) 매출도 감소세(TREND ≤ 0)인 이중 위험.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위험점수 </w:t>
      </w:r>
      <w:r>
        <w:rPr>
          <w:rFonts w:ascii="맑은 고딕" w:cs="맑은 고딕" w:eastAsia="맑은 고딕" w:hAnsi="맑은 고딕"/>
          <w:b/>
          <w:bCs/>
        </w:rPr>
        <w:t xml:space="preserve">1위(하동 0.865)·2위(함양 0.778)</w:t>
      </w:r>
      <w:r>
        <w:rPr>
          <w:rFonts w:ascii="맑은 고딕" w:cs="맑은 고딕" w:eastAsia="맑은 고딕" w:hAnsi="맑은 고딕"/>
        </w:rPr>
        <w:t xml:space="preserve"> 가 모두 이 유형에 속한다.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하동</w:t>
      </w:r>
      <w:r>
        <w:rPr>
          <w:rFonts w:ascii="맑은 고딕" w:cs="맑은 고딕" w:eastAsia="맑은 고딕" w:hAnsi="맑은 고딕"/>
        </w:rPr>
        <w:t xml:space="preserve">(위험 1위): 외부 방문객을 묶는 체류·연계 상품 + 매출 감소 업종 정밀 진단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함양</w:t>
      </w:r>
      <w:r>
        <w:rPr>
          <w:rFonts w:ascii="맑은 고딕" w:cs="맑은 고딕" w:eastAsia="맑은 고딕" w:hAnsi="맑은 고딕"/>
        </w:rPr>
        <w:t xml:space="preserve">(위험 2위, LRR·TREND 최악, STI 0.602): 외부유입 의존 + </w:t>
      </w:r>
      <w:r>
        <w:rPr>
          <w:rFonts w:ascii="맑은 고딕" w:cs="맑은 고딕" w:eastAsia="맑은 고딕" w:hAnsi="맑은 고딕"/>
          <w:b/>
          <w:bCs/>
        </w:rPr>
        <w:t xml:space="preserve">계절 편중 완화</w:t>
      </w:r>
      <w:r>
        <w:rPr>
          <w:rFonts w:ascii="맑은 고딕" w:cs="맑은 고딕" w:eastAsia="맑은 고딕" w:hAnsi="맑은 고딕"/>
        </w:rPr>
        <w:t xml:space="preserve">(비수기 수요 보완)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→ 기대효과: 하동 연 +30.5억 / 함양 연 +22.2억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5.2 대비 — 소비전환 취약형 (합천·의령·산청)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같은 증상(MI &lt; −0.6, CPC &lt; 17,000)이지만 </w:t>
      </w:r>
      <w:r>
        <w:rPr>
          <w:rFonts w:ascii="맑은 고딕" w:cs="맑은 고딕" w:eastAsia="맑은 고딕" w:hAnsi="맑은 고딕"/>
          <w:b/>
          <w:bCs/>
        </w:rPr>
        <w:t xml:space="preserve">STI(관광 의존도)로 원인이 갈리고</w:t>
      </w:r>
      <w:r>
        <w:rPr>
          <w:rFonts w:ascii="맑은 고딕" w:cs="맑은 고딕" w:eastAsia="맑은 고딕" w:hAnsi="맑은 고딕"/>
        </w:rPr>
        <w:t xml:space="preserve">, 처방도 갈린다.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위험점수 </w:t>
      </w:r>
      <w:r>
        <w:rPr>
          <w:rFonts w:ascii="맑은 고딕" w:cs="맑은 고딕" w:eastAsia="맑은 고딕" w:hAnsi="맑은 고딕"/>
          <w:b/>
          <w:bCs/>
        </w:rPr>
        <w:t xml:space="preserve">3위(합천 0.775)·5위(의령 0.702)·6위(산청 0.613)</w:t>
      </w:r>
      <w:r>
        <w:rPr>
          <w:rFonts w:ascii="맑은 고딕" w:cs="맑은 고딕" w:eastAsia="맑은 고딕" w:hAnsi="맑은 고딕"/>
        </w:rPr>
        <w:t xml:space="preserve"> 이 모여 유형의 반복성을 입증한다.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① 합천·의령 — 정주형</w:t>
      </w:r>
      <w:r>
        <w:rPr>
          <w:rFonts w:ascii="맑은 고딕" w:cs="맑은 고딕" w:eastAsia="맑은 고딕" w:hAnsi="맑은 고딕"/>
        </w:rPr>
        <w:t xml:space="preserve"> (STI ≈ 0, 외부유입 거의 없음)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생활밀착 업종</w:t>
      </w:r>
      <w:r>
        <w:rPr>
          <w:rFonts w:ascii="맑은 고딕" w:cs="맑은 고딕" w:eastAsia="맑은 고딕" w:hAnsi="맑은 고딕"/>
        </w:rPr>
        <w:t xml:space="preserve">(식료·생활서비스) 객단가 제고 — 일상 소비가 기반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지역화폐·페이백</w:t>
      </w:r>
      <w:r>
        <w:rPr>
          <w:rFonts w:ascii="맑은 고딕" w:cs="맑은 고딕" w:eastAsia="맑은 고딕" w:hAnsi="맑은 고딕"/>
        </w:rPr>
        <w:t xml:space="preserve">으로 경남 외 소비 회수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</w:rPr>
        <w:t xml:space="preserve">의령(생활인구 최소)은 거점 집중형, 합천은 면 단위 소비 누수 진단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→ 기대효과: 합천 </w:t>
      </w:r>
      <w:r>
        <w:rPr>
          <w:rFonts w:ascii="맑은 고딕" w:cs="맑은 고딕" w:eastAsia="맑은 고딕" w:hAnsi="맑은 고딕"/>
          <w:b/>
          <w:bCs/>
        </w:rPr>
        <w:t xml:space="preserve">연 +31억</w:t>
      </w:r>
      <w:r>
        <w:rPr>
          <w:rFonts w:ascii="맑은 고딕" w:cs="맑은 고딕" w:eastAsia="맑은 고딕" w:hAnsi="맑은 고딕"/>
        </w:rPr>
        <w:t xml:space="preserve">(8.8%) / 의령 </w:t>
      </w:r>
      <w:r>
        <w:rPr>
          <w:rFonts w:ascii="맑은 고딕" w:cs="맑은 고딕" w:eastAsia="맑은 고딕" w:hAnsi="맑은 고딕"/>
          <w:b/>
          <w:bCs/>
        </w:rPr>
        <w:t xml:space="preserve">연 +17.5억</w:t>
      </w:r>
      <w:r>
        <w:rPr>
          <w:rFonts w:ascii="맑은 고딕" w:cs="맑은 고딕" w:eastAsia="맑은 고딕" w:hAnsi="맑은 고딕"/>
        </w:rPr>
        <w:t xml:space="preserve">(8.4%)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② 산청 — 관광 통과형</w:t>
      </w:r>
      <w:r>
        <w:rPr>
          <w:rFonts w:ascii="맑은 고딕" w:cs="맑은 고딕" w:eastAsia="맑은 고딕" w:hAnsi="맑은 고딕"/>
        </w:rPr>
        <w:t xml:space="preserve"> (STI 0.72·NAR 0.192·AGI 0.271)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</w:rPr>
        <w:t xml:space="preserve">관광 동선(지리산·동의보감촌) 상 결제 가능 </w:t>
      </w:r>
      <w:r>
        <w:rPr>
          <w:rFonts w:ascii="맑은 고딕" w:cs="맑은 고딕" w:eastAsia="맑은 고딕" w:hAnsi="맑은 고딕"/>
          <w:b/>
          <w:bCs/>
        </w:rPr>
        <w:t xml:space="preserve">로컬 상점 클러스터</w:t>
      </w:r>
      <w:r>
        <w:rPr>
          <w:rFonts w:ascii="맑은 고딕" w:cs="맑은 고딕" w:eastAsia="맑은 고딕" w:hAnsi="맑은 고딕"/>
        </w:rPr>
        <w:t xml:space="preserve"> → 통과를 소비로 전환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야간 체류 콘텐츠</w:t>
      </w:r>
      <w:r>
        <w:rPr>
          <w:rFonts w:ascii="맑은 고딕" w:cs="맑은 고딕" w:eastAsia="맑은 고딕" w:hAnsi="맑은 고딕"/>
        </w:rPr>
        <w:t xml:space="preserve">(야간 개장·숙박 연계)로 NAR 제고 → 1일을 1박으로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</w:rPr>
        <w:t xml:space="preserve">고령 친화·약령시 연계로 주 소비층 객단가 강화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→ 기대효과: 방문 1인당 월 </w:t>
      </w:r>
      <w:r>
        <w:rPr>
          <w:rFonts w:ascii="맑은 고딕" w:cs="맑은 고딕" w:eastAsia="맑은 고딕" w:hAnsi="맑은 고딕"/>
          <w:b/>
          <w:bCs/>
        </w:rPr>
        <w:t xml:space="preserve">+1,000원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맑은 고딕" w:cs="맑은 고딕" w:eastAsia="맑은 고딕" w:hAnsi="맑은 고딕"/>
          <w:b/>
          <w:bCs/>
        </w:rPr>
        <w:t xml:space="preserve">연 +30억</w:t>
      </w:r>
      <w:r>
        <w:rPr>
          <w:rFonts w:ascii="맑은 고딕" w:cs="맑은 고딕" w:eastAsia="맑은 고딕" w:hAnsi="맑은 고딕"/>
        </w:rPr>
        <w:t xml:space="preserve"> (현 매출 499억의 6.1%)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5.3 회복 거점 활용 (거창·통영)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거창(군 단위 CPC 최고)·통영(13곳 최고)을 </w:t>
      </w:r>
      <w:r>
        <w:rPr>
          <w:rFonts w:ascii="맑은 고딕" w:cs="맑은 고딕" w:eastAsia="맑은 고딕" w:hAnsi="맑은 고딕"/>
          <w:b/>
          <w:bCs/>
        </w:rPr>
        <w:t xml:space="preserve">광역 회복 거점</w:t>
      </w:r>
      <w:r>
        <w:rPr>
          <w:rFonts w:ascii="맑은 고딕" w:cs="맑은 고딕" w:eastAsia="맑은 고딕" w:hAnsi="맑은 고딕"/>
        </w:rPr>
        <w:t xml:space="preserve">으로 삼아 인접 침체지역과 연계.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결론 및 기대효과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</w:rPr>
        <w:t xml:space="preserve">경남 인구감소지역의 상권 문제는 단순 인구 부족이 아니라 </w:t>
      </w:r>
      <w:r>
        <w:rPr>
          <w:rFonts w:ascii="맑은 고딕" w:cs="맑은 고딕" w:eastAsia="맑은 고딕" w:hAnsi="맑은 고딕"/>
          <w:b/>
          <w:bCs/>
        </w:rPr>
        <w:t xml:space="preserve">"생활인구의 지역 소비 전환 실패"</w:t>
      </w:r>
      <w:r>
        <w:rPr>
          <w:rFonts w:ascii="맑은 고딕" w:cs="맑은 고딕" w:eastAsia="맑은 고딕" w:hAnsi="맑은 고딕"/>
        </w:rPr>
        <w:t xml:space="preserve">가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핵심 축이며, 이는 MI 지표로 정량 진단된다.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</w:rPr>
        <w:t xml:space="preserve">13개 지역은 </w:t>
      </w:r>
      <w:r>
        <w:rPr>
          <w:rFonts w:ascii="맑은 고딕" w:cs="맑은 고딕" w:eastAsia="맑은 고딕" w:hAnsi="맑은 고딕"/>
          <w:b/>
          <w:bCs/>
        </w:rPr>
        <w:t xml:space="preserve">소비전환 취약형 / 외부의존형 / 경계형 / 상대적 양호형</w:t>
      </w:r>
      <w:r>
        <w:rPr>
          <w:rFonts w:ascii="맑은 고딕" w:cs="맑은 고딕" w:eastAsia="맑은 고딕" w:hAnsi="맑은 고딕"/>
        </w:rPr>
        <w:t xml:space="preserve">으로 유형화되며,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인구감소지역 내부에도 </w:t>
      </w:r>
      <w:r>
        <w:rPr>
          <w:rFonts w:ascii="맑은 고딕" w:cs="맑은 고딕" w:eastAsia="맑은 고딕" w:hAnsi="맑은 고딕"/>
          <w:b/>
          <w:bCs/>
        </w:rPr>
        <w:t xml:space="preserve">7.6배의 양극화</w:t>
      </w:r>
      <w:r>
        <w:rPr>
          <w:rFonts w:ascii="맑은 고딕" w:cs="맑은 고딕" w:eastAsia="맑은 고딕" w:hAnsi="맑은 고딕"/>
        </w:rPr>
        <w:t xml:space="preserve">가 존재한다.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</w:rPr>
        <w:t xml:space="preserve">위험점수 기준 우선 처방 대상은 </w:t>
      </w:r>
      <w:r>
        <w:rPr>
          <w:rFonts w:ascii="맑은 고딕" w:cs="맑은 고딕" w:eastAsia="맑은 고딕" w:hAnsi="맑은 고딕"/>
          <w:b/>
          <w:bCs/>
        </w:rPr>
        <w:t xml:space="preserve">하동·함양·합천·남해·의령</w:t>
      </w:r>
      <w:r>
        <w:rPr>
          <w:rFonts w:ascii="맑은 고딕" w:cs="맑은 고딕" w:eastAsia="맑은 고딕" w:hAnsi="맑은 고딕"/>
        </w:rPr>
        <w:t xml:space="preserve">(TOP 5)이며, 유형별로 처방이 다르다.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기대효과(탐색적 추정):</w:t>
      </w:r>
      <w:r>
        <w:rPr>
          <w:rFonts w:ascii="맑은 고딕" w:cs="맑은 고딕" w:eastAsia="맑은 고딕" w:hAnsi="맑은 고딕"/>
        </w:rPr>
        <w:t xml:space="preserve"> 소비전환 취약형 3곳에서 방문 1인당 월 +1,000원(커피 한 잔 값 미만)의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소비 증가만으로도 </w:t>
      </w:r>
      <w:r>
        <w:rPr>
          <w:rFonts w:ascii="맑은 고딕" w:cs="맑은 고딕" w:eastAsia="맑은 고딕" w:hAnsi="맑은 고딕"/>
          <w:b/>
          <w:bCs/>
        </w:rPr>
        <w:t xml:space="preserve">연 약 +78억</w:t>
      </w:r>
      <w:r>
        <w:rPr>
          <w:rFonts w:ascii="맑은 고딕" w:cs="맑은 고딕" w:eastAsia="맑은 고딕" w:hAnsi="맑은 고딕"/>
        </w:rPr>
        <w:t xml:space="preserve">의 지역 매출 증가가 가능하다(산출 근거는 </w:t>
      </w:r>
      <w:r>
        <w:rPr>
          <w:rFonts w:ascii="맑은 고딕" w:cs="맑은 고딕" w:eastAsia="맑은 고딕" w:hAnsi="맑은 고딕"/>
          <w:b/>
          <w:bCs/>
        </w:rPr>
        <w:t xml:space="preserve">부록 A</w:t>
      </w:r>
      <w:r>
        <w:rPr>
          <w:rFonts w:ascii="맑은 고딕" w:cs="맑은 고딕" w:eastAsia="맑은 고딕" w:hAnsi="맑은 고딕"/>
        </w:rPr>
        <w:t xml:space="preserve">). '생활인구'가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방문 흐름 합계이므로 </w:t>
      </w:r>
      <w:r>
        <w:rPr>
          <w:rFonts w:ascii="맑은 고딕" w:cs="맑은 고딕" w:eastAsia="맑은 고딕" w:hAnsi="맑은 고딕"/>
          <w:b/>
          <w:bCs/>
        </w:rPr>
        <w:t xml:space="preserve">작은 1인당 변화가 큰 총량 효과</w:t>
      </w:r>
      <w:r>
        <w:rPr>
          <w:rFonts w:ascii="맑은 고딕" w:cs="맑은 고딕" w:eastAsia="맑은 고딕" w:hAnsi="맑은 고딕"/>
        </w:rPr>
        <w:t xml:space="preserve">로 이어진다.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거시 배경: 2024년 경남은 연간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순이동 −9,069명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(통계청 국내인구이동)으로 도 전체가 인구 순유출 상태다. 정주인구 감소가 구조적 상수인 만큼, 정책 여력은 *남은 생활인구를 소비로 전환*하는 데 집중되어야 한다는 본 연구의 문제의식과 부합한다.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E-um은 "어디가 침체됐는가"를 넘어 </w:t>
      </w:r>
      <w:r>
        <w:rPr>
          <w:rFonts w:ascii="맑은 고딕" w:cs="맑은 고딕" w:eastAsia="맑은 고딕" w:hAnsi="맑은 고딕"/>
          <w:b/>
          <w:bCs/>
        </w:rPr>
        <w:t xml:space="preserve">"왜 침체됐고, 무엇을 하면 되는가"</w:t>
      </w:r>
      <w:r>
        <w:rPr>
          <w:rFonts w:ascii="맑은 고딕" w:cs="맑은 고딕" w:eastAsia="맑은 고딕" w:hAnsi="맑은 고딕"/>
        </w:rPr>
        <w:t xml:space="preserve">를 데이터로 답하는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재현 가능한 진단 프레임을 제공한다.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한계 및 향후 과제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표본 13개 → K-means는 </w:t>
      </w:r>
      <w:r>
        <w:rPr>
          <w:rFonts w:ascii="맑은 고딕" w:cs="맑은 고딕" w:eastAsia="맑은 고딕" w:hAnsi="맑은 고딕"/>
          <w:b/>
          <w:bCs/>
        </w:rPr>
        <w:t xml:space="preserve">탐색적 유형화</w:t>
      </w:r>
      <w:r>
        <w:rPr>
          <w:rFonts w:ascii="맑은 고딕" w:cs="맑은 고딕" w:eastAsia="맑은 고딕" w:hAnsi="맑은 고딕"/>
        </w:rPr>
        <w:t xml:space="preserve">(확정 분류 아님).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'생활인구'는 안정 거주인구가 아닌 월별 방문 흐름 합계 → MI·CPC는 </w:t>
      </w:r>
      <w:r>
        <w:rPr>
          <w:rFonts w:ascii="맑은 고딕" w:cs="맑은 고딕" w:eastAsia="맑은 고딕" w:hAnsi="맑은 고딕"/>
          <w:b/>
          <w:bCs/>
        </w:rPr>
        <w:t xml:space="preserve">상대 비교 지표</w:t>
      </w:r>
      <w:r>
        <w:rPr>
          <w:rFonts w:ascii="맑은 고딕" w:cs="맑은 고딕" w:eastAsia="맑은 고딕" w:hAnsi="맑은 고딕"/>
        </w:rPr>
        <w:t xml:space="preserve">로 해석.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기대효과는 가정 기반 </w:t>
      </w:r>
      <w:r>
        <w:rPr>
          <w:rFonts w:ascii="맑은 고딕" w:cs="맑은 고딕" w:eastAsia="맑은 고딕" w:hAnsi="맑은 고딕"/>
          <w:b/>
          <w:bCs/>
        </w:rPr>
        <w:t xml:space="preserve">탐색적 추정</w:t>
      </w:r>
      <w:r>
        <w:rPr>
          <w:rFonts w:ascii="맑은 고딕" w:cs="맑은 고딕" w:eastAsia="맑은 고딕" w:hAnsi="맑은 고딕"/>
        </w:rPr>
        <w:t xml:space="preserve">(객단가 개선이 방문을 위축시키지 않는다는 전제).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카드매출 시·군 단위 → 읍·면·동 정밀 처방은 SGIS 집계구 데이터 확보 시 확장 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이음-Detect(RandomForest+SHAP)는 n=13의 </w:t>
      </w:r>
      <w:r>
        <w:rPr>
          <w:rFonts w:ascii="맑은 고딕" w:cs="맑은 고딕" w:eastAsia="맑은 고딕" w:hAnsi="맑은 고딕"/>
          <w:b/>
          <w:bCs/>
        </w:rPr>
        <w:t xml:space="preserve">탐색적</w:t>
      </w:r>
      <w:r>
        <w:rPr>
          <w:rFonts w:ascii="맑은 고딕" w:cs="맑은 고딕" w:eastAsia="맑은 고딕" w:hAnsi="맑은 고딕"/>
        </w:rPr>
        <w:t xml:space="preserve"> 기여도 분해이므로, 표본 확대(타 시·도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인구감소지역 결합) 시 확정 모델로 발전 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외부의존형(하동·함양)의 인구 유출입 검증은 </w:t>
      </w:r>
      <w:r>
        <w:rPr>
          <w:rFonts w:ascii="맑은 고딕" w:cs="맑은 고딕" w:eastAsia="맑은 고딕" w:hAnsi="맑은 고딕"/>
          <w:b/>
          <w:bCs/>
        </w:rPr>
        <w:t xml:space="preserve">시·군 단위 순이동</w:t>
      </w:r>
      <w:r>
        <w:rPr>
          <w:rFonts w:ascii="맑은 고딕" w:cs="맑은 고딕" w:eastAsia="맑은 고딕" w:hAnsi="맑은 고딕"/>
        </w:rPr>
        <w:t xml:space="preserve"> 데이터가 필요하나, 현재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공개 국내인구이동 통계는 시·도 단위까지만 매칭되어 본 분석에는 거시 배경으로만 반영했다.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KOSIS 시군구 전입·전출 마이크로데이터 확보 시 외부의존 구조를 직접 검증할 수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향후: Folium 기반 인터랙티브 지도 대시보드(클릭 시 시군별 처방전 팝업), 카드·생활인구의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시계열 확장을 통한 동적 추적.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 A. 기대효과 산출 근거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기대효과는 다음 단일 가정에서 출발한 </w:t>
      </w:r>
      <w:r>
        <w:rPr>
          <w:rFonts w:ascii="맑은 고딕" w:cs="맑은 고딕" w:eastAsia="맑은 고딕" w:hAnsi="맑은 고딕"/>
          <w:b/>
          <w:bCs/>
        </w:rPr>
        <w:t xml:space="preserve">탐색적 추정</w:t>
      </w:r>
      <w:r>
        <w:rPr>
          <w:rFonts w:ascii="맑은 고딕" w:cs="맑은 고딕" w:eastAsia="맑은 고딕" w:hAnsi="맑은 고딕"/>
        </w:rPr>
        <w:t xml:space="preserve">이다.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추가 연간매출 = 연평균 생활인구 × 12개월 × Δ월 객단가(+1,000원)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생활인구는 "월 1회 이상 3시간 이상 체류한 인구의 월별 합계"이므로 12를 곱해 연간 체류량으로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환산하고, 방문 1인당 월 소비를 1,000원(커피 한 잔 값 미만) 끌어올렸을 때의 총량 효과를 계산한다.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지역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연평균 생활인구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추가매출(원)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≈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2024 연간매출 대비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하동군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254,547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3,054,559,000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30.5억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7.6%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함양군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185,327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2,223,921,000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22.2억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3.7%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합천군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254,764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3,057,174,000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30.6억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8.8%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남해군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297,881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3,574,571,000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35.7억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5.9%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의령군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145,437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1,745,241,000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17.5억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8.3%</w:t>
            </w:r>
          </w:p>
        </w:tc>
      </w:tr>
      <w:tr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산청군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251,290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3,015,481,000</w:t>
            </w:r>
          </w:p>
        </w:tc>
        <w:tc>
          <w:tcPr>
            <w:tcW w:type="dxa" w:w="1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30.2억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6.0%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소비전환 취약형 3곳(산청·의령·합천) 합계 = 7,817,896,000원 ≈ 연 +78.2억</w:t>
      </w:r>
      <w:r>
        <w:rPr>
          <w:rFonts w:ascii="맑은 고딕" w:cs="맑은 고딕" w:eastAsia="맑은 고딕" w:hAnsi="맑은 고딕"/>
        </w:rPr>
        <w:t xml:space="preserve"> — 보고서 본문의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"+78억"은 이 합계다.</w:t>
      </w:r>
    </w:p>
    <w:p>
      <w:pPr>
        <w:pBdr>
          <w:left w:val="single" w:color="2A6F97" w:sz="18" w:space="8"/>
        </w:pBdr>
        <w:shd w:fill="F2F6FA" w:val="clear"/>
        <w:spacing w:after="60" w:before="60"/>
        <w:ind w:left="200"/>
      </w:pP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추정의 한계: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 ① 객단가 개선이 방문 빈도를 위축시키지 않는다고 가정한다. ② 생활인구를 결제 가능 인구로 간주한다(미성년·중복 체류 보정 없음). ③ 따라서 본 수치는 정책 목표의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규모감(order of magnitude)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을 보이기 위한 것이며, 정밀 수요예측이 아니다.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참고문헌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데이터 출처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경상남도 빅데이터 허브플랫폼, 2024년 경상남도 지역별 카드매출현황(월별·시간대별·성연령별).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통계청 KOSIS, 「인구감소지역 생활인구」(101_DT_1YL12002E), 2024.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통계청 KOSIS, 「국내인구이동통계」(시·도별 전입·전출), 2024.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통계청(KOSTAT), 시군구 행정경계 경계자료.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제도·선행 분석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행정안전부, 「인구감소지역 지원 특별법」(2022) 및 생활인구 산정 제도.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통계청, 「인구감소지역과 생활밀접업종 관계 분석」.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방법론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Shannon, C. E. (1948). A Mathematical Theory of Communication. *Bell System Technical Journal*, 27. — CDI(엔트로피).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Breiman, L. (2001). Random Forests. *Machine Learning*, 45(1), 5–32. — 이음-Detect.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Lundberg, S. M., &amp; Lee, S.-I. (2017). A Unified Approach to Interpreting Model Predictions. *NeurIPS*. — SHAP 기여도 분해.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/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맑은 고딕" w:cs="맑은 고딕" w:eastAsia="맑은 고딕" w:hAnsi="맑은 고딕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a76c31597d7c31a9e03093d9b34c1d3005f27e5.png"/><Relationship Id="rId9" Type="http://schemas.openxmlformats.org/officeDocument/2006/relationships/image" Target="media/32126f49998d5b310a84edb9a1cd04a0eb1f6bb2.png"/><Relationship Id="rId10" Type="http://schemas.openxmlformats.org/officeDocument/2006/relationships/image" Target="media/ec5db90439743d9709ddce8de0b4dbb1fa7a20dc.png"/><Relationship Id="rId11" Type="http://schemas.openxmlformats.org/officeDocument/2006/relationships/image" Target="media/19bf6b3bfe3c12055fb59aced068957378d18495.png"/><Relationship Id="rId12" Type="http://schemas.openxmlformats.org/officeDocument/2006/relationships/image" Target="media/77df3800e68c5ce78abdaa52aacc9326fd4ca6be.png"/><Relationship Id="rId13" Type="http://schemas.openxmlformats.org/officeDocument/2006/relationships/image" Target="media/cbb1ee81c29d90c738247a91a5ee3f326da123a4.png"/><Relationship Id="rId14" Type="http://schemas.openxmlformats.org/officeDocument/2006/relationships/image" Target="media/1da02d206dc8c952bf9a9cd5431bb9855e4ce52c.png"/><Relationship Id="rId15" Type="http://schemas.openxmlformats.org/officeDocument/2006/relationships/image" Target="media/b9ba3c5ab51ffa94521c35f9875c61c97a889dd6.png"/><Relationship Id="rId16" Type="http://schemas.openxmlformats.org/officeDocument/2006/relationships/image" Target="media/152dbf43240b5ee00e0dcf2c561ef2017027519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2026-06-07T10:36:47.050Z</dcterms:created>
  <dcterms:modified xsi:type="dcterms:W3CDTF">2026-06-07T10:36:47.051Z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