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맑은 고딕" w:cs="맑은 고딕" w:eastAsia="맑은 고딕" w:hAnsi="맑은 고딕"/>
          <w:color w:val="2E74B5"/>
          <w:sz w:val="18"/>
          <w:szCs w:val="18"/>
        </w:rPr>
        <w:t xml:space="preserve">2026 경상남도 빅데이터 활용 공모전 · 1부문 | 분석내용 요약서</w:t>
      </w:r>
    </w:p>
    <w:p>
      <w:pPr>
        <w:spacing w:after="2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이음(E-um) — 생활인구는 왜 지역 소비로 이어지지 않는가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경남 인구감소지역의 소비-유동 불일치 진단과 유형별 처방</w:t>
      </w:r>
    </w:p>
    <w:p>
      <w:pPr>
        <w:pBdr>
          <w:bottom w:val="single" w:color="2E74B5" w:sz="6" w:space="1"/>
        </w:pBdr>
        <w:spacing w:after="80"/>
        <w:jc w:val="center"/>
      </w:pPr>
      <w:r>
        <w:rPr>
          <w:rFonts w:ascii="맑은 고딕" w:cs="맑은 고딕" w:eastAsia="맑은 고딕" w:hAnsi="맑은 고딕"/>
          <w:sz w:val="17"/>
          <w:szCs w:val="17"/>
        </w:rPr>
        <w:t xml:space="preserve">팀명 ［팀명 기입］   |   팀원 김재민 · 강원준 · 오수환   |   2026. 6.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문제의식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“사람이 없어서가 아니라, 있는 사람이 소비로 이어지지 않는 것은 아닌가?” 카드매출(실제 소비)과 생활인구(실제 체류 흐름)를 결합해, 생활인구가 지역 소비로 전환되는 정도를 소비-유동 불일치 지수(MI)로 정량화한다.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데이터  </w:t>
      </w:r>
      <w:r>
        <w:rPr>
          <w:rFonts w:ascii="맑은 고딕" w:cs="맑은 고딕" w:eastAsia="맑은 고딕" w:hAnsi="맑은 고딕"/>
          <w:sz w:val="18"/>
          <w:szCs w:val="18"/>
        </w:rPr>
        <w:t xml:space="preserve">2024년 경남 카드매출 3종(월별·시간대별·성연령별, 경남 빅데이터 허브플랫폼) + KOSIS 인구감소지역 생활인구 + 통계청 시군 행정경계. 분석 대상은 13개 인구감소·관심지역.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분석 방법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생활인구 결합으로 가능해진 신규 지표 MI·CPC·STI 등 9개 지표 산출 → 이음-Cluster(K-means, 침체 4유형) → 이음-Detect(RandomForest+SHAP, 원인 정량 분해) → 이음-Simulate(처방 반사실 시뮬레이션 + 위험점수 민감도). 전 과정 random_state=42 재현성 고정.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핵심 결과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① 침체 4유형(소비전환 취약형 / 외부의존+소비전환 취약형 / 경계형 / 상대적 양호형) 분류. ② 인구감소지역 내부에도 1인당 소비력(CPC) 7.6배 양극화. ③ 위험점수 우선 처방 TOP5 = 하동·함양·합천·남해·의령. ④ 위험 상위 시군 전부에서 MI(소비전환 실패)가 위험 1위 요인.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정책 처방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외부의존+소비전환 취약형(하동·함양): 외부 방문객 체류·연계 + 지역화폐로 경남 외 소비 회수. 소비전환 취약형(합천·의령·산청): 생활밀착 객단가 제고 + 관광 통과를 체류 소비로 전환.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기대효과(탐색적 추정) 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방문 1인당 월 +1,000원(커피 한 잔 값 미만) 객단가 개선 시, 소비전환 취약형 3곳(산청·의령·합천)에서 연 약 +78억 원의 지역 매출 증가. 생활인구가 방문 흐름의 합계이므로 작은 1인당 변화가 큰 총량 효과로 이어진다.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검증·강건성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처방 반사실 시뮬레이션에서 처방 대상만 위험점수가 하락하고 미처방 시군은 불변(효과 귀속 확인). 위험점수 가중치를 ±0.05 무작위 교란(3,000회)해도 우선 처방 TOP5가 100% 유지되고 하동은 항상 1위로, 산식 자의성에 강건함을 확인.</w:t>
      </w:r>
    </w:p>
    <w:p>
      <w:pPr>
        <w:pBdr>
          <w:bottom w:val="single" w:color="2E74B5" w:sz="6" w:space="1"/>
        </w:pBdr>
        <w:spacing w:before="120"/>
      </w:pPr>
      <w:r>
        <w:rPr>
          <w:rFonts w:ascii="맑은 고딕" w:cs="맑은 고딕" w:eastAsia="맑은 고딕" w:hAnsi="맑은 고딕"/>
          <w:sz w:val="4"/>
          <w:szCs w:val="4"/>
        </w:rPr>
        <w:t xml:space="preserve"/>
      </w:r>
    </w:p>
    <w:p>
      <w:pPr>
        <w:spacing w:before="40"/>
      </w:pPr>
      <w:r>
        <w:rPr>
          <w:rFonts w:ascii="맑은 고딕" w:cs="맑은 고딕" w:eastAsia="맑은 고딕" w:hAnsi="맑은 고딕"/>
          <w:i/>
          <w:iCs/>
          <w:color w:val="666666"/>
          <w:sz w:val="15"/>
          <w:szCs w:val="15"/>
        </w:rPr>
        <w:t xml:space="preserve">※ 생활인구는 월별 방문 흐름의 합계이므로 MI·CPC는 상대 비교 지표이며, K-means·SHAP·기대효과는 표본 13개의 탐색적 분석이다.</w:t>
      </w:r>
    </w:p>
    <w:sectPr>
      <w:pgSz w:w="11906" w:h="16838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2026-06-07T10:37:56.495Z</dcterms:created>
  <dcterms:modified xsi:type="dcterms:W3CDTF">2026-06-07T10:37:56.496Z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